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2, 2023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Biodesix,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520" w:type="dxa"/>
        <w:tblCellMar>
          <w:top w:w="0" w:type="dxa"/>
          <w:left w:w="0" w:type="dxa"/>
          <w:bottom w:w="0" w:type="dxa"/>
          <w:right w:w="0" w:type="dxa"/>
        </w:tblCellMar>
      </w:tblPr>
      <w:tr>
        <w:trPr>
          <w:trHeight w:val="214"/>
        </w:trPr>
        <w:tc>
          <w:tcPr>
            <w:tcW w:w="4300" w:type="dxa"/>
            <w:vAlign w:val="bottom"/>
          </w:tcPr>
          <w:p>
            <w:pPr>
              <w:jc w:val="center"/>
              <w:ind w:right="16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20-3986492</w:t>
            </w:r>
          </w:p>
        </w:tc>
      </w:tr>
      <w:tr>
        <w:trPr>
          <w:trHeight w:val="148"/>
        </w:trPr>
        <w:tc>
          <w:tcPr>
            <w:tcW w:w="4300" w:type="dxa"/>
            <w:vAlign w:val="bottom"/>
          </w:tcPr>
          <w:p>
            <w:pPr>
              <w:jc w:val="center"/>
              <w:ind w:right="17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40" w:type="dxa"/>
            <w:vAlign w:val="bottom"/>
          </w:tcPr>
          <w:p>
            <w:pPr>
              <w:jc w:val="center"/>
              <w:ind w:left="17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00" w:type="dxa"/>
            <w:vAlign w:val="bottom"/>
          </w:tcPr>
          <w:p>
            <w:pPr>
              <w:jc w:val="center"/>
              <w:ind w:right="16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40" w:type="dxa"/>
            <w:vAlign w:val="bottom"/>
          </w:tcPr>
          <w:p>
            <w:pPr>
              <w:jc w:val="center"/>
              <w:ind w:left="172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6"/>
        </w:trPr>
        <w:tc>
          <w:tcPr>
            <w:tcW w:w="4300" w:type="dxa"/>
            <w:vAlign w:val="bottom"/>
          </w:tcPr>
          <w:p>
            <w:pPr>
              <w:jc w:val="center"/>
              <w:ind w:right="1699"/>
              <w:spacing w:after="0"/>
              <w:rPr>
                <w:sz w:val="20"/>
                <w:szCs w:val="20"/>
                <w:color w:val="auto"/>
              </w:rPr>
            </w:pPr>
            <w:r>
              <w:rPr>
                <w:rFonts w:ascii="Times New Roman" w:cs="Times New Roman" w:eastAsia="Times New Roman" w:hAnsi="Times New Roman"/>
                <w:sz w:val="18"/>
                <w:szCs w:val="18"/>
                <w:b w:val="1"/>
                <w:bCs w:val="1"/>
                <w:color w:val="auto"/>
              </w:rPr>
              <w:t>2970 Wilderness Place, Suite 100</w:t>
            </w:r>
          </w:p>
        </w:tc>
        <w:tc>
          <w:tcPr>
            <w:tcW w:w="3240" w:type="dxa"/>
            <w:vAlign w:val="bottom"/>
          </w:tcPr>
          <w:p>
            <w:pPr>
              <w:spacing w:after="0"/>
              <w:rPr>
                <w:sz w:val="24"/>
                <w:szCs w:val="24"/>
                <w:color w:val="auto"/>
              </w:rPr>
            </w:pPr>
          </w:p>
        </w:tc>
      </w:tr>
      <w:tr>
        <w:trPr>
          <w:trHeight w:val="227"/>
        </w:trPr>
        <w:tc>
          <w:tcPr>
            <w:tcW w:w="4300" w:type="dxa"/>
            <w:vAlign w:val="bottom"/>
          </w:tcPr>
          <w:p>
            <w:pPr>
              <w:jc w:val="center"/>
              <w:ind w:right="1699"/>
              <w:spacing w:after="0"/>
              <w:rPr>
                <w:sz w:val="20"/>
                <w:szCs w:val="20"/>
                <w:color w:val="auto"/>
              </w:rPr>
            </w:pPr>
            <w:r>
              <w:rPr>
                <w:rFonts w:ascii="Times New Roman" w:cs="Times New Roman" w:eastAsia="Times New Roman" w:hAnsi="Times New Roman"/>
                <w:sz w:val="18"/>
                <w:szCs w:val="18"/>
                <w:b w:val="1"/>
                <w:bCs w:val="1"/>
                <w:color w:val="auto"/>
                <w:w w:val="97"/>
              </w:rPr>
              <w:t>Boulder, Colorado</w:t>
            </w:r>
          </w:p>
        </w:tc>
        <w:tc>
          <w:tcPr>
            <w:tcW w:w="3240" w:type="dxa"/>
            <w:vAlign w:val="bottom"/>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80301</w:t>
            </w:r>
          </w:p>
        </w:tc>
      </w:tr>
      <w:tr>
        <w:trPr>
          <w:trHeight w:val="190"/>
        </w:trPr>
        <w:tc>
          <w:tcPr>
            <w:tcW w:w="4300" w:type="dxa"/>
            <w:vAlign w:val="bottom"/>
          </w:tcPr>
          <w:p>
            <w:pPr>
              <w:jc w:val="center"/>
              <w:ind w:right="17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40" w:type="dxa"/>
            <w:vAlign w:val="bottom"/>
          </w:tcPr>
          <w:p>
            <w:pPr>
              <w:jc w:val="center"/>
              <w:ind w:left="17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 2020 Equity Incentive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 Employee Stock Purchase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Scott Hutton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2970 Wilderness Place, Suite 100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Boulder, Colorado 80301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(303) 417-0500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5" w:right="43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This Registration Statement on Form S-8 is being filed by Biodesix, Inc. (the “Registrant”) for the purpose of registering (i) an additional 3,104,574 shares of the Registrant’s common stock, par value $0.001 per share (the “Common Stock”) issuable under the Biodesix, Inc. 2020 Equity Incentive Plan (the “2020 Plan”), as a result of the operation of the automatic annual increase provision therein effective January 1, 2022, (ii) an additional 307,896 shares of Common Stock issuable under the Biodesix, Inc. Employee Stock Purchase Plan (the “ESPP”), as a result of the operation of the automatic annual increase provision therein effective January 1, 2022 and (iii) an additional 338,106 shares of Common Stock issuable under the ESPP, as a result of the operation of the automatic annual increase provision therein effective January 1, 2023. The shares of the Registrant’s Common Stock previously reserved for issuance under the 2020 Plan were registered on the Registrant’s Registration Statement on Form S-8 filed with the Securities and Exchange Commission (the “Commission”) on November 2, 2020 (File No. 333-249805) (the “2020 Prior Form S-8”) and the Registrant’s Registration Statement on Form S-8 filed with the Commission on June 6, 2022 (File No. 333-265445) (the “2022 Prior Form S-8”; together with the 2020 Prior Form S-8, the “Prior Forms S-8”). The shares of the Registrant’s Common Stock previously reserved for issuance under the ESPP were registered on the 2020 Prior Form S-8.</w:t>
      </w:r>
    </w:p>
    <w:p>
      <w:pPr>
        <w:spacing w:after="0" w:line="19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This Registration Statement on Form S-8 relates to securities of the same class as that to which the Prior Forms S-8 relates, and is submitted in accordance with General Instruction E to Form S-8 regarding Registration of Additional Securities. Pursuant to General Instruction E of Form S-8, the contents of the Prior Forms S-8, to the extent relating to the registration of Common Stock issuable under the 2020 Plan and the ESPP, are incorporated herein by reference and made part of this Registration Statement on Form S-8, except as amended hereby.</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37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121"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The Registrant hereby incorporates by reference in this Registration Statement the following documents and information previously filed with the Commission (excluding any portions of such documents that have been “furnished” but not “filed” for purposes of the Securities Exchange Act of 1934, as amended (the “Exchange Act”):</w:t>
      </w:r>
    </w:p>
    <w:p>
      <w:pPr>
        <w:spacing w:after="0" w:line="81" w:lineRule="exact"/>
        <w:rPr>
          <w:sz w:val="20"/>
          <w:szCs w:val="20"/>
          <w:color w:val="auto"/>
        </w:rPr>
      </w:pPr>
    </w:p>
    <w:p>
      <w:pPr>
        <w:ind w:left="960" w:right="38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2021, filed with the Commission on March 14, 2022, including all material incorporated by reference therein;</w:t>
      </w:r>
    </w:p>
    <w:p>
      <w:pPr>
        <w:spacing w:after="0" w:line="67" w:lineRule="exact"/>
        <w:rPr>
          <w:rFonts w:ascii="Times New Roman" w:cs="Times New Roman" w:eastAsia="Times New Roman" w:hAnsi="Times New Roman"/>
          <w:sz w:val="18"/>
          <w:szCs w:val="18"/>
          <w:color w:val="auto"/>
        </w:rPr>
      </w:pPr>
    </w:p>
    <w:p>
      <w:pPr>
        <w:ind w:left="960" w:right="3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Reports on Form 10-Q for the quarters ended March 31, 2022, June 30, 2022 and September 30, 2022, filed with the Commission on </w:t>
      </w:r>
      <w:hyperlink r:id="rId18">
        <w:r>
          <w:rPr>
            <w:rFonts w:ascii="Times New Roman" w:cs="Times New Roman" w:eastAsia="Times New Roman" w:hAnsi="Times New Roman"/>
            <w:sz w:val="18"/>
            <w:szCs w:val="18"/>
            <w:u w:val="single" w:color="auto"/>
            <w:color w:val="0000EE"/>
          </w:rPr>
          <w:t xml:space="preserve">May 11, 2022, </w:t>
        </w:r>
      </w:hyperlink>
      <w:hyperlink r:id="rId19">
        <w:r>
          <w:rPr>
            <w:rFonts w:ascii="Times New Roman" w:cs="Times New Roman" w:eastAsia="Times New Roman" w:hAnsi="Times New Roman"/>
            <w:sz w:val="18"/>
            <w:szCs w:val="18"/>
            <w:u w:val="single" w:color="auto"/>
            <w:color w:val="auto"/>
          </w:rPr>
          <w:t xml:space="preserve">August </w:t>
        </w:r>
        <w:r>
          <w:rPr>
            <w:rFonts w:ascii="Times New Roman" w:cs="Times New Roman" w:eastAsia="Times New Roman" w:hAnsi="Times New Roman"/>
            <w:sz w:val="18"/>
            <w:szCs w:val="18"/>
            <w:u w:val="single" w:color="auto"/>
            <w:color w:val="0000EE"/>
          </w:rPr>
          <w:t>4, 2022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0">
        <w:r>
          <w:rPr>
            <w:rFonts w:ascii="Times New Roman" w:cs="Times New Roman" w:eastAsia="Times New Roman" w:hAnsi="Times New Roman"/>
            <w:sz w:val="18"/>
            <w:szCs w:val="18"/>
            <w:u w:val="single" w:color="auto"/>
            <w:color w:val="0000EE"/>
          </w:rPr>
          <w:t>November 3, 2022</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right="60" w:hanging="532"/>
        <w:spacing w:after="0" w:line="282" w:lineRule="auto"/>
        <w:tabs>
          <w:tab w:leader="none" w:pos="960" w:val="left"/>
        </w:tabs>
        <w:numPr>
          <w:ilvl w:val="0"/>
          <w:numId w:val="1"/>
        </w:numPr>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auto"/>
          </w:rPr>
          <w:t xml:space="preserve">The Registrant’s Current Reports on Form 8-K, filed with the Commission on </w:t>
        </w:r>
        <w:r>
          <w:rPr>
            <w:rFonts w:ascii="Times New Roman" w:cs="Times New Roman" w:eastAsia="Times New Roman" w:hAnsi="Times New Roman"/>
            <w:sz w:val="18"/>
            <w:szCs w:val="18"/>
            <w:u w:val="single" w:color="auto"/>
            <w:color w:val="0000EE"/>
          </w:rPr>
          <w:t>January 4,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14,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7,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11, 2022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2">
        <w:r>
          <w:rPr>
            <w:rFonts w:ascii="Times New Roman" w:cs="Times New Roman" w:eastAsia="Times New Roman" w:hAnsi="Times New Roman"/>
            <w:sz w:val="18"/>
            <w:szCs w:val="18"/>
            <w:u w:val="single" w:color="auto"/>
            <w:color w:val="0000EE"/>
          </w:rPr>
          <w:t>May 25, 2022</w:t>
        </w:r>
      </w:hyperlink>
      <w:hyperlink r:id="rId2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3">
        <w:r>
          <w:rPr>
            <w:rFonts w:ascii="Times New Roman" w:cs="Times New Roman" w:eastAsia="Times New Roman" w:hAnsi="Times New Roman"/>
            <w:sz w:val="18"/>
            <w:szCs w:val="18"/>
            <w:u w:val="single" w:color="auto"/>
            <w:color w:val="0000EE"/>
          </w:rPr>
          <w:t xml:space="preserve">November 21, 2022 </w:t>
        </w:r>
      </w:hyperlink>
      <w:hyperlink r:id="rId21">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24">
        <w:r>
          <w:rPr>
            <w:rFonts w:ascii="Times New Roman" w:cs="Times New Roman" w:eastAsia="Times New Roman" w:hAnsi="Times New Roman"/>
            <w:sz w:val="18"/>
            <w:szCs w:val="18"/>
            <w:u w:val="single" w:color="auto"/>
            <w:color w:val="0000EE"/>
          </w:rPr>
          <w:t xml:space="preserve">December 16, 2022 </w:t>
        </w:r>
      </w:hyperlink>
      <w:hyperlink r:id="rId21">
        <w:r>
          <w:rPr>
            <w:rFonts w:ascii="Times New Roman" w:cs="Times New Roman" w:eastAsia="Times New Roman" w:hAnsi="Times New Roman"/>
            <w:sz w:val="18"/>
            <w:szCs w:val="18"/>
            <w:color w:val="000000"/>
          </w:rPr>
          <w:t>(excluding Item 7.01); and</w:t>
        </w:r>
      </w:hyperlink>
    </w:p>
    <w:p>
      <w:pPr>
        <w:spacing w:after="0" w:line="67" w:lineRule="exact"/>
        <w:rPr>
          <w:rFonts w:ascii="Times New Roman" w:cs="Times New Roman" w:eastAsia="Times New Roman" w:hAnsi="Times New Roman"/>
          <w:sz w:val="18"/>
          <w:szCs w:val="18"/>
          <w:color w:val="0000EE"/>
        </w:rPr>
      </w:pPr>
    </w:p>
    <w:p>
      <w:pPr>
        <w:ind w:left="960" w:right="200" w:hanging="532"/>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Registrant’s Registration Statement on </w:t>
      </w:r>
      <w:hyperlink r:id="rId25">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Commission on October 26, 2020, pursuant to Section 12(b) of the Exchange Act, including any amendment or report for the purpose of updating such description.</w:t>
      </w:r>
    </w:p>
    <w:p>
      <w:pPr>
        <w:spacing w:after="0" w:line="176" w:lineRule="exact"/>
        <w:rPr>
          <w:rFonts w:ascii="Times New Roman" w:cs="Times New Roman" w:eastAsia="Times New Roman" w:hAnsi="Times New Roman"/>
          <w:sz w:val="18"/>
          <w:szCs w:val="18"/>
          <w:color w:val="0000EE"/>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All documents subsequently filed by the Registrant with the Commission pursuant to Sections 13(a), 13(c), 14 or 15(d) of the Exchange Act after the date of this Registration Statement and prior to the filing of a post-effective amendment to this Registration Statement which indicates that all securities offered hereby have been sold or which deregisters all securities then remaining unsold, shall be deemed to be incorporated by reference into this Registration Statement and to be a part hereof from the respective dates of filing of such documents (such documents, and the documents enumerated above, being hereinafter referred to as “Incorporated Documents”).</w:t>
      </w:r>
    </w:p>
    <w:p>
      <w:pPr>
        <w:spacing w:after="0" w:line="183" w:lineRule="exact"/>
        <w:rPr>
          <w:rFonts w:ascii="Times New Roman" w:cs="Times New Roman" w:eastAsia="Times New Roman" w:hAnsi="Times New Roman"/>
          <w:sz w:val="18"/>
          <w:szCs w:val="18"/>
          <w:color w:val="0000EE"/>
        </w:rPr>
      </w:pPr>
    </w:p>
    <w:p>
      <w:pPr>
        <w:ind w:right="140" w:firstLine="440"/>
        <w:spacing w:after="0" w:line="289" w:lineRule="auto"/>
        <w:rPr>
          <w:sz w:val="20"/>
          <w:szCs w:val="20"/>
          <w:color w:val="auto"/>
        </w:rPr>
      </w:pPr>
      <w:r>
        <w:rPr>
          <w:rFonts w:ascii="Times New Roman" w:cs="Times New Roman" w:eastAsia="Times New Roman" w:hAnsi="Times New Roman"/>
          <w:sz w:val="17"/>
          <w:szCs w:val="17"/>
          <w:color w:val="auto"/>
        </w:rPr>
        <w:t>Any statement contained in an Incorporated Document shall be deemed to be modified or superseded for purposes of this Registration Statement to the extent that a statement contained herein or in any other subsequently filed Incorporated Document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0980"/>
          </w:cols>
          <w:pgMar w:left="440" w:top="266" w:right="47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8"/>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040" w:type="dxa"/>
            <w:vAlign w:val="bottom"/>
            <w:gridSpan w:val="14"/>
          </w:tcPr>
          <w:p>
            <w:pPr>
              <w:ind w:left="10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67"/>
        </w:trPr>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80" w:type="dxa"/>
            <w:vAlign w:val="bottom"/>
            <w:gridSpan w:val="10"/>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12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13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680" w:type="dxa"/>
            <w:vAlign w:val="bottom"/>
            <w:tcBorders>
              <w:bottom w:val="single" w:sz="8" w:color="auto"/>
            </w:tcBorders>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640" w:type="dxa"/>
            <w:vAlign w:val="bottom"/>
          </w:tcPr>
          <w:p>
            <w:pPr>
              <w:spacing w:after="0"/>
              <w:rPr>
                <w:sz w:val="23"/>
                <w:szCs w:val="23"/>
                <w:color w:val="auto"/>
              </w:rPr>
            </w:pPr>
          </w:p>
        </w:tc>
        <w:tc>
          <w:tcPr>
            <w:tcW w:w="10040" w:type="dxa"/>
            <w:vAlign w:val="bottom"/>
            <w:gridSpan w:val="14"/>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Amended and Restated Certificate of Incorporation of Biodesix, Inc. (incorporated by reference to Exhibit 3.2 of the Registrant’s</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5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Registration Statement on Form S-1 (No. 333-249260), filed with the Commission on October 21, 2020).</w:t>
              </w:r>
            </w:hyperlink>
          </w:p>
        </w:tc>
        <w:tc>
          <w:tcPr>
            <w:tcW w:w="1700" w:type="dxa"/>
            <w:vAlign w:val="bottom"/>
            <w:tcBorders>
              <w:top w:val="single" w:sz="8" w:color="0000EE"/>
            </w:tcBorders>
          </w:tcPr>
          <w:p>
            <w:pPr>
              <w:spacing w:after="0"/>
              <w:rPr>
                <w:sz w:val="17"/>
                <w:szCs w:val="17"/>
                <w:color w:val="auto"/>
              </w:rPr>
            </w:pPr>
          </w:p>
        </w:tc>
        <w:tc>
          <w:tcPr>
            <w:tcW w:w="7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w:t>
            </w:r>
          </w:p>
        </w:tc>
        <w:tc>
          <w:tcPr>
            <w:tcW w:w="640" w:type="dxa"/>
            <w:vAlign w:val="bottom"/>
          </w:tcPr>
          <w:p>
            <w:pPr>
              <w:spacing w:after="0"/>
              <w:rPr>
                <w:sz w:val="24"/>
                <w:szCs w:val="24"/>
                <w:color w:val="auto"/>
              </w:rPr>
            </w:pPr>
          </w:p>
        </w:tc>
        <w:tc>
          <w:tcPr>
            <w:tcW w:w="10040" w:type="dxa"/>
            <w:vAlign w:val="bottom"/>
            <w:gridSpan w:val="14"/>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Amended and Restated Bylaws of Biodesix, Inc. (incorporated by reference to Exhibit 3.4 of the Registrant’s Registration Statement on</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7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Form S-1 (No. 333-249260), filed with the Commission on October 21, 2020).</w:t>
              </w:r>
            </w:hyperlink>
          </w:p>
        </w:tc>
        <w:tc>
          <w:tcPr>
            <w:tcW w:w="2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w:t>
            </w:r>
          </w:p>
        </w:tc>
        <w:tc>
          <w:tcPr>
            <w:tcW w:w="640" w:type="dxa"/>
            <w:vAlign w:val="bottom"/>
          </w:tcPr>
          <w:p>
            <w:pPr>
              <w:spacing w:after="0"/>
              <w:rPr>
                <w:sz w:val="24"/>
                <w:szCs w:val="24"/>
                <w:color w:val="auto"/>
              </w:rPr>
            </w:pPr>
          </w:p>
        </w:tc>
        <w:tc>
          <w:tcPr>
            <w:tcW w:w="98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Biodesix, Inc. 2020 Equity Incentive Plan (incorporated by reference to Exhibit 10.5 to the Registrant’s Registration Statement on Form</w:t>
              </w:r>
            </w:hyperlink>
          </w:p>
        </w:tc>
        <w:tc>
          <w:tcPr>
            <w:tcW w:w="2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40" w:type="dxa"/>
            <w:vAlign w:val="bottom"/>
            <w:gridSpan w:val="14"/>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S-1/A (No. 333-249260), filed with the Commission on October 26, 2020).</w:t>
              </w:r>
            </w:hyperlink>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4.4</w:t>
            </w:r>
          </w:p>
        </w:tc>
        <w:tc>
          <w:tcPr>
            <w:tcW w:w="640" w:type="dxa"/>
            <w:vAlign w:val="bottom"/>
          </w:tcPr>
          <w:p>
            <w:pPr>
              <w:spacing w:after="0"/>
              <w:rPr>
                <w:sz w:val="24"/>
                <w:szCs w:val="24"/>
                <w:color w:val="auto"/>
              </w:rPr>
            </w:pPr>
          </w:p>
        </w:tc>
        <w:tc>
          <w:tcPr>
            <w:tcW w:w="10040" w:type="dxa"/>
            <w:vAlign w:val="bottom"/>
            <w:gridSpan w:val="14"/>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Biodesix, Inc. 2020 Employee Stock Purchase Plan (incorporated by reference to Exhibit 10.6 to the Company’s Registration Statement on</w:t>
              </w:r>
            </w:hyperlink>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Form S-1/A filed with the SEC on October 26, 2020).</w:t>
              </w:r>
            </w:hyperlink>
          </w:p>
        </w:tc>
        <w:tc>
          <w:tcPr>
            <w:tcW w:w="6120" w:type="dxa"/>
            <w:vAlign w:val="bottom"/>
            <w:tcBorders>
              <w:top w:val="single" w:sz="8" w:color="0000EE"/>
            </w:tcBorders>
            <w:gridSpan w:val="11"/>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w:t>
            </w:r>
          </w:p>
        </w:tc>
        <w:tc>
          <w:tcPr>
            <w:tcW w:w="640" w:type="dxa"/>
            <w:vAlign w:val="bottom"/>
          </w:tcPr>
          <w:p>
            <w:pPr>
              <w:spacing w:after="0"/>
              <w:rPr>
                <w:sz w:val="24"/>
                <w:szCs w:val="24"/>
                <w:color w:val="auto"/>
              </w:rPr>
            </w:pPr>
          </w:p>
        </w:tc>
        <w:tc>
          <w:tcPr>
            <w:tcW w:w="57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Opinion of Sidley Austin LLP with respect to validity of issuance of securities.</w:t>
            </w:r>
          </w:p>
        </w:tc>
        <w:tc>
          <w:tcPr>
            <w:tcW w:w="43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23.1*</w:t>
            </w:r>
          </w:p>
        </w:tc>
        <w:tc>
          <w:tcPr>
            <w:tcW w:w="100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Consent of Independent Registered Public Accounting Firm.</w:t>
            </w:r>
          </w:p>
        </w:tc>
        <w:tc>
          <w:tcPr>
            <w:tcW w:w="0" w:type="dxa"/>
            <w:vAlign w:val="bottom"/>
          </w:tcPr>
          <w:p>
            <w:pPr>
              <w:spacing w:after="0"/>
              <w:rPr>
                <w:sz w:val="1"/>
                <w:szCs w:val="1"/>
                <w:color w:val="auto"/>
              </w:rPr>
            </w:pPr>
          </w:p>
        </w:tc>
      </w:tr>
      <w:tr>
        <w:trPr>
          <w:trHeight w:val="304"/>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23.2*</w:t>
            </w:r>
          </w:p>
        </w:tc>
        <w:tc>
          <w:tcPr>
            <w:tcW w:w="404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Consent of Sidley Austin LLP (included in Exhibit 5.1).</w:t>
            </w:r>
          </w:p>
        </w:tc>
        <w:tc>
          <w:tcPr>
            <w:tcW w:w="320" w:type="dxa"/>
            <w:vAlign w:val="bottom"/>
            <w:tcBorders>
              <w:top w:val="single" w:sz="8" w:color="0000EE"/>
            </w:tcBorders>
          </w:tcPr>
          <w:p>
            <w:pPr>
              <w:spacing w:after="0"/>
              <w:rPr>
                <w:sz w:val="24"/>
                <w:szCs w:val="24"/>
                <w:color w:val="auto"/>
              </w:rPr>
            </w:pPr>
          </w:p>
        </w:tc>
        <w:tc>
          <w:tcPr>
            <w:tcW w:w="56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24.1*</w:t>
            </w:r>
          </w:p>
        </w:tc>
        <w:tc>
          <w:tcPr>
            <w:tcW w:w="59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Power of Attorney (included on the signature page of the Registration Statement).</w:t>
            </w:r>
          </w:p>
        </w:tc>
        <w:tc>
          <w:tcPr>
            <w:tcW w:w="41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107*</w:t>
            </w:r>
          </w:p>
        </w:tc>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Filing Fee Exhibit.</w:t>
            </w:r>
          </w:p>
        </w:tc>
        <w:tc>
          <w:tcPr>
            <w:tcW w:w="86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document marked with an asterisk is filed herewith.</w:t>
      </w:r>
    </w:p>
    <w:p>
      <w:pPr>
        <w:sectPr>
          <w:pgSz w:w="11900" w:h="16838" w:orient="portrait"/>
          <w:cols w:equalWidth="0" w:num="1">
            <w:col w:w="11024"/>
          </w:cols>
          <w:pgMar w:left="436" w:top="266"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“Securities Act”), the Registrant certifies that it has reasonable grounds to believe that it meets all of the requirements for filing on Form S-8 and has duly caused this Registration Statement to be signed on its behalf by the undersigned, thereunto duly authorized, in Boulder, Colorado, on the 2nd day of February, 2023.</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Biodesix,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Scott Hutton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Scott Hutton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Each of the undersigned officers and directors of Biodesix, Inc. does hereby severally constitute and appoint Scott Hutton and Robin Harper Cowie, and each of them acting alone, his or her true and lawful attorneys-in-fact and agents, with full power of substitution and resubstitution in each of them for him or her and in his or her name, place and stead, and in any and all capacities, to sign any and all amendments (including post-effective amendments) to this Registration Statement and to file the same, with all exhibits thereto and other documents in connection therewith, with the Securities and Exchange Commission and any applicable securities exchange or securities self-regulatory body, granting unto said attorneys-in-fact and agents, and each of them, full power and authority to do and perform each and every act and thing requisite or necessary to be done in and about the premises,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9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6"/>
                <w:szCs w:val="16"/>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DATE</w:t>
            </w:r>
          </w:p>
        </w:tc>
      </w:tr>
      <w:tr>
        <w:trPr>
          <w:trHeight w:val="412"/>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Scott Hutton</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President and Chief Executive Officer and</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 2023</w:t>
            </w:r>
          </w:p>
        </w:tc>
      </w:tr>
      <w:tr>
        <w:trPr>
          <w:trHeight w:val="176"/>
        </w:trPr>
        <w:tc>
          <w:tcPr>
            <w:tcW w:w="38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Scott Hutton</w:t>
            </w:r>
          </w:p>
        </w:tc>
        <w:tc>
          <w:tcPr>
            <w:tcW w:w="120" w:type="dxa"/>
            <w:vAlign w:val="bottom"/>
          </w:tcPr>
          <w:p>
            <w:pPr>
              <w:spacing w:after="0"/>
              <w:rPr>
                <w:sz w:val="15"/>
                <w:szCs w:val="15"/>
                <w:color w:val="auto"/>
              </w:rPr>
            </w:pPr>
          </w:p>
        </w:tc>
        <w:tc>
          <w:tcPr>
            <w:tcW w:w="36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Director</w:t>
            </w:r>
          </w:p>
        </w:tc>
        <w:tc>
          <w:tcPr>
            <w:tcW w:w="3420" w:type="dxa"/>
            <w:vAlign w:val="bottom"/>
          </w:tcPr>
          <w:p>
            <w:pPr>
              <w:spacing w:after="0"/>
              <w:rPr>
                <w:sz w:val="15"/>
                <w:szCs w:val="15"/>
                <w:color w:val="auto"/>
              </w:rPr>
            </w:pPr>
          </w:p>
        </w:tc>
      </w:tr>
      <w:tr>
        <w:trPr>
          <w:trHeight w:val="236"/>
        </w:trPr>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3420" w:type="dxa"/>
            <w:vAlign w:val="bottom"/>
          </w:tcPr>
          <w:p>
            <w:pPr>
              <w:spacing w:after="0"/>
              <w:rPr>
                <w:sz w:val="20"/>
                <w:szCs w:val="20"/>
                <w:color w:val="auto"/>
              </w:rPr>
            </w:pPr>
          </w:p>
        </w:tc>
      </w:tr>
      <w:tr>
        <w:trPr>
          <w:trHeight w:val="445"/>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Robin Harper Cowie</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 2023</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Robin Harper Cowie</w:t>
            </w:r>
          </w:p>
        </w:tc>
        <w:tc>
          <w:tcPr>
            <w:tcW w:w="120" w:type="dxa"/>
            <w:vAlign w:val="bottom"/>
          </w:tcPr>
          <w:p>
            <w:pPr>
              <w:spacing w:after="0"/>
              <w:rPr>
                <w:sz w:val="19"/>
                <w:szCs w:val="19"/>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c>
          <w:tcPr>
            <w:tcW w:w="342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Ryan Siurek</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Accounting Officer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 2023</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Ryan Siurek</w:t>
            </w:r>
          </w:p>
        </w:tc>
        <w:tc>
          <w:tcPr>
            <w:tcW w:w="120" w:type="dxa"/>
            <w:vAlign w:val="bottom"/>
          </w:tcPr>
          <w:p>
            <w:pPr>
              <w:spacing w:after="0"/>
              <w:rPr>
                <w:sz w:val="19"/>
                <w:szCs w:val="19"/>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c>
          <w:tcPr>
            <w:tcW w:w="342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John Patience</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 2023</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John Patience</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Jean Franchi</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 2023</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Jean Franchi</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Jon Faiz Kayyem, Ph.D.</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 2023</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Jon Faiz Kayyem, Ph.D.</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6"/>
                <w:szCs w:val="16"/>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DATE</w:t>
            </w:r>
          </w:p>
        </w:tc>
      </w:tr>
      <w:tr>
        <w:trPr>
          <w:trHeight w:val="412"/>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Lawrence T. Kennedy, Jr.</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 2023</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Lawrence T. Kennedy, Jr.</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Hany Massarany</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 2023</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Hany Massarany</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Jack Schuler</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 2023</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Jack Schuler</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Matthew Strobeck, Ph.D.</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 2023</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Matthew Strobeck, Ph.D.</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7"/>
        </w:trPr>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Charles Watts, M.D.</w:t>
            </w: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 2023</w:t>
            </w:r>
          </w:p>
        </w:tc>
      </w:tr>
      <w:tr>
        <w:trPr>
          <w:trHeight w:val="228"/>
        </w:trPr>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Charles Watts, M.D.</w:t>
            </w: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SIDLEY AUSTIN LLP</w:t>
      </w:r>
    </w:p>
    <w:p>
      <w:pPr>
        <w:spacing w:after="0" w:line="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555 CALIFORNIA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-36195</wp:posOffset>
            </wp:positionV>
            <wp:extent cx="106299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1062990" cy="274320"/>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18"/>
          <w:szCs w:val="18"/>
          <w:color w:val="auto"/>
        </w:rPr>
        <w:t>SUITE 2000</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SAN FRANCISCO, CA 94104</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+1 415 772 1200</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+1 415 772 7400 FAX</w:t>
      </w:r>
    </w:p>
    <w:p>
      <w:pPr>
        <w:spacing w:after="0" w:line="11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AMERICA • ASIA PACIFIC • EUROPE</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2,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Biodesix,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2970 Wilderness Place, Suite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Boulder, CO 80301</w:t>
      </w:r>
    </w:p>
    <w:p>
      <w:pPr>
        <w:spacing w:after="0" w:line="23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3,750,576 Shares of Common Stock, $0.001 par value per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We refer to the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being filed by Biodesix,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with the Securities and Exchange Commission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relating to the registration of (i) 3,104,574 shares of Common Stock, $0.001 par value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the Company which may be issued under the Biodesix, Inc. 2020 Equity Incentive Plan (the “</w:t>
      </w:r>
      <w:r>
        <w:rPr>
          <w:rFonts w:ascii="Times New Roman" w:cs="Times New Roman" w:eastAsia="Times New Roman" w:hAnsi="Times New Roman"/>
          <w:sz w:val="18"/>
          <w:szCs w:val="18"/>
          <w:u w:val="single" w:color="auto"/>
          <w:color w:val="auto"/>
        </w:rPr>
        <w:t>2020 Plan</w:t>
      </w:r>
      <w:r>
        <w:rPr>
          <w:rFonts w:ascii="Times New Roman" w:cs="Times New Roman" w:eastAsia="Times New Roman" w:hAnsi="Times New Roman"/>
          <w:sz w:val="18"/>
          <w:szCs w:val="18"/>
          <w:color w:val="auto"/>
        </w:rPr>
        <w:t>”) and (ii) 646,002 shares of Common Stock which may be issued under the Biodesix, Inc. Employee Stock Purchase Plan (the “</w:t>
      </w:r>
      <w:r>
        <w:rPr>
          <w:rFonts w:ascii="Times New Roman" w:cs="Times New Roman" w:eastAsia="Times New Roman" w:hAnsi="Times New Roman"/>
          <w:sz w:val="18"/>
          <w:szCs w:val="18"/>
          <w:u w:val="single" w:color="auto"/>
          <w:color w:val="auto"/>
        </w:rPr>
        <w:t>ESPP</w:t>
      </w:r>
      <w:r>
        <w:rPr>
          <w:rFonts w:ascii="Times New Roman" w:cs="Times New Roman" w:eastAsia="Times New Roman" w:hAnsi="Times New Roman"/>
          <w:sz w:val="18"/>
          <w:szCs w:val="18"/>
          <w:color w:val="auto"/>
        </w:rPr>
        <w:t>”, and together with the aggregate shares of Common Stock to be registered under the Registration Statement, the “</w:t>
      </w:r>
      <w:r>
        <w:rPr>
          <w:rFonts w:ascii="Times New Roman" w:cs="Times New Roman" w:eastAsia="Times New Roman" w:hAnsi="Times New Roman"/>
          <w:sz w:val="18"/>
          <w:szCs w:val="18"/>
          <w:u w:val="single" w:color="auto"/>
          <w:color w:val="auto"/>
        </w:rPr>
        <w:t>Registered Shares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opinion letter is being delivered in accordance with the requirements of Item 601(b)(5) of Regulation S-K under the Securities Act.</w:t>
      </w:r>
    </w:p>
    <w:p>
      <w:pPr>
        <w:spacing w:after="0" w:line="225"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We have examined the 2020 Plan, the ESPP, the Registration Statement, the Amended and Restated Certificate of Incorporation of the Company, the Amended and Restated Bylaws of the Company, the resolutions of the Company’s Board of Directors authorizing the 2020 Plan, the ESPP and the issuance of the Registered Shares thereunder and the resolutions of the Company’s stockholders authorizing the 2020 Plan and the ESPP. We have also examined originals, or copies of originals certified to our satisfaction, of such agreements, documents, certificates and statements of the Company and other corporate documents and instruments, and have examined such questions of law, as we have considered relevant and necessary as a basis for this opinion letter. We have assumed the authenticity of all documents submitted to us as originals, the genuineness of all signatures, the legal capacity of all persons and the conformity with the original documents of any copies thereof submitted to us for examination. As to facts relevant to the opinions expressed herein, we have relied without independent investigation or verification upon, and assumed the accuracy and completeness of, certificates, letters and oral and written statements and representations of public officials and officers and other representatives of the Company.</w:t>
      </w:r>
    </w:p>
    <w:p>
      <w:pPr>
        <w:spacing w:after="0" w:line="188"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Based on the foregoing, we are of the opinion that each Registered Share that is newly issued pursuant to the 2020 Plan and the ESPP will be validly issued, fully paid and non-assessable when: (i) the Registration Statement, as finally amended, shall have become effective under the Securities Act; (ii) such Registered Share shall have been duly issued and delivered in accordance with the 2020 Plan and the ESPP; and (iii) certificates representing such Registered Share shall have been duly executed, countersigned and registered and duly delivered to the person entitled thereto against payment of the agreed consideration therefor (in an amount not less than the par value thereof) or, if any Registered Share is to be issued in uncertificated form, the Company’s books shall reflect the issuance of such Registered Share to the person entitled thereto against payment of the agreed consideration therefor (in an amount not less than the par value thereof), all in accordance with the 2020 Plan and the ESPP.</w:t>
      </w:r>
    </w:p>
    <w:p>
      <w:pPr>
        <w:sectPr>
          <w:pgSz w:w="11900" w:h="16838" w:orient="portrait"/>
          <w:cols w:equalWidth="0" w:num="1">
            <w:col w:w="11020"/>
          </w:cols>
          <w:pgMar w:left="440" w:top="11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Biodesix,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This opinion letter is limited to the General Corporation Law of the State of Delaware. We express no opinion as to the laws, rules or regulations of any other jurisdiction, including, without limitation, the federal laws of the United States of America or any state securities or blue sky laws.</w:t>
      </w:r>
    </w:p>
    <w:p>
      <w:pPr>
        <w:spacing w:after="0" w:line="140"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Registration Statement and to all references to our Firm included in or made a part of the Registration Statement. In giving such consent, we do not thereby admit that we are in the category of persons whose consent is required under Section 7 of the Securities Act.</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Sidley Austin LLP</w:t>
      </w:r>
    </w:p>
    <w:p>
      <w:pPr>
        <w:sectPr>
          <w:pgSz w:w="11900" w:h="16838" w:orient="portrait"/>
          <w:cols w:equalWidth="0" w:num="1">
            <w:col w:w="10860"/>
          </w:cols>
          <w:pgMar w:left="440" w:top="270" w:right="5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use of our report dated March 14, 2022, with respect to the financial statements of Biodesix, Inc., incorporated herein by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 2023</w:t>
      </w:r>
    </w:p>
    <w:p>
      <w:pPr>
        <w:sectPr>
          <w:pgSz w:w="11900" w:h="16838" w:orient="portrait"/>
          <w:cols w:equalWidth="0" w:num="1">
            <w:col w:w="11020"/>
          </w:cols>
          <w:pgMar w:left="440" w:top="117" w:right="4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Table 1: Newly Registered Securities</w:t>
      </w:r>
    </w:p>
    <w:p>
      <w:pPr>
        <w:spacing w:after="0" w:line="250" w:lineRule="exact"/>
        <w:rPr>
          <w:sz w:val="20"/>
          <w:szCs w:val="20"/>
          <w:color w:val="auto"/>
        </w:rPr>
      </w:pPr>
    </w:p>
    <w:tbl>
      <w:tblPr>
        <w:tblLayout w:type="fixed"/>
        <w:tblInd w:w="1334" w:type="dxa"/>
        <w:tblCellMar>
          <w:top w:w="0" w:type="dxa"/>
          <w:left w:w="0" w:type="dxa"/>
          <w:bottom w:w="0" w:type="dxa"/>
          <w:right w:w="0" w:type="dxa"/>
        </w:tblCellMar>
      </w:tblPr>
      <w:tr>
        <w:trPr>
          <w:trHeight w:val="144"/>
        </w:trPr>
        <w:tc>
          <w:tcPr>
            <w:tcW w:w="780" w:type="dxa"/>
            <w:vAlign w:val="bottom"/>
            <w:tcBorders>
              <w:top w:val="single" w:sz="8" w:color="auto"/>
              <w:left w:val="single" w:sz="8" w:color="auto"/>
              <w:right w:val="single" w:sz="8" w:color="auto"/>
            </w:tcBorders>
          </w:tcPr>
          <w:p>
            <w:pPr>
              <w:spacing w:after="0"/>
              <w:rPr>
                <w:sz w:val="12"/>
                <w:szCs w:val="12"/>
                <w:color w:val="auto"/>
              </w:rPr>
            </w:pPr>
          </w:p>
        </w:tc>
        <w:tc>
          <w:tcPr>
            <w:tcW w:w="1440" w:type="dxa"/>
            <w:vAlign w:val="bottom"/>
            <w:tcBorders>
              <w:top w:val="single" w:sz="8" w:color="auto"/>
              <w:right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Proposed</w:t>
            </w:r>
          </w:p>
        </w:tc>
        <w:tc>
          <w:tcPr>
            <w:tcW w:w="1340" w:type="dxa"/>
            <w:vAlign w:val="bottom"/>
            <w:tcBorders>
              <w:top w:val="single" w:sz="8" w:color="auto"/>
              <w:right w:val="single" w:sz="8" w:color="auto"/>
            </w:tcBorders>
          </w:tcPr>
          <w:p>
            <w:pPr>
              <w:spacing w:after="0"/>
              <w:rPr>
                <w:sz w:val="12"/>
                <w:szCs w:val="12"/>
                <w:color w:val="auto"/>
              </w:rPr>
            </w:pPr>
          </w:p>
        </w:tc>
        <w:tc>
          <w:tcPr>
            <w:tcW w:w="1240" w:type="dxa"/>
            <w:vAlign w:val="bottom"/>
            <w:tcBorders>
              <w:top w:val="single" w:sz="8" w:color="auto"/>
              <w:right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r>
      <w:tr>
        <w:trPr>
          <w:trHeight w:val="135"/>
        </w:trPr>
        <w:tc>
          <w:tcPr>
            <w:tcW w:w="780" w:type="dxa"/>
            <w:vAlign w:val="bottom"/>
            <w:tcBorders>
              <w:left w:val="single" w:sz="8" w:color="auto"/>
              <w:right w:val="single" w:sz="8" w:color="auto"/>
            </w:tcBorders>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34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r>
      <w:tr>
        <w:trPr>
          <w:trHeight w:val="135"/>
        </w:trPr>
        <w:tc>
          <w:tcPr>
            <w:tcW w:w="780" w:type="dxa"/>
            <w:vAlign w:val="bottom"/>
            <w:tcBorders>
              <w:left w:val="single" w:sz="8" w:color="auto"/>
              <w:right w:val="single" w:sz="8" w:color="auto"/>
            </w:tcBorders>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2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r>
      <w:tr>
        <w:trPr>
          <w:trHeight w:val="135"/>
        </w:trPr>
        <w:tc>
          <w:tcPr>
            <w:tcW w:w="780" w:type="dxa"/>
            <w:vAlign w:val="bottom"/>
            <w:tcBorders>
              <w:left w:val="single" w:sz="8" w:color="auto"/>
              <w:right w:val="single" w:sz="8" w:color="auto"/>
            </w:tcBorders>
          </w:tcPr>
          <w:p>
            <w:pPr>
              <w:jc w:val="center"/>
              <w:ind w:left="41"/>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4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Fee Calculation</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 Offering</w:t>
            </w:r>
          </w:p>
        </w:tc>
        <w:tc>
          <w:tcPr>
            <w:tcW w:w="12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Registration</w:t>
            </w:r>
          </w:p>
        </w:tc>
      </w:tr>
      <w:tr>
        <w:trPr>
          <w:trHeight w:val="167"/>
        </w:trPr>
        <w:tc>
          <w:tcPr>
            <w:tcW w:w="780" w:type="dxa"/>
            <w:vAlign w:val="bottom"/>
            <w:tcBorders>
              <w:left w:val="single" w:sz="8" w:color="auto"/>
              <w:bottom w:val="single" w:sz="8" w:color="auto"/>
              <w:right w:val="single" w:sz="8" w:color="auto"/>
            </w:tcBorders>
          </w:tcPr>
          <w:p>
            <w:pPr>
              <w:jc w:val="center"/>
              <w:ind w:left="61"/>
              <w:spacing w:after="0"/>
              <w:rPr>
                <w:sz w:val="20"/>
                <w:szCs w:val="20"/>
                <w:color w:val="auto"/>
              </w:rPr>
            </w:pPr>
            <w:r>
              <w:rPr>
                <w:rFonts w:ascii="Times New Roman" w:cs="Times New Roman" w:eastAsia="Times New Roman" w:hAnsi="Times New Roman"/>
                <w:sz w:val="13"/>
                <w:szCs w:val="13"/>
                <w:color w:val="auto"/>
                <w:w w:val="89"/>
              </w:rPr>
              <w:t>Type</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Security Class Title</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000" w:type="dxa"/>
            <w:vAlign w:val="bottom"/>
            <w:tcBorders>
              <w:bottom w:val="single" w:sz="8" w:color="auto"/>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3"/>
                <w:szCs w:val="13"/>
                <w:color w:val="auto"/>
                <w:w w:val="91"/>
              </w:rPr>
              <w:t>Registered</w:t>
            </w:r>
            <w:r>
              <w:rPr>
                <w:rFonts w:ascii="Times New Roman" w:cs="Times New Roman" w:eastAsia="Times New Roman" w:hAnsi="Times New Roman"/>
                <w:sz w:val="18"/>
                <w:szCs w:val="18"/>
                <w:color w:val="auto"/>
                <w:w w:val="91"/>
                <w:vertAlign w:val="superscript"/>
              </w:rPr>
              <w:t>(1)</w:t>
            </w:r>
          </w:p>
        </w:tc>
        <w:tc>
          <w:tcPr>
            <w:tcW w:w="740" w:type="dxa"/>
            <w:vAlign w:val="bottom"/>
            <w:tcBorders>
              <w:bottom w:val="single" w:sz="8" w:color="auto"/>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3"/>
                <w:szCs w:val="13"/>
                <w:color w:val="auto"/>
                <w:w w:val="91"/>
              </w:rPr>
              <w:t>Unit</w:t>
            </w:r>
            <w:r>
              <w:rPr>
                <w:rFonts w:ascii="Times New Roman" w:cs="Times New Roman" w:eastAsia="Times New Roman" w:hAnsi="Times New Roman"/>
                <w:sz w:val="18"/>
                <w:szCs w:val="18"/>
                <w:color w:val="auto"/>
                <w:w w:val="91"/>
                <w:vertAlign w:val="superscript"/>
              </w:rPr>
              <w:t>(2)</w:t>
            </w:r>
          </w:p>
        </w:tc>
        <w:tc>
          <w:tcPr>
            <w:tcW w:w="1340" w:type="dxa"/>
            <w:vAlign w:val="bottom"/>
            <w:tcBorders>
              <w:bottom w:val="single" w:sz="8" w:color="auto"/>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3"/>
                <w:szCs w:val="13"/>
                <w:color w:val="auto"/>
                <w:w w:val="88"/>
              </w:rPr>
              <w:t>Price</w:t>
            </w:r>
            <w:r>
              <w:rPr>
                <w:rFonts w:ascii="Times New Roman" w:cs="Times New Roman" w:eastAsia="Times New Roman" w:hAnsi="Times New Roman"/>
                <w:sz w:val="18"/>
                <w:szCs w:val="18"/>
                <w:color w:val="auto"/>
                <w:w w:val="88"/>
                <w:vertAlign w:val="superscript"/>
              </w:rPr>
              <w:t>(2)</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 Rate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Fee</w:t>
            </w:r>
          </w:p>
        </w:tc>
      </w:tr>
      <w:tr>
        <w:trPr>
          <w:trHeight w:val="205"/>
        </w:trPr>
        <w:tc>
          <w:tcPr>
            <w:tcW w:w="780" w:type="dxa"/>
            <w:vAlign w:val="bottom"/>
            <w:tcBorders>
              <w:left w:val="single" w:sz="8" w:color="auto"/>
              <w:right w:val="single" w:sz="8" w:color="auto"/>
            </w:tcBorders>
          </w:tcPr>
          <w:p>
            <w:pPr>
              <w:jc w:val="center"/>
              <w:ind w:left="61"/>
              <w:spacing w:after="0" w:line="205" w:lineRule="exact"/>
              <w:rPr>
                <w:sz w:val="20"/>
                <w:szCs w:val="20"/>
                <w:color w:val="auto"/>
              </w:rPr>
            </w:pPr>
            <w:r>
              <w:rPr>
                <w:rFonts w:ascii="Times New Roman" w:cs="Times New Roman" w:eastAsia="Times New Roman" w:hAnsi="Times New Roman"/>
                <w:sz w:val="18"/>
                <w:szCs w:val="18"/>
                <w:color w:val="auto"/>
                <w:w w:val="99"/>
              </w:rPr>
              <w:t>Equity</w:t>
            </w:r>
          </w:p>
        </w:tc>
        <w:tc>
          <w:tcPr>
            <w:tcW w:w="144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Common Stock,</w:t>
            </w:r>
          </w:p>
        </w:tc>
        <w:tc>
          <w:tcPr>
            <w:tcW w:w="102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Rule 457(c)</w:t>
            </w:r>
          </w:p>
        </w:tc>
        <w:tc>
          <w:tcPr>
            <w:tcW w:w="1000" w:type="dxa"/>
            <w:vAlign w:val="bottom"/>
            <w:tcBorders>
              <w:right w:val="single" w:sz="8" w:color="auto"/>
            </w:tcBorders>
          </w:tcPr>
          <w:p>
            <w:pPr>
              <w:jc w:val="center"/>
              <w:spacing w:after="0" w:line="204" w:lineRule="exact"/>
              <w:rPr>
                <w:sz w:val="20"/>
                <w:szCs w:val="20"/>
                <w:color w:val="auto"/>
              </w:rPr>
            </w:pPr>
            <w:r>
              <w:rPr>
                <w:rFonts w:ascii="Times New Roman" w:cs="Times New Roman" w:eastAsia="Times New Roman" w:hAnsi="Times New Roman"/>
                <w:sz w:val="16"/>
                <w:szCs w:val="16"/>
                <w:color w:val="auto"/>
              </w:rPr>
              <w:t>3,104,574</w:t>
            </w:r>
            <w:r>
              <w:rPr>
                <w:rFonts w:ascii="Times New Roman" w:cs="Times New Roman" w:eastAsia="Times New Roman" w:hAnsi="Times New Roman"/>
                <w:sz w:val="23"/>
                <w:szCs w:val="23"/>
                <w:color w:val="auto"/>
                <w:vertAlign w:val="superscript"/>
              </w:rPr>
              <w:t>(3)</w:t>
            </w:r>
          </w:p>
        </w:tc>
        <w:tc>
          <w:tcPr>
            <w:tcW w:w="74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$2.40</w:t>
            </w:r>
          </w:p>
        </w:tc>
        <w:tc>
          <w:tcPr>
            <w:tcW w:w="134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$7,450,977.60</w:t>
            </w:r>
          </w:p>
        </w:tc>
        <w:tc>
          <w:tcPr>
            <w:tcW w:w="124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0.00011020</w:t>
            </w:r>
          </w:p>
        </w:tc>
        <w:tc>
          <w:tcPr>
            <w:tcW w:w="82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$821.10</w:t>
            </w: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 $0.001</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Rule</w:t>
            </w:r>
          </w:p>
        </w:tc>
        <w:tc>
          <w:tcPr>
            <w:tcW w:w="10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41"/>
        </w:trPr>
        <w:tc>
          <w:tcPr>
            <w:tcW w:w="780" w:type="dxa"/>
            <w:vAlign w:val="bottom"/>
            <w:tcBorders>
              <w:left w:val="single" w:sz="8" w:color="auto"/>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00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r>
      <w:tr>
        <w:trPr>
          <w:trHeight w:val="211"/>
        </w:trPr>
        <w:tc>
          <w:tcPr>
            <w:tcW w:w="780" w:type="dxa"/>
            <w:vAlign w:val="bottom"/>
            <w:tcBorders>
              <w:left w:val="single" w:sz="8" w:color="auto"/>
              <w:right w:val="single" w:sz="8" w:color="auto"/>
            </w:tcBorders>
          </w:tcPr>
          <w:p>
            <w:pPr>
              <w:jc w:val="center"/>
              <w:ind w:left="61"/>
              <w:spacing w:after="0"/>
              <w:rPr>
                <w:sz w:val="20"/>
                <w:szCs w:val="20"/>
                <w:color w:val="auto"/>
              </w:rPr>
            </w:pPr>
            <w:r>
              <w:rPr>
                <w:rFonts w:ascii="Times New Roman" w:cs="Times New Roman" w:eastAsia="Times New Roman" w:hAnsi="Times New Roman"/>
                <w:sz w:val="18"/>
                <w:szCs w:val="18"/>
                <w:color w:val="auto"/>
                <w:w w:val="99"/>
              </w:rPr>
              <w:t>Equity</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Rule 457(c)</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7"/>
                <w:szCs w:val="17"/>
                <w:color w:val="auto"/>
              </w:rPr>
              <w:t>307,896</w:t>
            </w:r>
            <w:r>
              <w:rPr>
                <w:rFonts w:ascii="Times New Roman" w:cs="Times New Roman" w:eastAsia="Times New Roman" w:hAnsi="Times New Roman"/>
                <w:sz w:val="24"/>
                <w:szCs w:val="24"/>
                <w:color w:val="auto"/>
                <w:vertAlign w:val="superscript"/>
              </w:rPr>
              <w:t>(4)</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$2.40</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$738,950.40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0.00011020</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$81.43</w:t>
            </w: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 $0.001</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Rule</w:t>
            </w:r>
          </w:p>
        </w:tc>
        <w:tc>
          <w:tcPr>
            <w:tcW w:w="10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41"/>
        </w:trPr>
        <w:tc>
          <w:tcPr>
            <w:tcW w:w="780" w:type="dxa"/>
            <w:vAlign w:val="bottom"/>
            <w:tcBorders>
              <w:left w:val="single" w:sz="8" w:color="auto"/>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00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r>
      <w:tr>
        <w:trPr>
          <w:trHeight w:val="211"/>
        </w:trPr>
        <w:tc>
          <w:tcPr>
            <w:tcW w:w="780" w:type="dxa"/>
            <w:vAlign w:val="bottom"/>
            <w:tcBorders>
              <w:left w:val="single" w:sz="8" w:color="auto"/>
              <w:right w:val="single" w:sz="8" w:color="auto"/>
            </w:tcBorders>
          </w:tcPr>
          <w:p>
            <w:pPr>
              <w:jc w:val="center"/>
              <w:ind w:left="61"/>
              <w:spacing w:after="0"/>
              <w:rPr>
                <w:sz w:val="20"/>
                <w:szCs w:val="20"/>
                <w:color w:val="auto"/>
              </w:rPr>
            </w:pPr>
            <w:r>
              <w:rPr>
                <w:rFonts w:ascii="Times New Roman" w:cs="Times New Roman" w:eastAsia="Times New Roman" w:hAnsi="Times New Roman"/>
                <w:sz w:val="18"/>
                <w:szCs w:val="18"/>
                <w:color w:val="auto"/>
                <w:w w:val="99"/>
              </w:rPr>
              <w:t>Equity</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Rule 457(c)</w:t>
            </w:r>
          </w:p>
        </w:tc>
        <w:tc>
          <w:tcPr>
            <w:tcW w:w="100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7"/>
                <w:szCs w:val="17"/>
                <w:color w:val="auto"/>
              </w:rPr>
              <w:t>338,106</w:t>
            </w:r>
            <w:r>
              <w:rPr>
                <w:rFonts w:ascii="Times New Roman" w:cs="Times New Roman" w:eastAsia="Times New Roman" w:hAnsi="Times New Roman"/>
                <w:sz w:val="24"/>
                <w:szCs w:val="24"/>
                <w:color w:val="auto"/>
                <w:vertAlign w:val="superscript"/>
              </w:rPr>
              <w:t>(5)</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$2.40</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$811,454.40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0.00011020</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$89.42</w:t>
            </w:r>
          </w:p>
        </w:tc>
      </w:tr>
      <w:tr>
        <w:trPr>
          <w:trHeight w:val="216"/>
        </w:trPr>
        <w:tc>
          <w:tcPr>
            <w:tcW w:w="780" w:type="dxa"/>
            <w:vAlign w:val="bottom"/>
            <w:tcBorders>
              <w:left w:val="single" w:sz="8" w:color="auto"/>
              <w:right w:val="single" w:sz="8" w:color="auto"/>
            </w:tcBorders>
          </w:tcPr>
          <w:p>
            <w:pPr>
              <w:spacing w:after="0"/>
              <w:rPr>
                <w:sz w:val="18"/>
                <w:szCs w:val="18"/>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 $0.001</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Rule</w:t>
            </w:r>
          </w:p>
        </w:tc>
        <w:tc>
          <w:tcPr>
            <w:tcW w:w="10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241"/>
        </w:trPr>
        <w:tc>
          <w:tcPr>
            <w:tcW w:w="780" w:type="dxa"/>
            <w:vAlign w:val="bottom"/>
            <w:tcBorders>
              <w:left w:val="single" w:sz="8" w:color="auto"/>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00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r>
      <w:tr>
        <w:trPr>
          <w:trHeight w:val="239"/>
        </w:trPr>
        <w:tc>
          <w:tcPr>
            <w:tcW w:w="780" w:type="dxa"/>
            <w:vAlign w:val="bottom"/>
            <w:tcBorders>
              <w:left w:val="single" w:sz="8" w:color="auto"/>
              <w:bottom w:val="single" w:sz="8" w:color="auto"/>
            </w:tcBorders>
          </w:tcPr>
          <w:p>
            <w:pPr>
              <w:spacing w:after="0"/>
              <w:rPr>
                <w:sz w:val="20"/>
                <w:szCs w:val="20"/>
                <w:color w:val="auto"/>
              </w:rPr>
            </w:pPr>
          </w:p>
        </w:tc>
        <w:tc>
          <w:tcPr>
            <w:tcW w:w="2460" w:type="dxa"/>
            <w:vAlign w:val="bottom"/>
            <w:tcBorders>
              <w:bottom w:val="single" w:sz="8" w:color="auto"/>
            </w:tcBorders>
            <w:gridSpan w:val="2"/>
          </w:tcPr>
          <w:p>
            <w:pPr>
              <w:jc w:val="center"/>
              <w:ind w:left="272"/>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00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$9,001,382.40</w:t>
            </w:r>
          </w:p>
        </w:tc>
        <w:tc>
          <w:tcPr>
            <w:tcW w:w="12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$991.95</w:t>
            </w:r>
          </w:p>
        </w:tc>
      </w:tr>
      <w:tr>
        <w:trPr>
          <w:trHeight w:val="237"/>
        </w:trPr>
        <w:tc>
          <w:tcPr>
            <w:tcW w:w="780" w:type="dxa"/>
            <w:vAlign w:val="bottom"/>
            <w:tcBorders>
              <w:left w:val="single" w:sz="8" w:color="auto"/>
              <w:bottom w:val="single" w:sz="8" w:color="auto"/>
            </w:tcBorders>
          </w:tcPr>
          <w:p>
            <w:pPr>
              <w:spacing w:after="0"/>
              <w:rPr>
                <w:sz w:val="20"/>
                <w:szCs w:val="20"/>
                <w:color w:val="auto"/>
              </w:rPr>
            </w:pPr>
          </w:p>
        </w:tc>
        <w:tc>
          <w:tcPr>
            <w:tcW w:w="2460" w:type="dxa"/>
            <w:vAlign w:val="bottom"/>
            <w:tcBorders>
              <w:bottom w:val="single" w:sz="8" w:color="auto"/>
            </w:tcBorders>
            <w:gridSpan w:val="2"/>
          </w:tcPr>
          <w:p>
            <w:pPr>
              <w:jc w:val="center"/>
              <w:ind w:left="272"/>
              <w:spacing w:after="0"/>
              <w:rPr>
                <w:sz w:val="20"/>
                <w:szCs w:val="20"/>
                <w:color w:val="auto"/>
              </w:rPr>
            </w:pPr>
            <w:r>
              <w:rPr>
                <w:rFonts w:ascii="Times New Roman" w:cs="Times New Roman" w:eastAsia="Times New Roman" w:hAnsi="Times New Roman"/>
                <w:sz w:val="18"/>
                <w:szCs w:val="18"/>
                <w:color w:val="auto"/>
                <w:w w:val="97"/>
              </w:rPr>
              <w:t>Total Fee Offsets</w:t>
            </w:r>
          </w:p>
        </w:tc>
        <w:tc>
          <w:tcPr>
            <w:tcW w:w="100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780" w:type="dxa"/>
            <w:vAlign w:val="bottom"/>
            <w:tcBorders>
              <w:left w:val="single" w:sz="8" w:color="auto"/>
              <w:bottom w:val="single" w:sz="8" w:color="auto"/>
            </w:tcBorders>
          </w:tcPr>
          <w:p>
            <w:pPr>
              <w:spacing w:after="0"/>
              <w:rPr>
                <w:sz w:val="20"/>
                <w:szCs w:val="20"/>
                <w:color w:val="auto"/>
              </w:rPr>
            </w:pPr>
          </w:p>
        </w:tc>
        <w:tc>
          <w:tcPr>
            <w:tcW w:w="2460" w:type="dxa"/>
            <w:vAlign w:val="bottom"/>
            <w:tcBorders>
              <w:bottom w:val="single" w:sz="8" w:color="auto"/>
            </w:tcBorders>
            <w:gridSpan w:val="2"/>
          </w:tcPr>
          <w:p>
            <w:pPr>
              <w:jc w:val="center"/>
              <w:ind w:left="272"/>
              <w:spacing w:after="0"/>
              <w:rPr>
                <w:sz w:val="20"/>
                <w:szCs w:val="20"/>
                <w:color w:val="auto"/>
              </w:rPr>
            </w:pPr>
            <w:r>
              <w:rPr>
                <w:rFonts w:ascii="Times New Roman" w:cs="Times New Roman" w:eastAsia="Times New Roman" w:hAnsi="Times New Roman"/>
                <w:sz w:val="18"/>
                <w:szCs w:val="18"/>
                <w:color w:val="auto"/>
                <w:w w:val="98"/>
              </w:rPr>
              <w:t>Net Fee Due</w:t>
            </w:r>
          </w:p>
        </w:tc>
        <w:tc>
          <w:tcPr>
            <w:tcW w:w="100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$991.95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7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72" w:lineRule="exact"/>
        <w:rPr>
          <w:sz w:val="20"/>
          <w:szCs w:val="20"/>
          <w:color w:val="auto"/>
        </w:rPr>
      </w:pPr>
    </w:p>
    <w:p>
      <w:pPr>
        <w:ind w:left="424" w:right="80" w:hanging="424"/>
        <w:spacing w:after="0" w:line="227" w:lineRule="auto"/>
        <w:tabs>
          <w:tab w:leader="none" w:pos="424"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Pursuant to Rule 416 of the Securities Act of 1933, as amended (the “Securities Act”), this Registration Statement also covers such additional and indeterminate number of shares of common stock, par value $0.001 per share (the “Common Stock”) of Biodesix, Inc., a Delaware corporation (the “Registrant”), as may become issuable pursuant to the provisions of the plans relating to adjustments for changes resulting from a share dividend, share split or similar change.</w:t>
      </w:r>
    </w:p>
    <w:p>
      <w:pPr>
        <w:spacing w:after="0" w:line="1" w:lineRule="exact"/>
        <w:rPr>
          <w:rFonts w:ascii="Times New Roman" w:cs="Times New Roman" w:eastAsia="Times New Roman" w:hAnsi="Times New Roman"/>
          <w:sz w:val="27"/>
          <w:szCs w:val="27"/>
          <w:color w:val="auto"/>
          <w:vertAlign w:val="superscript"/>
        </w:rPr>
      </w:pPr>
    </w:p>
    <w:p>
      <w:pPr>
        <w:ind w:left="424" w:right="180" w:hanging="424"/>
        <w:spacing w:after="0" w:line="214" w:lineRule="auto"/>
        <w:tabs>
          <w:tab w:leader="none" w:pos="424"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Estimated pursuant to Rule 457(h) under the Securities Act solely for the purpose of calculating the registration fee. The price of $2.40 per share represents the average high and low prices of the Common Stock as quoted on the Nasdaq Global Select Market on January 30, 2023, a date within five business days prior to the filing of this Registration Statement, in accordance with Rule 457(c) of the Securities Act.</w:t>
      </w:r>
    </w:p>
    <w:p>
      <w:pPr>
        <w:spacing w:after="0" w:line="2" w:lineRule="exact"/>
        <w:rPr>
          <w:rFonts w:ascii="Times New Roman" w:cs="Times New Roman" w:eastAsia="Times New Roman" w:hAnsi="Times New Roman"/>
          <w:sz w:val="27"/>
          <w:szCs w:val="27"/>
          <w:color w:val="auto"/>
          <w:vertAlign w:val="superscript"/>
        </w:rPr>
      </w:pPr>
    </w:p>
    <w:p>
      <w:pPr>
        <w:ind w:left="424" w:right="20" w:hanging="424"/>
        <w:spacing w:after="0" w:line="231" w:lineRule="auto"/>
        <w:tabs>
          <w:tab w:leader="none" w:pos="424"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shares of Common Stock that were automatically added to the shares authorized for issuance under the Biodesix, Inc. 2020 Equity Incentive Plan (the “2020 Plan”) on January 1, 2022 pursuant to an “evergreen” provision contained in the 2020 Plan. Pursuant to such provision, on the first day of each fiscal year, beginning with the fiscal year ending December 31, 2022, and continuing until, and including, the calendar year ending December 31, 2030, the number of shares authorized for issuance under the 2020 Plan is automatically increased by a number equal to the lesser of (i) 4% of the number of shares of Common Stock issued and outstanding as of the December 31st of the immediately preceding calendar year and (ii) such lesser amount determined by the Registrant’s board of directors.</w:t>
      </w:r>
    </w:p>
    <w:p>
      <w:pPr>
        <w:spacing w:after="0" w:line="1" w:lineRule="exact"/>
        <w:rPr>
          <w:rFonts w:ascii="Times New Roman" w:cs="Times New Roman" w:eastAsia="Times New Roman" w:hAnsi="Times New Roman"/>
          <w:sz w:val="27"/>
          <w:szCs w:val="27"/>
          <w:color w:val="auto"/>
          <w:vertAlign w:val="superscript"/>
        </w:rPr>
      </w:pPr>
    </w:p>
    <w:p>
      <w:pPr>
        <w:ind w:left="424" w:right="80" w:hanging="424"/>
        <w:spacing w:after="0" w:line="233" w:lineRule="auto"/>
        <w:tabs>
          <w:tab w:leader="none" w:pos="424"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shares of Common Stock that were automatically added to the shares authorized for issuance under the Biodesix, Inc. Employee Stock Purchase Plan (the “ESPP”) on January 1, 2022 pursuant to an “evergreen” provision contained in the ESPP (the “ESPP evergreen provision”). Pursuant to the ESPP evergreen provision, on the first day of each fiscal year, beginning with the fiscal year ending December 31, 2022, and continuing until, and including, the fiscal year ending December 31, 2030, the number of shares authorized for issuance under the ESPP is automatically increased by a number equal to the lesser of (i) 338,106 shares, (ii) 1% of the number of shares of Common Stock issued and outstanding as of the December 31st of the immediately preceding fiscal year and (iii) such lesser amount determined by the Registrant’s board of directors.</w:t>
      </w:r>
    </w:p>
    <w:p>
      <w:pPr>
        <w:spacing w:after="0" w:line="4" w:lineRule="exact"/>
        <w:rPr>
          <w:rFonts w:ascii="Times New Roman" w:cs="Times New Roman" w:eastAsia="Times New Roman" w:hAnsi="Times New Roman"/>
          <w:sz w:val="27"/>
          <w:szCs w:val="27"/>
          <w:color w:val="auto"/>
          <w:vertAlign w:val="superscript"/>
        </w:rPr>
      </w:pPr>
    </w:p>
    <w:p>
      <w:pPr>
        <w:ind w:left="424" w:right="480" w:hanging="424"/>
        <w:spacing w:after="0" w:line="200" w:lineRule="auto"/>
        <w:tabs>
          <w:tab w:leader="none" w:pos="424"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shares of Common Stock that were automatically added to the shares authorized for issuance under the ESPP on January 1, 2023 pursuant to the ESPP evergreen provision.</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30" Type="http://schemas.openxmlformats.org/officeDocument/2006/relationships/image" Target="media/image10.png"/><Relationship Id="rId31" Type="http://schemas.openxmlformats.org/officeDocument/2006/relationships/image" Target="media/image11.png"/><Relationship Id="rId32" Type="http://schemas.openxmlformats.org/officeDocument/2006/relationships/image" Target="media/image12.png"/><Relationship Id="rId33" Type="http://schemas.openxmlformats.org/officeDocument/2006/relationships/image" Target="media/image13.png"/><Relationship Id="rId34" Type="http://schemas.openxmlformats.org/officeDocument/2006/relationships/image" Target="media/image14.png"/><Relationship Id="rId35" Type="http://schemas.openxmlformats.org/officeDocument/2006/relationships/image" Target="media/image15.jpeg"/><Relationship Id="rId36" Type="http://schemas.openxmlformats.org/officeDocument/2006/relationships/image" Target="media/image16.png"/><Relationship Id="rId37" Type="http://schemas.openxmlformats.org/officeDocument/2006/relationships/image" Target="media/image17.png"/><Relationship Id="rId17" Type="http://schemas.openxmlformats.org/officeDocument/2006/relationships/hyperlink" Target="http://www.sec.gov/ix?doc=/Archives/edgar/data/1439725/000095017022003495/bdsx-20211231.htm" TargetMode="External"/><Relationship Id="rId18" Type="http://schemas.openxmlformats.org/officeDocument/2006/relationships/hyperlink" Target="http://www.sec.gov/ix?doc=/Archives/edgar/data/1439725/000095017022009126/bdsx-20220331.htm" TargetMode="External"/><Relationship Id="rId19" Type="http://schemas.openxmlformats.org/officeDocument/2006/relationships/hyperlink" Target="http://www.sec.gov/ix?doc=/Archives/edgar/data/1439725/000095017022014433/bdsx-20220630.htm" TargetMode="External"/><Relationship Id="rId20" Type="http://schemas.openxmlformats.org/officeDocument/2006/relationships/hyperlink" Target="http://www.sec.gov/ix?doc=/Archives/edgar/data/1439725/000095017022021488/bdsx-20220930.htm" TargetMode="External"/><Relationship Id="rId21" Type="http://schemas.openxmlformats.org/officeDocument/2006/relationships/hyperlink" Target="http://www.sec.gov/ix?doc=/Archives/edgar/data/1439725/000095017022005536/bdsx-20220407.htm" TargetMode="External"/><Relationship Id="rId22" Type="http://schemas.openxmlformats.org/officeDocument/2006/relationships/hyperlink" Target="http://www.sec.gov/ix?doc=/Archives/edgar/data/1439725/000119312522159676/d323176d8k.htm" TargetMode="External"/><Relationship Id="rId23" Type="http://schemas.openxmlformats.org/officeDocument/2006/relationships/hyperlink" Target="http://www.sec.gov/ix?doc=/Archives/edgar/data/1439725/000095017022025530/bdsx-20221116.htm" TargetMode="External"/><Relationship Id="rId24" Type="http://schemas.openxmlformats.org/officeDocument/2006/relationships/hyperlink" Target="http://www.sec.gov/ix?doc=/Archives/edgar/data/1439725/000095017022026669/bdsx-20221214.htm" TargetMode="External"/><Relationship Id="rId25" Type="http://schemas.openxmlformats.org/officeDocument/2006/relationships/hyperlink" Target="http://www.sec.gov/Archives/edgar/data/1439725/000119312520275716/d94177d8a12b.htm" TargetMode="External"/><Relationship Id="rId26" Type="http://schemas.openxmlformats.org/officeDocument/2006/relationships/hyperlink" Target="http://www.sec.gov/Archives/edgar/data/1439725/000119312520273369/d937421dex32.htm" TargetMode="External"/><Relationship Id="rId27" Type="http://schemas.openxmlformats.org/officeDocument/2006/relationships/hyperlink" Target="http://www.sec.gov/Archives/edgar/data/1439725/000119312520273369/d937421dex34.htm" TargetMode="External"/><Relationship Id="rId28" Type="http://schemas.openxmlformats.org/officeDocument/2006/relationships/hyperlink" Target="http://www.sec.gov/Archives/edgar/data/1439725/000119312520275630/d937421dex105.htm" TargetMode="External"/><Relationship Id="rId29" Type="http://schemas.openxmlformats.org/officeDocument/2006/relationships/hyperlink" Target="http://www.sec.gov/Archives/edgar/data/1439725/000119312520275630/d937421d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2023-02-02T15:48:09Z</dcterms:created>
  <dcterms:modified xsi:type="dcterms:W3CDTF">2023-02-02T15:48:09Z</dcterms:modified>
</cp:coreProperties>
</file>