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23495</wp:posOffset>
            </wp:positionV>
            <wp:extent cx="6993255" cy="5034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34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80"/>
            <w:col w:w="854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Watts Charles M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919 WEST DILLON RD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LOUISVILLE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80027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BIODESIX INC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BDSX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07/16/2024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07/16/2024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26,368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375,019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26,368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07/16/2024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26,368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Issuer's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RSUs vested in full on July 1, 2024.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Robin H. Cowie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938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Charles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07/18/2024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Watts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2400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23751" TargetMode="External"/><Relationship Id="rId13" Type="http://schemas.openxmlformats.org/officeDocument/2006/relationships/hyperlink" Target="http://www.sec.gov/cgi-bin/browse-edgar?action=getcompany&amp;CIK=0001439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2024-07-18T15:43:20Z</dcterms:created>
  <dcterms:modified xsi:type="dcterms:W3CDTF">2024-07-18T15:43:20Z</dcterms:modified>
</cp:coreProperties>
</file>