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29871_sc13da.htm"/>
      <w:bookmarkStart w:id="1" w:name="ksef20029871_sc13da"/>
      <w:bookmarkStart w:id="2" w:name="ef20029871_sc13da.htm"/>
      <w:bookmarkStart w:id="3" w:name="ksef20029871_sc13d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13D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u w:val="single"/>
        </w:rPr>
      </w:pPr>
      <w:r>
        <w:rPr>
          <w:rFonts w:ascii="Times New Roman" w:hAnsi="Times New Roman"/>
          <w:b/>
          <w:color w:val="000000"/>
          <w:sz w:val="48"/>
          <w:u w:val="single"/>
        </w:rPr>
        <w:t>Biodesix, Inc.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(Name of Issuer)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Common Stock, par value $0.001 per share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(Title of Class of Securities)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09075X108</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(CUSIP Number)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Lawrence T. Kennedy, Jr.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1700 Madison Road, Suite 200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Cincinnati, OH 45206</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(513) 729-9659</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Address and Telephone Number of Person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Authorized to Receive Notices and Communications)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May 21, 2024</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 of Event which Requires Filing of this Statement)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Note: Schedules filed in paper format shall include a signed original and five copies of the schedule, including all exhibits.  See Rule 13d-7 for other parties to whom copies are to be sent.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2</w:t>
            </w:r>
            <w:r>
              <w:rPr>
                <w:color w:val="000000"/>
              </w:rPr>
              <w:t xml:space="preserve"> of </w:t>
            </w:r>
            <w:r>
              <w:rPr>
                <w:b/>
                <w:color w:val="000000"/>
              </w:rPr>
              <w:t xml:space="preserve">8 </w:t>
            </w:r>
            <w:r>
              <w:rPr>
                <w:color w:val="000000"/>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Lawrence T. Kennedy, Jr. Revocable Trust UAD 6/19/01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Ohio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10,304,824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10,304,824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10,304,824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7.1%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81c85fad349e4f46a141019e2200e798"/>
      <w:bookmarkStart w:id="5" w:name="z81c85fad349e4f46a141019e2200e798"/>
      <w:bookmarkEnd w:id="5"/>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color w:val="000000"/>
              </w:rPr>
            </w:pPr>
            <w:r>
              <w:rPr>
                <w:color w:val="000000"/>
              </w:rPr>
              <w:t>1.</w:t>
            </w:r>
          </w:p>
        </w:tc>
        <w:tc>
          <w:tcPr>
            <w:tcW w:w="10037" w:type="dxa"/>
            <w:tcBorders/>
            <w:vAlign w:val="center"/>
          </w:tcPr>
          <w:p>
            <w:pPr>
              <w:pStyle w:val="TableContents"/>
              <w:bidi w:val="0"/>
              <w:spacing w:before="0" w:after="0"/>
              <w:jc w:val="left"/>
              <w:rPr>
                <w:color w:val="000000"/>
              </w:rPr>
            </w:pPr>
            <w:r>
              <w:rPr>
                <w:color w:val="000000"/>
              </w:rPr>
              <w:t>This percentage is based on a total of 114,685,783 Shares (as defined herein) outstanding as of May 1, 2024, as reported in the Issuer’s quarterly report on Form 10-Q filed with the SEC (as defined herein) on May 8, 2024, plus an aggregate 30,434,280 Shares issued upon conversion of Series A Preferred Stock (as defined herein) on May 23, 2024 following the approval of the Conversion Proposal (as defined herein).</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3</w:t>
            </w:r>
            <w:r>
              <w:rPr>
                <w:color w:val="000000"/>
              </w:rPr>
              <w:t xml:space="preserve"> of </w:t>
            </w:r>
            <w:r>
              <w:rPr>
                <w:b/>
                <w:color w:val="000000"/>
              </w:rPr>
              <w:t xml:space="preserve">8 </w:t>
            </w:r>
            <w:r>
              <w:rPr>
                <w:color w:val="000000"/>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5"/>
        <w:gridCol w:w="4505"/>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Lawrence T. Kennedy, Jr. Perpetuity Trust UAD 6/30/16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12,267,873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12,267,873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12,267,873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8.5%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1201ed2b5867474e86899cf72dca3abe"/>
      <w:bookmarkStart w:id="7" w:name="z1201ed2b5867474e86899cf72dca3abe"/>
      <w:bookmarkEnd w:id="7"/>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color w:val="000000"/>
              </w:rPr>
            </w:pPr>
            <w:r>
              <w:rPr>
                <w:color w:val="000000"/>
              </w:rPr>
              <w:t>1.</w:t>
            </w:r>
          </w:p>
          <w:p>
            <w:pPr>
              <w:pStyle w:val="TableContents"/>
              <w:bidi w:val="0"/>
              <w:spacing w:before="0" w:after="0"/>
              <w:jc w:val="left"/>
              <w:rPr/>
            </w:pPr>
            <w:r>
              <w:rPr/>
            </w:r>
          </w:p>
          <w:p>
            <w:pPr>
              <w:pStyle w:val="TableContents"/>
              <w:bidi w:val="0"/>
              <w:spacing w:before="0" w:after="0"/>
              <w:jc w:val="left"/>
              <w:rPr>
                <w:color w:val="000000"/>
              </w:rPr>
            </w:pPr>
            <w:r>
              <w:rPr>
                <w:color w:val="000000"/>
              </w:rPr>
            </w:r>
          </w:p>
        </w:tc>
        <w:tc>
          <w:tcPr>
            <w:tcW w:w="10034" w:type="dxa"/>
            <w:tcBorders/>
            <w:vAlign w:val="center"/>
          </w:tcPr>
          <w:p>
            <w:pPr>
              <w:pStyle w:val="TableContents"/>
              <w:bidi w:val="0"/>
              <w:spacing w:before="0" w:after="0"/>
              <w:jc w:val="left"/>
              <w:rPr>
                <w:color w:val="000000"/>
              </w:rPr>
            </w:pPr>
            <w:r>
              <w:rPr>
                <w:color w:val="000000"/>
              </w:rPr>
              <w:t>This percentage is based on a total of 114,685,783 Shares outstanding as of May 1, 2024, as reported in the Issuer’s quarterly report on Form 10-Q filed with the SEC on May 8, 2024, plus an aggregate 30,434,280 Shares issued upon conversion of Series A Preferred Stock on May 23, 2024 following the approval of the Conversion Proposal.</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4</w:t>
            </w:r>
            <w:r>
              <w:rPr>
                <w:color w:val="000000"/>
              </w:rPr>
              <w:t xml:space="preserve"> of </w:t>
            </w:r>
            <w:r>
              <w:rPr>
                <w:b/>
                <w:color w:val="000000"/>
              </w:rPr>
              <w:t xml:space="preserve">8 </w:t>
            </w:r>
            <w:r>
              <w:rPr>
                <w:color w:val="000000"/>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KFDI-B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2,775,386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2,775,386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2,775,386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1.9%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9aa2b5dd5c641168359b7a1989274fe"/>
      <w:bookmarkStart w:id="9" w:name="zb9aa2b5dd5c641168359b7a1989274fe"/>
      <w:bookmarkEnd w:id="9"/>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color w:val="000000"/>
              </w:rPr>
            </w:pPr>
            <w:r>
              <w:rPr>
                <w:color w:val="000000"/>
              </w:rPr>
              <w:t>1.</w:t>
            </w:r>
          </w:p>
        </w:tc>
        <w:tc>
          <w:tcPr>
            <w:tcW w:w="10034" w:type="dxa"/>
            <w:tcBorders/>
            <w:vAlign w:val="center"/>
          </w:tcPr>
          <w:p>
            <w:pPr>
              <w:pStyle w:val="TableContents"/>
              <w:bidi w:val="0"/>
              <w:spacing w:before="0" w:after="0"/>
              <w:jc w:val="left"/>
              <w:rPr>
                <w:color w:val="000000"/>
              </w:rPr>
            </w:pPr>
            <w:r>
              <w:rPr>
                <w:color w:val="000000"/>
              </w:rPr>
              <w:t>This percentage is based on a total of 114,685,783 Shares outstanding as of May 1, 2024, as reported in the Issuer’s quarterly report on Form 10-Q filed with the SEC on May 8, 2024, plus an aggregate 30,434,280 Shares issued upon conversion of Series A Preferred Stock on May 23, 2024 following the approval of the Conversion Proposal.</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5</w:t>
            </w:r>
            <w:r>
              <w:rPr>
                <w:color w:val="000000"/>
              </w:rPr>
              <w:t xml:space="preserve"> of </w:t>
            </w:r>
            <w:r>
              <w:rPr>
                <w:b/>
                <w:color w:val="000000"/>
              </w:rPr>
              <w:t xml:space="preserve">8 </w:t>
            </w:r>
            <w:r>
              <w:rPr>
                <w:color w:val="000000"/>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Lawrence T. Kennedy, Jr.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PF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United States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274,068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25,348,083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274,068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25,348,083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25,622,151 (1)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17.6% (2)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sz w:val="20"/>
              </w:rPr>
            </w:pPr>
            <w:r>
              <w:rPr>
                <w:color w:val="000000"/>
                <w:sz w:val="2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93e3f5644a4340d4842b505d14eee3bc"/>
      <w:bookmarkStart w:id="11" w:name="z93e3f5644a4340d4842b505d14eee3bc"/>
      <w:bookmarkEnd w:id="11"/>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color w:val="000000"/>
              </w:rPr>
            </w:pPr>
            <w:r>
              <w:rPr>
                <w:color w:val="000000"/>
              </w:rPr>
              <w:t>1.</w:t>
            </w:r>
          </w:p>
        </w:tc>
        <w:tc>
          <w:tcPr>
            <w:tcW w:w="10001" w:type="dxa"/>
            <w:tcBorders/>
            <w:vAlign w:val="center"/>
          </w:tcPr>
          <w:p>
            <w:pPr>
              <w:pStyle w:val="TableContents"/>
              <w:bidi w:val="0"/>
              <w:spacing w:before="0" w:after="0"/>
              <w:jc w:val="left"/>
              <w:rPr>
                <w:color w:val="000000"/>
              </w:rPr>
            </w:pPr>
            <w:r>
              <w:rPr>
                <w:color w:val="000000"/>
              </w:rPr>
              <w:t>This amount includes 274,068 Shares that the Reporting Person has the right to acquire within 60 days of the date of this filing.</w:t>
            </w:r>
          </w:p>
        </w:tc>
      </w:tr>
    </w:tbl>
    <w:p>
      <w:pPr>
        <w:pStyle w:val="Normal"/>
        <w:bidi w:val="0"/>
        <w:spacing w:before="0" w:after="0"/>
        <w:jc w:val="left"/>
        <w:rPr>
          <w:sz w:val="4"/>
          <w:szCs w:val="4"/>
        </w:rPr>
      </w:pPr>
      <w:r>
        <w:rPr>
          <w:sz w:val="4"/>
          <w:szCs w:val="4"/>
        </w:rPr>
      </w:r>
      <w:bookmarkStart w:id="12" w:name="z2c1467b615bf43c28702ce8ba408e4dd"/>
      <w:bookmarkStart w:id="13" w:name="z2c1467b615bf43c28702ce8ba408e4dd"/>
      <w:bookmarkEnd w:id="13"/>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color w:val="000000"/>
              </w:rPr>
            </w:pPr>
            <w:r>
              <w:rPr>
                <w:color w:val="000000"/>
              </w:rPr>
              <w:t>2.</w:t>
            </w:r>
          </w:p>
        </w:tc>
        <w:tc>
          <w:tcPr>
            <w:tcW w:w="10038" w:type="dxa"/>
            <w:tcBorders/>
            <w:vAlign w:val="center"/>
          </w:tcPr>
          <w:p>
            <w:pPr>
              <w:pStyle w:val="TableContents"/>
              <w:bidi w:val="0"/>
              <w:spacing w:before="0" w:after="0"/>
              <w:jc w:val="left"/>
              <w:rPr>
                <w:color w:val="000000"/>
              </w:rPr>
            </w:pPr>
            <w:r>
              <w:rPr>
                <w:color w:val="000000"/>
              </w:rPr>
              <w:t>This percentage is based on a total of (i) 114,685,783 Shares outstanding as of May 1, 2024, as reported in the Issuer’s quarterly report on Form 10-Q filed with the SEC on May 8, 2024, (ii) an aggregate 30,434,280 Shares issued upon conversion of Series A Preferred Stock on May 23, 2024 following the approval of the Conversion Proposal, and (iii) 274,068 Shares that the Reporting Person has the right to acquire within 60 days of the date of this filing.</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6</w:t>
            </w:r>
            <w:r>
              <w:rPr>
                <w:color w:val="000000"/>
              </w:rPr>
              <w:t xml:space="preserve"> of </w:t>
            </w:r>
            <w:r>
              <w:rPr>
                <w:b/>
                <w:color w:val="000000"/>
              </w:rPr>
              <w:t xml:space="preserve">8 </w:t>
            </w:r>
            <w:r>
              <w:rPr>
                <w:color w:val="000000"/>
              </w:rPr>
              <w:t>pages</w:t>
            </w:r>
          </w:p>
        </w:tc>
      </w:tr>
    </w:tbl>
    <w:p>
      <w:pPr>
        <w:pStyle w:val="Normal"/>
        <w:bidi w:val="0"/>
        <w:spacing w:before="0" w:after="0"/>
        <w:jc w:val="left"/>
        <w:rPr>
          <w:sz w:val="4"/>
          <w:szCs w:val="4"/>
        </w:rPr>
      </w:pPr>
      <w:r>
        <w:rPr>
          <w:sz w:val="4"/>
          <w:szCs w:val="4"/>
        </w:rPr>
      </w:r>
      <w:bookmarkStart w:id="14" w:name="z185e043913074ebeab6c31d3d5392fc8"/>
      <w:bookmarkStart w:id="15" w:name="z185e043913074ebeab6c31d3d5392fc8"/>
      <w:bookmarkEnd w:id="15"/>
    </w:p>
    <w:tbl>
      <w:tblPr>
        <w:tblW w:w="2740" w:type="dxa"/>
        <w:jc w:val="left"/>
        <w:tblInd w:w="0" w:type="dxa"/>
        <w:tblLayout w:type="fixed"/>
        <w:tblCellMar>
          <w:top w:w="0" w:type="dxa"/>
          <w:left w:w="0" w:type="dxa"/>
          <w:bottom w:w="0" w:type="dxa"/>
          <w:right w:w="0" w:type="dxa"/>
        </w:tblCellMar>
      </w:tblPr>
      <w:tblGrid>
        <w:gridCol w:w="740"/>
        <w:gridCol w:w="200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2000" w:type="dxa"/>
            <w:tcBorders/>
            <w:vAlign w:val="center"/>
          </w:tcPr>
          <w:p>
            <w:pPr>
              <w:pStyle w:val="TableContents"/>
              <w:bidi w:val="0"/>
              <w:spacing w:before="0" w:after="0"/>
              <w:jc w:val="left"/>
              <w:rPr>
                <w:b/>
                <w:color w:val="000000"/>
              </w:rPr>
            </w:pPr>
            <w:r>
              <w:rPr>
                <w:b/>
                <w:color w:val="000000"/>
              </w:rPr>
              <w:t>Security and Issuer</w:t>
            </w:r>
          </w:p>
        </w:tc>
      </w:tr>
    </w:tbl>
    <w:p>
      <w:pPr>
        <w:pStyle w:val="TextBody"/>
        <w:bidi w:val="0"/>
        <w:spacing w:before="0" w:after="0"/>
        <w:jc w:val="left"/>
        <w:rPr/>
      </w:pPr>
      <w:r>
        <w:rPr/>
      </w:r>
    </w:p>
    <w:p>
      <w:pPr>
        <w:pStyle w:val="TextBody"/>
        <w:bidi w:val="0"/>
        <w:spacing w:before="0" w:after="0"/>
        <w:ind w:left="1440" w:right="0" w:hanging="0"/>
        <w:jc w:val="both"/>
        <w:rPr>
          <w:rFonts w:ascii="Times New Roman" w:hAnsi="Times New Roman"/>
          <w:i/>
          <w:color w:val="000000"/>
          <w:sz w:val="20"/>
        </w:rPr>
      </w:pPr>
      <w:r>
        <w:rPr>
          <w:rFonts w:ascii="Times New Roman" w:hAnsi="Times New Roman"/>
          <w:i/>
          <w:color w:val="000000"/>
          <w:sz w:val="20"/>
        </w:rPr>
        <w:t>Item 1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This Amendment No. 3 to Schedule 13D (“Amendment No. 3”) is being filed by the undersigned, pursuant to §240.13d-2(a), to amend and supplement the Schedule 13D filed with the U.S. Securities and Exchange Commission (the “SEC”) on January 13, 2023, as amended on August 7, 2023 and on April 9, 2024 (collectively, the “Schedule 13D”), with respect to the common stock, par value $0.001 per share (the “Shares”), of Biodesix, Inc. (the “Issuer” or the “Company”), whose principal executive offices are located at 919 West Dillon Rd., Louisville, Colorado 80027.</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2f32871399684914b3ffc592fe0898ad"/>
      <w:bookmarkStart w:id="17" w:name="z2f32871399684914b3ffc592fe0898ad"/>
      <w:bookmarkEnd w:id="17"/>
    </w:p>
    <w:tbl>
      <w:tblPr>
        <w:tblW w:w="3355" w:type="dxa"/>
        <w:jc w:val="left"/>
        <w:tblInd w:w="0" w:type="dxa"/>
        <w:tblLayout w:type="fixed"/>
        <w:tblCellMar>
          <w:top w:w="0" w:type="dxa"/>
          <w:left w:w="0" w:type="dxa"/>
          <w:bottom w:w="0" w:type="dxa"/>
          <w:right w:w="0" w:type="dxa"/>
        </w:tblCellMar>
      </w:tblPr>
      <w:tblGrid>
        <w:gridCol w:w="740"/>
        <w:gridCol w:w="2615"/>
      </w:tblGrid>
      <w:tr>
        <w:trPr/>
        <w:tc>
          <w:tcPr>
            <w:tcW w:w="740" w:type="dxa"/>
            <w:tcBorders/>
            <w:vAlign w:val="center"/>
          </w:tcPr>
          <w:p>
            <w:pPr>
              <w:pStyle w:val="TableContents"/>
              <w:bidi w:val="0"/>
              <w:spacing w:before="0" w:after="0"/>
              <w:jc w:val="left"/>
              <w:rPr>
                <w:b/>
                <w:color w:val="000000"/>
              </w:rPr>
            </w:pPr>
            <w:r>
              <w:rPr>
                <w:b/>
                <w:color w:val="000000"/>
              </w:rPr>
              <w:t>Item 2.</w:t>
            </w:r>
          </w:p>
        </w:tc>
        <w:tc>
          <w:tcPr>
            <w:tcW w:w="2615" w:type="dxa"/>
            <w:tcBorders/>
            <w:vAlign w:val="center"/>
          </w:tcPr>
          <w:p>
            <w:pPr>
              <w:pStyle w:val="TableContents"/>
              <w:bidi w:val="0"/>
              <w:spacing w:before="0" w:after="0"/>
              <w:jc w:val="left"/>
              <w:rPr>
                <w:b/>
                <w:color w:val="000000"/>
              </w:rPr>
            </w:pPr>
            <w:r>
              <w:rPr>
                <w:b/>
                <w:color w:val="000000"/>
              </w:rPr>
              <w:t>Identity and Background</w:t>
            </w:r>
          </w:p>
        </w:tc>
      </w:tr>
    </w:tbl>
    <w:p>
      <w:pPr>
        <w:pStyle w:val="TextBody"/>
        <w:bidi w:val="0"/>
        <w:spacing w:before="0" w:after="0"/>
        <w:jc w:val="left"/>
        <w:rPr/>
      </w:pPr>
      <w:r>
        <w:rPr/>
      </w:r>
    </w:p>
    <w:p>
      <w:pPr>
        <w:pStyle w:val="TextBody"/>
        <w:bidi w:val="0"/>
        <w:spacing w:before="0" w:after="0"/>
        <w:ind w:left="1440" w:right="0" w:hanging="0"/>
        <w:jc w:val="both"/>
        <w:rPr>
          <w:rFonts w:ascii="Times New Roman" w:hAnsi="Times New Roman"/>
          <w:i/>
          <w:color w:val="000000"/>
          <w:sz w:val="20"/>
        </w:rPr>
      </w:pPr>
      <w:r>
        <w:rPr>
          <w:rFonts w:ascii="Times New Roman" w:hAnsi="Times New Roman"/>
          <w:i/>
          <w:color w:val="000000"/>
          <w:sz w:val="20"/>
        </w:rPr>
        <w:t>Item 2 of the Schedule 13D is hereby amended and restated in its entirety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(a-c,f) This Schedule 13D is filed on behalf of each of the following persons (collectively, the “Reporting Persons”):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100326500a9248d298cf4e528968fa63"/>
      <w:bookmarkStart w:id="19" w:name="z100326500a9248d298cf4e528968fa63"/>
      <w:bookmarkEnd w:id="19"/>
    </w:p>
    <w:tbl>
      <w:tblPr>
        <w:tblW w:w="8088" w:type="dxa"/>
        <w:jc w:val="left"/>
        <w:tblInd w:w="0" w:type="dxa"/>
        <w:tblLayout w:type="fixed"/>
        <w:tblCellMar>
          <w:top w:w="0" w:type="dxa"/>
          <w:left w:w="0" w:type="dxa"/>
          <w:bottom w:w="0" w:type="dxa"/>
          <w:right w:w="0" w:type="dxa"/>
        </w:tblCellMar>
      </w:tblPr>
      <w:tblGrid>
        <w:gridCol w:w="38"/>
        <w:gridCol w:w="140"/>
        <w:gridCol w:w="791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i.</w:t>
            </w:r>
          </w:p>
        </w:tc>
        <w:tc>
          <w:tcPr>
            <w:tcW w:w="7910" w:type="dxa"/>
            <w:tcBorders/>
            <w:vAlign w:val="center"/>
          </w:tcPr>
          <w:p>
            <w:pPr>
              <w:pStyle w:val="TableContents"/>
              <w:bidi w:val="0"/>
              <w:spacing w:before="0" w:after="0"/>
              <w:jc w:val="both"/>
              <w:rPr>
                <w:color w:val="000000"/>
              </w:rPr>
            </w:pPr>
            <w:r>
              <w:rPr>
                <w:color w:val="000000"/>
              </w:rPr>
              <w:t>Lawrence T. Kennedy, Jr. Revocable Trust UAD 6/19/01 (the “Revocable Trust”),</w:t>
            </w:r>
          </w:p>
        </w:tc>
      </w:tr>
    </w:tbl>
    <w:p>
      <w:pPr>
        <w:pStyle w:val="Normal"/>
        <w:bidi w:val="0"/>
        <w:spacing w:before="0" w:after="0"/>
        <w:jc w:val="left"/>
        <w:rPr>
          <w:sz w:val="4"/>
          <w:szCs w:val="4"/>
        </w:rPr>
      </w:pPr>
      <w:r>
        <w:rPr>
          <w:sz w:val="4"/>
          <w:szCs w:val="4"/>
        </w:rPr>
      </w:r>
      <w:bookmarkStart w:id="20" w:name="z113e1e1bfcbf42a298bf617d2c9f8c13"/>
      <w:bookmarkStart w:id="21" w:name="z113e1e1bfcbf42a298bf617d2c9f8c13"/>
      <w:bookmarkEnd w:id="21"/>
    </w:p>
    <w:tbl>
      <w:tblPr>
        <w:tblW w:w="8058" w:type="dxa"/>
        <w:jc w:val="left"/>
        <w:tblInd w:w="0" w:type="dxa"/>
        <w:tblLayout w:type="fixed"/>
        <w:tblCellMar>
          <w:top w:w="0" w:type="dxa"/>
          <w:left w:w="0" w:type="dxa"/>
          <w:bottom w:w="0" w:type="dxa"/>
          <w:right w:w="0" w:type="dxa"/>
        </w:tblCellMar>
      </w:tblPr>
      <w:tblGrid>
        <w:gridCol w:w="38"/>
        <w:gridCol w:w="200"/>
        <w:gridCol w:w="78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ii.</w:t>
            </w:r>
          </w:p>
        </w:tc>
        <w:tc>
          <w:tcPr>
            <w:tcW w:w="7820" w:type="dxa"/>
            <w:tcBorders/>
            <w:vAlign w:val="center"/>
          </w:tcPr>
          <w:p>
            <w:pPr>
              <w:pStyle w:val="TableContents"/>
              <w:bidi w:val="0"/>
              <w:spacing w:before="0" w:after="0"/>
              <w:jc w:val="both"/>
              <w:rPr>
                <w:color w:val="000000"/>
              </w:rPr>
            </w:pPr>
            <w:r>
              <w:rPr>
                <w:color w:val="000000"/>
              </w:rPr>
              <w:t>Lawrence T. Kennedy, Jr. Perpetuity Trust UAD 6/30/16 (the “Perpetuity Trust”),</w:t>
            </w:r>
          </w:p>
        </w:tc>
      </w:tr>
    </w:tbl>
    <w:p>
      <w:pPr>
        <w:pStyle w:val="Normal"/>
        <w:bidi w:val="0"/>
        <w:spacing w:before="0" w:after="0"/>
        <w:jc w:val="left"/>
        <w:rPr>
          <w:sz w:val="4"/>
          <w:szCs w:val="4"/>
        </w:rPr>
      </w:pPr>
      <w:r>
        <w:rPr>
          <w:sz w:val="4"/>
          <w:szCs w:val="4"/>
        </w:rPr>
      </w:r>
      <w:bookmarkStart w:id="22" w:name="z2319b23b1f404602b8499879f8c2fc50"/>
      <w:bookmarkStart w:id="23" w:name="z2319b23b1f404602b8499879f8c2fc50"/>
      <w:bookmarkEnd w:id="23"/>
    </w:p>
    <w:tbl>
      <w:tblPr>
        <w:tblW w:w="3423" w:type="dxa"/>
        <w:jc w:val="left"/>
        <w:tblInd w:w="0" w:type="dxa"/>
        <w:tblLayout w:type="fixed"/>
        <w:tblCellMar>
          <w:top w:w="0" w:type="dxa"/>
          <w:left w:w="0" w:type="dxa"/>
          <w:bottom w:w="0" w:type="dxa"/>
          <w:right w:w="0" w:type="dxa"/>
        </w:tblCellMar>
      </w:tblPr>
      <w:tblGrid>
        <w:gridCol w:w="38"/>
        <w:gridCol w:w="260"/>
        <w:gridCol w:w="312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color w:val="000000"/>
              </w:rPr>
            </w:pPr>
            <w:r>
              <w:rPr>
                <w:color w:val="000000"/>
              </w:rPr>
              <w:t>iii.</w:t>
            </w:r>
          </w:p>
        </w:tc>
        <w:tc>
          <w:tcPr>
            <w:tcW w:w="3125" w:type="dxa"/>
            <w:tcBorders/>
            <w:vAlign w:val="center"/>
          </w:tcPr>
          <w:p>
            <w:pPr>
              <w:pStyle w:val="TableContents"/>
              <w:bidi w:val="0"/>
              <w:spacing w:before="0" w:after="0"/>
              <w:jc w:val="both"/>
              <w:rPr>
                <w:color w:val="000000"/>
              </w:rPr>
            </w:pPr>
            <w:r>
              <w:rPr>
                <w:color w:val="000000"/>
              </w:rPr>
              <w:t>KFDI-B, LLC (“KFDI-B”), and</w:t>
            </w:r>
          </w:p>
        </w:tc>
      </w:tr>
    </w:tbl>
    <w:p>
      <w:pPr>
        <w:pStyle w:val="Normal"/>
        <w:bidi w:val="0"/>
        <w:spacing w:before="0" w:after="0"/>
        <w:jc w:val="left"/>
        <w:rPr>
          <w:sz w:val="4"/>
          <w:szCs w:val="4"/>
        </w:rPr>
      </w:pPr>
      <w:r>
        <w:rPr>
          <w:sz w:val="4"/>
          <w:szCs w:val="4"/>
        </w:rPr>
      </w:r>
      <w:bookmarkStart w:id="24" w:name="z4ba60bc79b8f489595512ca66f3f851a"/>
      <w:bookmarkStart w:id="25" w:name="z4ba60bc79b8f489595512ca66f3f851a"/>
      <w:bookmarkEnd w:id="25"/>
    </w:p>
    <w:tbl>
      <w:tblPr>
        <w:tblW w:w="4578" w:type="dxa"/>
        <w:jc w:val="left"/>
        <w:tblInd w:w="0" w:type="dxa"/>
        <w:tblLayout w:type="fixed"/>
        <w:tblCellMar>
          <w:top w:w="0" w:type="dxa"/>
          <w:left w:w="0" w:type="dxa"/>
          <w:bottom w:w="0" w:type="dxa"/>
          <w:right w:w="0" w:type="dxa"/>
        </w:tblCellMar>
      </w:tblPr>
      <w:tblGrid>
        <w:gridCol w:w="38"/>
        <w:gridCol w:w="260"/>
        <w:gridCol w:w="428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color w:val="000000"/>
              </w:rPr>
            </w:pPr>
            <w:r>
              <w:rPr>
                <w:color w:val="000000"/>
              </w:rPr>
              <w:t>iv.</w:t>
            </w:r>
          </w:p>
        </w:tc>
        <w:tc>
          <w:tcPr>
            <w:tcW w:w="4280" w:type="dxa"/>
            <w:tcBorders/>
            <w:vAlign w:val="center"/>
          </w:tcPr>
          <w:p>
            <w:pPr>
              <w:pStyle w:val="TableContents"/>
              <w:bidi w:val="0"/>
              <w:spacing w:before="0" w:after="0"/>
              <w:jc w:val="both"/>
              <w:rPr>
                <w:color w:val="000000"/>
              </w:rPr>
            </w:pPr>
            <w:r>
              <w:rPr>
                <w:color w:val="000000"/>
              </w:rPr>
              <w:t>Lawrence T. Kennedy, Jr. (“Mr. Kennedy”).</w:t>
            </w:r>
          </w:p>
        </w:tc>
      </w:tr>
    </w:tbl>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Mr. Kennedy is a United States citizen, and is a private investor and a member of the Issuer’s board of directors (the “Board”). The Revocable Trust is organized under the laws of the State of Ohio, and Mr. Kennedy serves as sole trustee to the Revocable Trust. The Perpetuity Trust is organized under the laws of the State of Delaware, and Mr. Kennedy serves as investment direction advisor to the Perpetuity Trust. KFDI-B is organized under the laws of the State of Delaware, and Mr. Kennedy serves as manager of KFDI-B.</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principal address of each of the Reporting Persons is 1700 Madison Road, Suite 200, Cincinnati, Ohio, 45206.</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None of the Reporting Persons has, during the last five years, been convicted in a criminal proceeding (excluding traffic violations or similar misdemeanors).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b637218fea174597a988c1f8675e9693"/>
      <w:bookmarkStart w:id="27" w:name="zb637218fea174597a988c1f8675e9693"/>
      <w:bookmarkEnd w:id="27"/>
    </w:p>
    <w:tbl>
      <w:tblPr>
        <w:tblW w:w="6235" w:type="dxa"/>
        <w:jc w:val="left"/>
        <w:tblInd w:w="0" w:type="dxa"/>
        <w:tblLayout w:type="fixed"/>
        <w:tblCellMar>
          <w:top w:w="0" w:type="dxa"/>
          <w:left w:w="0" w:type="dxa"/>
          <w:bottom w:w="0" w:type="dxa"/>
          <w:right w:w="0" w:type="dxa"/>
        </w:tblCellMar>
      </w:tblPr>
      <w:tblGrid>
        <w:gridCol w:w="740"/>
        <w:gridCol w:w="5495"/>
      </w:tblGrid>
      <w:tr>
        <w:trPr/>
        <w:tc>
          <w:tcPr>
            <w:tcW w:w="740" w:type="dxa"/>
            <w:tcBorders/>
            <w:vAlign w:val="center"/>
          </w:tcPr>
          <w:p>
            <w:pPr>
              <w:pStyle w:val="TableContents"/>
              <w:bidi w:val="0"/>
              <w:spacing w:before="0" w:after="0"/>
              <w:jc w:val="left"/>
              <w:rPr>
                <w:b/>
                <w:color w:val="000000"/>
              </w:rPr>
            </w:pPr>
            <w:r>
              <w:rPr>
                <w:b/>
                <w:color w:val="000000"/>
              </w:rPr>
              <w:t>Item 3.</w:t>
            </w:r>
          </w:p>
        </w:tc>
        <w:tc>
          <w:tcPr>
            <w:tcW w:w="5495" w:type="dxa"/>
            <w:tcBorders/>
            <w:vAlign w:val="center"/>
          </w:tcPr>
          <w:p>
            <w:pPr>
              <w:pStyle w:val="TableContents"/>
              <w:bidi w:val="0"/>
              <w:spacing w:before="0" w:after="0"/>
              <w:jc w:val="left"/>
              <w:rPr>
                <w:b/>
                <w:color w:val="000000"/>
              </w:rPr>
            </w:pPr>
            <w:r>
              <w:rPr>
                <w:b/>
                <w:color w:val="000000"/>
              </w:rPr>
              <w:t>Source and Amount of Funds or Other Consideration</w:t>
            </w:r>
          </w:p>
        </w:tc>
      </w:tr>
    </w:tbl>
    <w:p>
      <w:pPr>
        <w:pStyle w:val="TextBody"/>
        <w:bidi w:val="0"/>
        <w:spacing w:before="0" w:after="0"/>
        <w:jc w:val="left"/>
        <w:rPr/>
      </w:pPr>
      <w:r>
        <w:rPr/>
      </w:r>
    </w:p>
    <w:p>
      <w:pPr>
        <w:pStyle w:val="TextBody"/>
        <w:bidi w:val="0"/>
        <w:spacing w:before="0" w:after="0"/>
        <w:ind w:left="1440" w:right="0" w:hanging="0"/>
        <w:jc w:val="both"/>
        <w:rPr>
          <w:rFonts w:ascii="Times New Roman" w:hAnsi="Times New Roman"/>
          <w:i/>
          <w:color w:val="000000"/>
          <w:sz w:val="20"/>
        </w:rPr>
      </w:pPr>
      <w:r>
        <w:rPr>
          <w:rFonts w:ascii="Times New Roman" w:hAnsi="Times New Roman"/>
          <w:i/>
          <w:color w:val="000000"/>
          <w:sz w:val="20"/>
        </w:rPr>
        <w:t>Item 3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On May 21, 2024, the Conversion Proposal (as defined in Amendment No. 2) was approved by the Company’s stockholders at its 2024 annual meeting of stockholders. Following such approval of the Conversion Proposal, each share of Series A Preferred Stock automatically converted into 40 Shares on May 23, 2024, with 30,434,280 Shares being issued upon conversion of an aggregate 760,857 shares of Series A Preferred Stock then outstanding.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 connection with the foregoing, the 43,478 shares of Series A Preferred Stock and 65,218 shares of Series A Preferred Stock directly held by each of the Perpetuity Trust and KFDI-B automatically converted into 1,739,120 Shares and 2,608,720 Shares, respectively, on May 23, 2024.</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Also on May 21, 2024, in connection with Mr. Kennedy’s service on the Issuer’s Board, Mr. Kennedy was awarded for no additional consideration: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242a3b15941e4a2ba396b7d9c2fdef5e"/>
      <w:bookmarkStart w:id="29" w:name="z242a3b15941e4a2ba396b7d9c2fdef5e"/>
      <w:bookmarkEnd w:id="29"/>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color w:val="000000"/>
              </w:rPr>
            </w:pPr>
            <w:r>
              <w:rPr>
                <w:color w:val="000000"/>
              </w:rPr>
              <w:t>(i)</w:t>
            </w:r>
          </w:p>
        </w:tc>
        <w:tc>
          <w:tcPr>
            <w:tcW w:w="10005" w:type="dxa"/>
            <w:tcBorders/>
            <w:vAlign w:val="center"/>
          </w:tcPr>
          <w:p>
            <w:pPr>
              <w:pStyle w:val="TableContents"/>
              <w:bidi w:val="0"/>
              <w:spacing w:before="0" w:after="0"/>
              <w:jc w:val="both"/>
              <w:rPr>
                <w:color w:val="000000"/>
              </w:rPr>
            </w:pPr>
            <w:r>
              <w:rPr>
                <w:color w:val="000000"/>
              </w:rPr>
              <w:t>46,686 RSUs, each one of which represents a contingent right to receive one Share, which will vest in full on March 31, 2025, generally subject to Mr. Kennedy’s continued service on the Issuer’s Board. The Shares underlying these RSUs will be issued to Mr. Kennedy following Mr. Kennedy’s separation from service to the Issuer. In the event Mr. Kennedy’s continued service on the Board terminates other than for cause, these RSUs will vest on a prorated basis based on the number of full months of service Mr. Kennedy completed during the applicable vesting period. Accordingly, within 60 days of the date of this filing, a total of 11,672 of these RSUs could vest on a prorated basis if Mr. Kennedy’s continued service were to terminate other than for cause; the remaining 35,014 RSUs that would not vest within 60 days of the date of this filing have been omitted from Mr. Kennedy’s beneficial ownership as reported herein.</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7</w:t>
            </w:r>
            <w:r>
              <w:rPr>
                <w:color w:val="000000"/>
              </w:rPr>
              <w:t xml:space="preserve"> of </w:t>
            </w:r>
            <w:r>
              <w:rPr>
                <w:b/>
                <w:color w:val="000000"/>
              </w:rPr>
              <w:t xml:space="preserve">8 </w:t>
            </w:r>
            <w:r>
              <w:rPr>
                <w:color w:val="000000"/>
              </w:rPr>
              <w:t>pages</w:t>
            </w:r>
          </w:p>
        </w:tc>
      </w:tr>
    </w:tbl>
    <w:p>
      <w:pPr>
        <w:pStyle w:val="Normal"/>
        <w:bidi w:val="0"/>
        <w:spacing w:before="0" w:after="0"/>
        <w:jc w:val="left"/>
        <w:rPr>
          <w:sz w:val="4"/>
          <w:szCs w:val="4"/>
        </w:rPr>
      </w:pPr>
      <w:r>
        <w:rPr>
          <w:sz w:val="4"/>
          <w:szCs w:val="4"/>
        </w:rPr>
      </w:r>
      <w:bookmarkStart w:id="30" w:name="ze19290c6b1514e369722918fbf0ab206"/>
      <w:bookmarkStart w:id="31" w:name="ze19290c6b1514e369722918fbf0ab206"/>
      <w:bookmarkEnd w:id="31"/>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color w:val="000000"/>
              </w:rPr>
            </w:pPr>
            <w:r>
              <w:rPr>
                <w:color w:val="000000"/>
              </w:rPr>
              <w:t>(ii)</w:t>
            </w:r>
          </w:p>
        </w:tc>
        <w:tc>
          <w:tcPr>
            <w:tcW w:w="9945" w:type="dxa"/>
            <w:tcBorders/>
            <w:vAlign w:val="center"/>
          </w:tcPr>
          <w:p>
            <w:pPr>
              <w:pStyle w:val="TableContents"/>
              <w:bidi w:val="0"/>
              <w:spacing w:before="0" w:after="0"/>
              <w:jc w:val="both"/>
              <w:rPr>
                <w:color w:val="000000"/>
              </w:rPr>
            </w:pPr>
            <w:r>
              <w:rPr>
                <w:color w:val="000000"/>
              </w:rPr>
              <w:t>a stock option representing the right to acquire 37,050 Shares at an exercise price of $1.57, which will vest in full on March 31, 2025, generally subject to Mr. Kennedy’s continued service on the Issuer’s Board. In the event Mr. Kennedy’s continued service on the Board terminates other than for cause, these options will vest on a prorated basis based on the number of full months of service Mr. Kennedy completed during the applicable vesting period. Accordingly, within 60 days of the date of this filing, options representing the right to acquire 9,263 Shares could vest on a prorated basis if Mr. Kennedy’s continued service were to terminate other than for cause; the remaining options representing the right to acquire 27,787 Shares that would not vest within 60 days of the date of this filing have been omitted from Mr. Kennedy’s beneficial ownership as reported herein.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f298c17e680c4a5a89de03d108a5df87"/>
      <w:bookmarkStart w:id="33" w:name="zf298c17e680c4a5a89de03d108a5df87"/>
      <w:bookmarkEnd w:id="33"/>
    </w:p>
    <w:tbl>
      <w:tblPr>
        <w:tblW w:w="3160" w:type="dxa"/>
        <w:jc w:val="left"/>
        <w:tblInd w:w="0" w:type="dxa"/>
        <w:tblLayout w:type="fixed"/>
        <w:tblCellMar>
          <w:top w:w="0" w:type="dxa"/>
          <w:left w:w="0" w:type="dxa"/>
          <w:bottom w:w="0" w:type="dxa"/>
          <w:right w:w="0" w:type="dxa"/>
        </w:tblCellMar>
      </w:tblPr>
      <w:tblGrid>
        <w:gridCol w:w="740"/>
        <w:gridCol w:w="2420"/>
      </w:tblGrid>
      <w:tr>
        <w:trPr/>
        <w:tc>
          <w:tcPr>
            <w:tcW w:w="740" w:type="dxa"/>
            <w:tcBorders/>
            <w:vAlign w:val="center"/>
          </w:tcPr>
          <w:p>
            <w:pPr>
              <w:pStyle w:val="TableContents"/>
              <w:bidi w:val="0"/>
              <w:spacing w:before="0" w:after="0"/>
              <w:jc w:val="left"/>
              <w:rPr>
                <w:b/>
                <w:color w:val="000000"/>
              </w:rPr>
            </w:pPr>
            <w:r>
              <w:rPr>
                <w:b/>
                <w:color w:val="000000"/>
              </w:rPr>
              <w:t>Item 4.</w:t>
            </w:r>
          </w:p>
        </w:tc>
        <w:tc>
          <w:tcPr>
            <w:tcW w:w="2420" w:type="dxa"/>
            <w:tcBorders/>
            <w:vAlign w:val="center"/>
          </w:tcPr>
          <w:p>
            <w:pPr>
              <w:pStyle w:val="TableContents"/>
              <w:bidi w:val="0"/>
              <w:spacing w:before="0" w:after="0"/>
              <w:jc w:val="left"/>
              <w:rPr>
                <w:b/>
                <w:color w:val="000000"/>
              </w:rPr>
            </w:pPr>
            <w:r>
              <w:rPr>
                <w:b/>
                <w:color w:val="000000"/>
              </w:rPr>
              <w:t>Purpose of Transaction</w:t>
            </w:r>
          </w:p>
        </w:tc>
      </w:tr>
    </w:tbl>
    <w:p>
      <w:pPr>
        <w:pStyle w:val="TextBody"/>
        <w:bidi w:val="0"/>
        <w:spacing w:before="0" w:after="0"/>
        <w:jc w:val="left"/>
        <w:rPr/>
      </w:pPr>
      <w:r>
        <w:rPr/>
      </w:r>
    </w:p>
    <w:p>
      <w:pPr>
        <w:pStyle w:val="TextBody"/>
        <w:bidi w:val="0"/>
        <w:spacing w:before="0" w:after="0"/>
        <w:ind w:left="1440" w:right="0" w:hanging="0"/>
        <w:jc w:val="both"/>
        <w:rPr>
          <w:rFonts w:ascii="Times New Roman" w:hAnsi="Times New Roman"/>
          <w:i/>
          <w:color w:val="000000"/>
          <w:sz w:val="20"/>
        </w:rPr>
      </w:pPr>
      <w:r>
        <w:rPr>
          <w:rFonts w:ascii="Times New Roman" w:hAnsi="Times New Roman"/>
          <w:i/>
          <w:color w:val="000000"/>
          <w:sz w:val="20"/>
        </w:rPr>
        <w:t>Item 4 of the Schedule 13D is hereby amended and supplemented as follows:</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The response to Item 3 of this Amendment No. 3 is incorporated by reference herein.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a9608675a39a4727a8348551a273c2f3"/>
      <w:bookmarkStart w:id="35" w:name="za9608675a39a4727a8348551a273c2f3"/>
      <w:bookmarkEnd w:id="35"/>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left"/>
        <w:rPr/>
      </w:pPr>
      <w:r>
        <w:rPr/>
      </w:r>
    </w:p>
    <w:p>
      <w:pPr>
        <w:pStyle w:val="TextBody"/>
        <w:bidi w:val="0"/>
        <w:spacing w:before="0" w:after="0"/>
        <w:ind w:left="1440" w:right="0" w:hanging="0"/>
        <w:jc w:val="left"/>
        <w:rPr>
          <w:rFonts w:ascii="Times New Roman" w:hAnsi="Times New Roman"/>
          <w:i/>
          <w:color w:val="000000"/>
          <w:sz w:val="20"/>
        </w:rPr>
      </w:pPr>
      <w:r>
        <w:rPr>
          <w:rFonts w:ascii="Times New Roman" w:hAnsi="Times New Roman"/>
          <w:i/>
          <w:color w:val="000000"/>
          <w:sz w:val="20"/>
        </w:rPr>
        <w:t>Item 5(a) - (c) of the Schedule 13D is hereby amended and supplemented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b) As of the date hereof, Mr. Kennedy may be deemed to beneficially own, in the aggregate, 25,622,151 Shares, which represents approximately 17.6% of the Shares outstanding.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Mr. Kennedy’s beneficial ownership consists of (i) 264,805 Shares that Mr. Kennedy has the right to acquire upon settlement of vested RSUs within 60 days of the date of this filing, (ii) 9,263 Shares that Mr. Kennedy has the right to acquire upon exercise of options exercisable within 60 days of the date of this filing, (iii) 10,304,824 Shares held directly by the Revocable Trust, which represents approximately 7.1% of the Shares outstanding, (iv) 12,267,873 Shares held directly by the Perpetuity Trust, which represents approximately 8.5% of the Shares outstanding, and (v) 2,775,386 Shares held directly by KFDI-B, which represents approximately 1.9% of the Shares outstanding.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36" w:name="z_Hlk163529896"/>
      <w:bookmarkStart w:id="37" w:name="z_Hlk167289731"/>
      <w:bookmarkEnd w:id="36"/>
      <w:bookmarkEnd w:id="37"/>
      <w:r>
        <w:rPr>
          <w:rFonts w:ascii="Times New Roman" w:hAnsi="Times New Roman"/>
          <w:color w:val="000000"/>
          <w:sz w:val="20"/>
        </w:rPr>
        <w:t>The foregoing beneficial ownership percentages are based on a total of (i) 114,685,783 Shares outstanding as of May 1, 2024, as reported in the Issuer’s quarterly report on Form 10-Q filed with the SEC on May 8, 2024, (ii) an aggregate 30,434,280 Shares issued upon conversion of Series A Preferred Stock on May 23, 2024 following the approval of the Conversion Proposal, and, for purposes of calculating Mr. Kennedy’s beneficial ownership percentage, (iii) 274,068 Shares that Mr. Kennedy has the right to acquire within 60 days of the date of this filing.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As sole trustee of the Revocable Trust, investment direction advisor of the Perpetuity Trust, and manager of KFDI-B, Mr. Kennedy shares with each of the Revocable Trust, the Perpetuity Trust, and KFDI-B the power to vote or direct the vote, and the power to dispose or direct the disposition of, the Shares beneficially owned by each of the Revocable Trust, the Perpetuity Trust, and KFDI-B.</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response to Item 3 of this Amendment No. 3 is incorporated by reference herein. Except as set forth in this Amendment No. 3, no transactions in the Shares have been effected by the Reporting Persons since the filing of Amendment No. 2.</w:t>
      </w:r>
    </w:p>
    <w:p>
      <w:pPr>
        <w:pStyle w:val="TextBody"/>
        <w:bidi w:val="0"/>
        <w:spacing w:before="0" w:after="0"/>
        <w:jc w:val="left"/>
        <w:rPr/>
      </w:pPr>
      <w:r>
        <w:rPr/>
      </w:r>
    </w:p>
    <w:p>
      <w:pPr>
        <w:pStyle w:val="HorizontalLine"/>
        <w:pBdr>
          <w:bottom w:val="single" w:sz="12" w:space="0" w:color="808080"/>
        </w:pBdr>
        <w:bidi w:val="0"/>
        <w:jc w:val="left"/>
        <w:rPr/>
      </w:pPr>
      <w:r>
        <w:rPr/>
      </w:r>
    </w:p>
    <w:tbl>
      <w:tblPr>
        <w:tblW w:w="5820" w:type="dxa"/>
        <w:jc w:val="left"/>
        <w:tblInd w:w="0" w:type="dxa"/>
        <w:tblLayout w:type="fixed"/>
        <w:tblCellMar>
          <w:top w:w="0" w:type="dxa"/>
          <w:left w:w="0" w:type="dxa"/>
          <w:bottom w:w="0" w:type="dxa"/>
          <w:right w:w="0" w:type="dxa"/>
        </w:tblCellMar>
      </w:tblPr>
      <w:tblGrid>
        <w:gridCol w:w="2330"/>
        <w:gridCol w:w="1790"/>
        <w:gridCol w:w="1700"/>
      </w:tblGrid>
      <w:tr>
        <w:trPr/>
        <w:tc>
          <w:tcPr>
            <w:tcW w:w="2330" w:type="dxa"/>
            <w:tcBorders/>
            <w:vAlign w:val="center"/>
          </w:tcPr>
          <w:p>
            <w:pPr>
              <w:pStyle w:val="TableContents"/>
              <w:bidi w:val="0"/>
              <w:spacing w:before="0" w:after="0"/>
              <w:jc w:val="left"/>
              <w:rPr>
                <w:color w:val="000000"/>
              </w:rPr>
            </w:pPr>
            <w:r>
              <w:rPr>
                <w:color w:val="000000"/>
              </w:rPr>
              <w:t>CUSIP No: 09075X108</w:t>
            </w:r>
          </w:p>
        </w:tc>
        <w:tc>
          <w:tcPr>
            <w:tcW w:w="1790" w:type="dxa"/>
            <w:tcBorders/>
            <w:vAlign w:val="center"/>
          </w:tcPr>
          <w:p>
            <w:pPr>
              <w:pStyle w:val="TableContents"/>
              <w:bidi w:val="0"/>
              <w:spacing w:before="0" w:after="0"/>
              <w:jc w:val="center"/>
              <w:rPr>
                <w:color w:val="000000"/>
              </w:rPr>
            </w:pPr>
            <w:r>
              <w:rPr>
                <w:color w:val="000000"/>
              </w:rPr>
              <w:t>SCHEDULE 13D</w:t>
            </w:r>
          </w:p>
        </w:tc>
        <w:tc>
          <w:tcPr>
            <w:tcW w:w="1700" w:type="dxa"/>
            <w:tcBorders/>
            <w:vAlign w:val="center"/>
          </w:tcPr>
          <w:p>
            <w:pPr>
              <w:pStyle w:val="TableContents"/>
              <w:bidi w:val="0"/>
              <w:spacing w:before="0" w:after="0"/>
              <w:jc w:val="right"/>
              <w:rPr>
                <w:color w:val="000000"/>
              </w:rPr>
            </w:pPr>
            <w:r>
              <w:rPr>
                <w:color w:val="000000"/>
              </w:rPr>
              <w:t xml:space="preserve">Page </w:t>
            </w:r>
            <w:r>
              <w:rPr>
                <w:b/>
                <w:color w:val="000000"/>
              </w:rPr>
              <w:t>8</w:t>
            </w:r>
            <w:r>
              <w:rPr>
                <w:color w:val="000000"/>
              </w:rPr>
              <w:t xml:space="preserve"> of </w:t>
            </w:r>
            <w:r>
              <w:rPr>
                <w:b/>
                <w:color w:val="000000"/>
              </w:rPr>
              <w:t xml:space="preserve">8 </w:t>
            </w:r>
            <w:r>
              <w:rPr>
                <w:color w:val="000000"/>
              </w:rPr>
              <w:t>pages</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00009cd086c84b7eab0792a5e3138e0f"/>
      <w:bookmarkStart w:id="39" w:name="z00009cd086c84b7eab0792a5e3138e0f"/>
      <w:bookmarkEnd w:id="39"/>
    </w:p>
    <w:tbl>
      <w:tblPr>
        <w:tblW w:w="8800" w:type="dxa"/>
        <w:jc w:val="left"/>
        <w:tblInd w:w="0" w:type="dxa"/>
        <w:tblLayout w:type="fixed"/>
        <w:tblCellMar>
          <w:top w:w="0" w:type="dxa"/>
          <w:left w:w="0" w:type="dxa"/>
          <w:bottom w:w="0" w:type="dxa"/>
          <w:right w:w="0" w:type="dxa"/>
        </w:tblCellMar>
      </w:tblPr>
      <w:tblGrid>
        <w:gridCol w:w="1355"/>
        <w:gridCol w:w="7445"/>
      </w:tblGrid>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LAWRENCE T. KENNEDY, JR. REVOCABLE TRUST UAD 6/19/01</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Lawrence T. Kennedy, Jr.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Lawrence T. Kennedy, Jr.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Trustee</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LAWRENCE T. KENNEDY, JR. PERPETUITY TRUST UAD 6/30/16</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Susan Callahan</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Susan Callahan</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Bryn Mawr Trust Company of Delaware, Trustee</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KFDI-B LLC</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 xml:space="preserve">By: </w:t>
            </w:r>
            <w:r>
              <w:rPr>
                <w:color w:val="000000"/>
                <w:u w:val="single"/>
              </w:rPr>
              <w:t>/s/ Lawrence T. Kennedy, Jr.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Name: Lawrence T. Kennedy, Jr.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rPr>
            </w:pPr>
            <w:r>
              <w:rPr>
                <w:color w:val="000000"/>
              </w:rPr>
              <w:t>Title: Manager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b/>
                <w:color w:val="000000"/>
              </w:rPr>
            </w:pPr>
            <w:r>
              <w:rPr>
                <w:b/>
                <w:color w:val="000000"/>
              </w:rPr>
              <w:t>Lawrence T. Kennedy, Jr.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color w:val="000000"/>
                <w:u w:val="single"/>
              </w:rPr>
            </w:pPr>
            <w:r>
              <w:rPr>
                <w:color w:val="000000"/>
                <w:u w:val="single"/>
              </w:rPr>
              <w:t>/s/ Lawrence T. Kennedy, Jr.</w:t>
            </w:r>
          </w:p>
        </w:tc>
      </w:tr>
      <w:tr>
        <w:trPr/>
        <w:tc>
          <w:tcPr>
            <w:tcW w:w="135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color w:val="000000"/>
              </w:rPr>
            </w:pPr>
            <w:r>
              <w:rPr>
                <w:color w:val="000000"/>
              </w:rPr>
              <w:t>May 23, 2024</w:t>
            </w:r>
          </w:p>
        </w:tc>
        <w:tc>
          <w:tcPr>
            <w:tcW w:w="7445" w:type="dxa"/>
            <w:tcBorders/>
            <w:vAlign w:val="center"/>
          </w:tcPr>
          <w:p>
            <w:pPr>
              <w:pStyle w:val="TableContents"/>
              <w:bidi w:val="0"/>
              <w:spacing w:before="0" w:after="283"/>
              <w:jc w:val="left"/>
              <w:rPr/>
            </w:pPr>
            <w:r>
              <w:rPr/>
              <w:t> </w:t>
            </w:r>
          </w:p>
        </w:tc>
      </w:tr>
    </w:tbl>
    <w:p>
      <w:pPr>
        <w:pStyle w:val="TextBody"/>
        <w:bidi w:val="0"/>
        <w:spacing w:before="0" w:after="0"/>
        <w:jc w:val="left"/>
        <w:rPr>
          <w:i/>
          <w:color w:val="000000"/>
        </w:rPr>
      </w:pPr>
      <w:r>
        <w:rPr>
          <w:i/>
          <w:color w:val="00000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Attention: Intentional misstatements or omissions of fact constitute federal violations (see 18 U.S.C. 1001).</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2526</Words>
  <Characters>12548</Characters>
  <CharactersWithSpaces>15123</CharactersWithSpaces>
  <Paragraphs>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