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bdsx-20250331.htm"/>
      <w:bookmarkStart w:id="1" w:name="ksbdsx20250331"/>
      <w:bookmarkEnd w:id="0"/>
      <w:bookmarkEnd w:id="1"/>
      <w:r>
        <w:rPr/>
        <w:t> </w:t>
      </w:r>
    </w:p>
    <w:p>
      <w:pPr>
        <w:pStyle w:val="TextBody"/>
        <w:pBdr>
          <w:top w:val="double" w:sz="6" w:space="1" w:color="000000"/>
        </w:pBdr>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left"/>
        <w:rPr>
          <w:rFonts w:ascii="Times New Roman" w:hAnsi="Times New Roman"/>
          <w:b/>
          <w:color w:val="000000"/>
          <w:sz w:val="16"/>
        </w:rPr>
      </w:pPr>
      <w:r>
        <w:rPr>
          <w:rFonts w:ascii="Times New Roman" w:hAnsi="Times New Roman"/>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For the quarterly period ended March 31, 2025</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8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80" w:after="283"/>
        <w:jc w:val="center"/>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Commission File Number: 001-39659</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sz w:val="36"/>
        </w:rPr>
      </w:pPr>
      <w:r>
        <w:rPr>
          <w:rFonts w:ascii="Times New Roman" w:hAnsi="Times New Roman"/>
          <w:b/>
          <w:color w:val="000000"/>
          <w:sz w:val="36"/>
        </w:rPr>
        <w:t>B</w:t>
      </w:r>
      <w:r>
        <w:rPr>
          <w:rFonts w:ascii="Times New Roman" w:hAnsi="Times New Roman"/>
          <w:b/>
          <w:color w:val="000000"/>
          <w:sz w:val="28"/>
        </w:rPr>
        <w:t>IODESIX</w:t>
      </w:r>
      <w:r>
        <w:rPr>
          <w:rFonts w:ascii="Times New Roman" w:hAnsi="Times New Roman"/>
          <w:b/>
          <w:color w:val="000000"/>
          <w:sz w:val="36"/>
        </w:rPr>
        <w:t>, I</w:t>
      </w:r>
      <w:r>
        <w:rPr>
          <w:rFonts w:ascii="Times New Roman" w:hAnsi="Times New Roman"/>
          <w:b/>
          <w:color w:val="000000"/>
          <w:sz w:val="28"/>
        </w:rPr>
        <w:t>NC</w:t>
      </w:r>
      <w:r>
        <w:rPr>
          <w:rFonts w:ascii="Times New Roman" w:hAnsi="Times New Roman"/>
          <w:b/>
          <w:color w:val="000000"/>
          <w:sz w:val="36"/>
        </w:rPr>
        <w:t>.</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jc w:val="center"/>
        <w:rPr/>
      </w:pPr>
      <w:r>
        <w:rPr/>
        <w:t> </w:t>
      </w:r>
    </w:p>
    <w:p>
      <w:pPr>
        <w:pStyle w:val="TextBody"/>
        <w:bidi w:val="0"/>
        <w:jc w:val="left"/>
        <w:rPr/>
      </w:pPr>
      <w:r>
        <w:rPr/>
        <w:t> </w:t>
      </w:r>
    </w:p>
    <w:tbl>
      <w:tblPr>
        <w:tblW w:w="3677" w:type="dxa"/>
        <w:jc w:val="left"/>
        <w:tblInd w:w="0" w:type="dxa"/>
        <w:tblLayout w:type="fixed"/>
        <w:tblCellMar>
          <w:top w:w="28" w:type="dxa"/>
          <w:left w:w="28" w:type="dxa"/>
          <w:bottom w:w="28" w:type="dxa"/>
          <w:right w:w="28" w:type="dxa"/>
        </w:tblCellMar>
      </w:tblPr>
      <w:tblGrid>
        <w:gridCol w:w="2431"/>
        <w:gridCol w:w="1246"/>
      </w:tblGrid>
      <w:tr>
        <w:trPr/>
        <w:tc>
          <w:tcPr>
            <w:tcW w:w="243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20-3986492</w:t>
            </w:r>
          </w:p>
        </w:tc>
      </w:tr>
      <w:tr>
        <w:trPr/>
        <w:tc>
          <w:tcPr>
            <w:tcW w:w="243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rPr/>
        <w:tc>
          <w:tcPr>
            <w:tcW w:w="2431"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rFonts w:ascii="Times New Roman" w:hAnsi="Times New Roman"/>
                <w:b/>
                <w:color w:val="000000"/>
                <w:sz w:val="16"/>
              </w:rPr>
            </w:pPr>
            <w:r>
              <w:rPr>
                <w:rFonts w:ascii="Times New Roman" w:hAnsi="Times New Roman"/>
                <w:b/>
                <w:color w:val="000000"/>
                <w:sz w:val="16"/>
              </w:rPr>
              <w:t>919 West Dillon Rd</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Louisville, Colorado</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80027</w:t>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Registrant’s telephone number, including area code: (303) 417-0500</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both"/>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8035" w:type="dxa"/>
        <w:jc w:val="left"/>
        <w:tblInd w:w="0" w:type="dxa"/>
        <w:tblLayout w:type="fixed"/>
        <w:tblCellMar>
          <w:top w:w="28" w:type="dxa"/>
          <w:left w:w="28" w:type="dxa"/>
          <w:bottom w:w="28" w:type="dxa"/>
          <w:right w:w="28" w:type="dxa"/>
        </w:tblCellMar>
      </w:tblPr>
      <w:tblGrid>
        <w:gridCol w:w="3601"/>
        <w:gridCol w:w="146"/>
        <w:gridCol w:w="826"/>
        <w:gridCol w:w="146"/>
        <w:gridCol w:w="3316"/>
      </w:tblGrid>
      <w:tr>
        <w:trPr/>
        <w:tc>
          <w:tcPr>
            <w:tcW w:w="3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6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601" w:type="dxa"/>
            <w:tcBorders/>
            <w:tcMar>
              <w:top w:w="0" w:type="dxa"/>
              <w:left w:w="0" w:type="dxa"/>
              <w:bottom w:w="0" w:type="dxa"/>
              <w:right w:w="0" w:type="dxa"/>
            </w:tcMar>
            <w:vAlign w:val="center"/>
          </w:tcPr>
          <w:p>
            <w:pPr>
              <w:pStyle w:val="TableContents"/>
              <w:bidi w:val="0"/>
              <w:spacing w:before="20" w:after="283"/>
              <w:jc w:val="center"/>
              <w:rPr>
                <w:rFonts w:ascii="Times New Roman" w:hAnsi="Times New Roman"/>
                <w:color w:val="000000"/>
                <w:sz w:val="20"/>
              </w:rPr>
            </w:pPr>
            <w:r>
              <w:rPr>
                <w:rFonts w:ascii="Times New Roman" w:hAnsi="Times New Roman"/>
                <w:color w:val="000000"/>
                <w:sz w:val="20"/>
              </w:rPr>
              <w:t>Common Stock, par value $0.001 per share</w:t>
            </w:r>
          </w:p>
        </w:tc>
        <w:tc>
          <w:tcPr>
            <w:tcW w:w="146" w:type="dxa"/>
            <w:tcBorders/>
            <w:tcMar>
              <w:top w:w="0" w:type="dxa"/>
              <w:left w:w="0" w:type="dxa"/>
              <w:bottom w:w="0" w:type="dxa"/>
              <w:right w:w="0" w:type="dxa"/>
            </w:tcMar>
            <w:vAlign w:val="center"/>
          </w:tcPr>
          <w:p>
            <w:pPr>
              <w:pStyle w:val="TableContents"/>
              <w:bidi w:val="0"/>
              <w:spacing w:before="2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20" w:after="283"/>
              <w:jc w:val="center"/>
              <w:rPr>
                <w:rFonts w:ascii="Times New Roman" w:hAnsi="Times New Roman"/>
                <w:color w:val="000000"/>
                <w:sz w:val="20"/>
              </w:rPr>
            </w:pPr>
            <w:r>
              <w:rPr>
                <w:rFonts w:ascii="Times New Roman" w:hAnsi="Times New Roman"/>
                <w:color w:val="000000"/>
                <w:sz w:val="20"/>
              </w:rPr>
              <w:t>BDSX</w:t>
            </w:r>
          </w:p>
        </w:tc>
        <w:tc>
          <w:tcPr>
            <w:tcW w:w="146" w:type="dxa"/>
            <w:tcBorders/>
            <w:tcMar>
              <w:top w:w="0" w:type="dxa"/>
              <w:left w:w="0" w:type="dxa"/>
              <w:bottom w:w="0" w:type="dxa"/>
              <w:right w:w="0" w:type="dxa"/>
            </w:tcMar>
            <w:vAlign w:val="center"/>
          </w:tcPr>
          <w:p>
            <w:pPr>
              <w:pStyle w:val="TableContents"/>
              <w:bidi w:val="0"/>
              <w:spacing w:before="2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jc w:val="left"/>
        <w:rPr/>
      </w:pPr>
      <w:r>
        <w:rPr/>
        <w:t> </w:t>
      </w:r>
    </w:p>
    <w:p>
      <w:pPr>
        <w:pStyle w:val="TextBody"/>
        <w:bidi w:val="0"/>
        <w:spacing w:before="100" w:after="283"/>
        <w:jc w:val="both"/>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spacing w:before="100" w:after="283"/>
        <w:jc w:val="both"/>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spacing w:before="100" w:after="283"/>
        <w:jc w:val="both"/>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197" w:type="dxa"/>
        <w:jc w:val="left"/>
        <w:tblInd w:w="0" w:type="dxa"/>
        <w:tblLayout w:type="fixed"/>
        <w:tblCellMar>
          <w:top w:w="28" w:type="dxa"/>
          <w:left w:w="28" w:type="dxa"/>
          <w:bottom w:w="28" w:type="dxa"/>
          <w:right w:w="28" w:type="dxa"/>
        </w:tblCellMar>
      </w:tblPr>
      <w:tblGrid>
        <w:gridCol w:w="2056"/>
        <w:gridCol w:w="146"/>
        <w:gridCol w:w="316"/>
        <w:gridCol w:w="146"/>
        <w:gridCol w:w="2026"/>
        <w:gridCol w:w="146"/>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17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both"/>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120" w:after="283"/>
        <w:jc w:val="both"/>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 No </w:t>
      </w:r>
      <w:r>
        <w:rPr>
          <w:rFonts w:ascii="Times New Roman" w:hAnsi="Times New Roman"/>
          <w:color w:val="000000"/>
          <w:sz w:val="20"/>
        </w:rPr>
        <w:t>☒</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Indicate by check mark whether the Registrant has filed all documents and reports required to be filed by Sections 12, 13 or 15(d) of the Securities Exchange Act of 1934 subsequent to the distribution of securities under a plan confirmed by a court. Yes ☒ No ☐</w:t>
      </w:r>
    </w:p>
    <w:p>
      <w:pPr>
        <w:pStyle w:val="TextBody"/>
        <w:bidi w:val="0"/>
        <w:spacing w:before="120" w:after="283"/>
        <w:jc w:val="both"/>
        <w:rPr>
          <w:rFonts w:ascii="Times New Roman" w:hAnsi="Times New Roman"/>
          <w:sz w:val="20"/>
        </w:rPr>
      </w:pPr>
      <w:r>
        <w:rPr>
          <w:rFonts w:ascii="Times New Roman" w:hAnsi="Times New Roman"/>
          <w:color w:val="000000"/>
          <w:sz w:val="18"/>
        </w:rPr>
        <w:t>As of May 7, 2025, the Registrant had 146,563,031</w:t>
      </w:r>
      <w:r>
        <w:rPr>
          <w:rFonts w:ascii="Times New Roman" w:hAnsi="Times New Roman"/>
          <w:color w:val="000000"/>
          <w:sz w:val="20"/>
        </w:rPr>
        <w:t xml:space="preserve"> </w:t>
      </w:r>
      <w:r>
        <w:rPr>
          <w:rFonts w:ascii="Times New Roman" w:hAnsi="Times New Roman"/>
          <w:color w:val="000000"/>
          <w:sz w:val="18"/>
        </w:rPr>
        <w:t>shares of common stock, $0.001 par value per share, outstanding.</w:t>
      </w:r>
    </w:p>
    <w:p>
      <w:pPr>
        <w:pStyle w:val="TextBody"/>
        <w:pBdr>
          <w:bottom w:val="double" w:sz="4" w:space="1" w:color="000000"/>
        </w:pBdr>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83"/>
        <w:gridCol w:w="8810"/>
        <w:gridCol w:w="512"/>
      </w:tblGrid>
      <w:tr>
        <w:trPr/>
        <w:tc>
          <w:tcPr>
            <w:tcW w:w="883" w:type="dxa"/>
            <w:tcBorders/>
            <w:vAlign w:val="center"/>
          </w:tcPr>
          <w:p>
            <w:pPr>
              <w:pStyle w:val="TableContents"/>
              <w:bidi w:val="0"/>
              <w:spacing w:before="0" w:after="283"/>
              <w:jc w:val="left"/>
              <w:rPr>
                <w:sz w:val="4"/>
                <w:szCs w:val="4"/>
              </w:rPr>
            </w:pPr>
            <w:r>
              <w:rPr>
                <w:sz w:val="4"/>
                <w:szCs w:val="4"/>
              </w:rPr>
            </w:r>
          </w:p>
        </w:tc>
        <w:tc>
          <w:tcPr>
            <w:tcW w:w="8810"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8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8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8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881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financial_information">
              <w:r>
                <w:rPr>
                  <w:rStyle w:val="InternetLink"/>
                  <w:rFonts w:ascii="Times New Roman" w:hAnsi="Times New Roman"/>
                  <w:color w:val="0000FF"/>
                  <w:sz w:val="20"/>
                  <w:u w:val="single"/>
                </w:rPr>
                <w:t>FINANCIAL INFORMATION</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8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81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Financial Statements (Unaudited)</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88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81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balance_sheets_unaudited">
              <w:r>
                <w:rPr>
                  <w:rStyle w:val="InternetLink"/>
                  <w:rFonts w:ascii="Times New Roman" w:hAnsi="Times New Roman"/>
                  <w:color w:val="0000FF"/>
                  <w:sz w:val="20"/>
                  <w:u w:val="single"/>
                </w:rPr>
                <w:t>Condensed Balance Sheets as of March 31, 2025 and December 31, 2024</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88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81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statements_operations">
              <w:r>
                <w:rPr>
                  <w:rStyle w:val="InternetLink"/>
                  <w:rFonts w:ascii="Times New Roman" w:hAnsi="Times New Roman"/>
                  <w:color w:val="0000FF"/>
                  <w:sz w:val="20"/>
                  <w:u w:val="single"/>
                </w:rPr>
                <w:t>Condensed Statements of Operations for the Three Months Ended March 31, 2025 and 2024</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w:t>
            </w:r>
          </w:p>
        </w:tc>
      </w:tr>
      <w:tr>
        <w:trPr/>
        <w:tc>
          <w:tcPr>
            <w:tcW w:w="88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810" w:type="dxa"/>
            <w:tcBorders/>
            <w:shd w:fill="FFFFFF" w:val="clear"/>
            <w:tcMar>
              <w:top w:w="0" w:type="dxa"/>
              <w:left w:w="0" w:type="dxa"/>
              <w:bottom w:w="0" w:type="dxa"/>
              <w:right w:w="0" w:type="dxa"/>
            </w:tcMar>
            <w:vAlign w:val="center"/>
          </w:tcPr>
          <w:p>
            <w:pPr>
              <w:pStyle w:val="TableContents"/>
              <w:bidi w:val="0"/>
              <w:spacing w:before="0" w:after="60"/>
              <w:jc w:val="left"/>
              <w:rPr/>
            </w:pPr>
            <w:hyperlink w:anchor="condensed_statements_changes_in_converti">
              <w:r>
                <w:rPr>
                  <w:rStyle w:val="InternetLink"/>
                  <w:rFonts w:ascii="Times New Roman" w:hAnsi="Times New Roman"/>
                  <w:color w:val="0000FF"/>
                  <w:sz w:val="20"/>
                  <w:u w:val="single"/>
                </w:rPr>
                <w:t>Condensed Statements Stockholders' Equity (Deficit) for the Three Months Ended March 31, 2025 and 2024</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w:t>
            </w:r>
          </w:p>
        </w:tc>
      </w:tr>
      <w:tr>
        <w:trPr/>
        <w:tc>
          <w:tcPr>
            <w:tcW w:w="88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81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statements_cash_flows_unaudite">
              <w:r>
                <w:rPr>
                  <w:rStyle w:val="InternetLink"/>
                  <w:rFonts w:ascii="Times New Roman" w:hAnsi="Times New Roman"/>
                  <w:color w:val="0000FF"/>
                  <w:sz w:val="20"/>
                  <w:u w:val="single"/>
                </w:rPr>
                <w:t>Condensed Statements of Cash Flows for the Three Months Ended March 31, 2025 and 2024</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w:t>
            </w:r>
          </w:p>
        </w:tc>
      </w:tr>
      <w:tr>
        <w:trPr/>
        <w:tc>
          <w:tcPr>
            <w:tcW w:w="88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81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financial_statements">
              <w:r>
                <w:rPr>
                  <w:rStyle w:val="InternetLink"/>
                  <w:rFonts w:ascii="Times New Roman" w:hAnsi="Times New Roman"/>
                  <w:color w:val="0000FF"/>
                  <w:sz w:val="20"/>
                  <w:u w:val="single"/>
                </w:rPr>
                <w:t>Notes to Condensed Financial Statements</w:t>
              </w:r>
            </w:hyperlink>
            <w:r>
              <w:rPr>
                <w:rFonts w:ascii="Times New Roman" w:hAnsi="Times New Roman"/>
                <w:color w:val="000000"/>
                <w:sz w:val="20"/>
              </w:rPr>
              <w:t xml:space="preserve">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8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81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r>
      <w:tr>
        <w:trPr/>
        <w:tc>
          <w:tcPr>
            <w:tcW w:w="8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81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Times New Roman" w:hAnsi="Times New Roman"/>
                  <w:color w:val="0000FF"/>
                  <w:sz w:val="20"/>
                  <w:u w:val="single"/>
                </w:rPr>
                <w:t>Quantitative and Qualitative Disclosures About Market Risk</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r>
      <w:tr>
        <w:trPr/>
        <w:tc>
          <w:tcPr>
            <w:tcW w:w="8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81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Times New Roman" w:hAnsi="Times New Roman"/>
                  <w:color w:val="0000FF"/>
                  <w:sz w:val="20"/>
                  <w:u w:val="single"/>
                </w:rPr>
                <w:t>Controls and Procedures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r>
      <w:tr>
        <w:trPr/>
        <w:tc>
          <w:tcPr>
            <w:tcW w:w="8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881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or_information">
              <w:r>
                <w:rPr>
                  <w:rStyle w:val="InternetLink"/>
                  <w:rFonts w:ascii="Times New Roman" w:hAnsi="Times New Roman"/>
                  <w:color w:val="0000FF"/>
                  <w:sz w:val="20"/>
                  <w:u w:val="single"/>
                </w:rPr>
                <w:t>OTHER INFORMATION</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r>
      <w:tr>
        <w:trPr/>
        <w:tc>
          <w:tcPr>
            <w:tcW w:w="8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81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r>
      <w:tr>
        <w:trPr/>
        <w:tc>
          <w:tcPr>
            <w:tcW w:w="8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881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r>
      <w:tr>
        <w:trPr/>
        <w:tc>
          <w:tcPr>
            <w:tcW w:w="8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81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_equity_securit">
              <w:r>
                <w:rPr>
                  <w:rStyle w:val="InternetLink"/>
                  <w:rFonts w:ascii="Times New Roman" w:hAnsi="Times New Roman"/>
                  <w:color w:val="0000FF"/>
                  <w:sz w:val="20"/>
                  <w:u w:val="single"/>
                </w:rPr>
                <w:t>Unregistered Sales of Equity Securities and Use of Proceeds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r>
      <w:tr>
        <w:trPr/>
        <w:tc>
          <w:tcPr>
            <w:tcW w:w="8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81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r>
      <w:tr>
        <w:trPr/>
        <w:tc>
          <w:tcPr>
            <w:tcW w:w="8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81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r>
      <w:tr>
        <w:trPr/>
        <w:tc>
          <w:tcPr>
            <w:tcW w:w="8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881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r_information">
              <w:r>
                <w:rPr>
                  <w:rStyle w:val="InternetLink"/>
                  <w:rFonts w:ascii="Times New Roman" w:hAnsi="Times New Roman"/>
                  <w:color w:val="0000FF"/>
                  <w:sz w:val="20"/>
                  <w:u w:val="single"/>
                </w:rPr>
                <w:t>Other Information</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r>
      <w:tr>
        <w:trPr/>
        <w:tc>
          <w:tcPr>
            <w:tcW w:w="8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881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r>
      <w:tr>
        <w:trPr/>
        <w:tc>
          <w:tcPr>
            <w:tcW w:w="8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r>
    </w:tbl>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SPECIAL NOTE REGARDING FORWARD-LOOKING STATEMENTS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This Quarterly Report on Form 10-Q contains forward-looking statements about us and our industry that involve substantial risks and uncertainties, including but not limited to those set forth under the caption “Special Note Regarding Forward-Looking Statements” and Item 1A. “Risk Factors” of Part II of this Quarterly Report on Form 10-Q and those discussed in our other filings with the Securities and Exchange Commission (SEC), including the risks described in Item 1A. “Risk Factors” of Part I of our Annual Report on Form 10-K for the year ended December 31, 2024, which was filed on March 3, 2025. All statements other than statements of historical facts contained in this Quarterly Report on Form 10-Q, including statements regarding our future financial condition, results of operations, business strategy and plans, and objectives of management for future operations, as well as statements regarding industry trends, are forward-looking statements. In some cases, you can identify forward-looking statements by terminology such as “anticipate,” “believe,” “continue,” “could,” “estimate,” “expect,” “intend,” “may,” “plan,” “potentially,” “predict,” “should,” “will” or the negative of these terms or other similar expressions.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based these forward-looking statements largely on our current expectations and projections about future events and trends that we believe may affect our financial condition, results of operations, business strategy and financial needs. These forward-looking statements are subject to a number of risks, uncertainties, factors, and assumptions described under the section titled “Risk Factors” in this Report and in the section entitled “Risk Factors” and elsewhere in our Annual Report on Form 10-K for the year ended December 31, 2024, regarding, among other things:</w:t>
      </w:r>
    </w:p>
    <w:p>
      <w:pPr>
        <w:pStyle w:val="TextBody"/>
        <w:bidi w:val="0"/>
        <w:spacing w:before="120" w:after="120"/>
        <w:jc w:val="both"/>
        <w:rPr>
          <w:color w:val="000000"/>
        </w:rPr>
      </w:pPr>
      <w:r>
        <w:rPr>
          <w:color w:val="000000"/>
        </w:rPr>
        <w: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our inability to achieve or sustain profitability;</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ability to attain significant market acceptance among payers, providers, clinics, patients, and biopharmaceutical companies for our diagnostic tests;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difficulties managing our growth, which could disrupt our operations;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failure to retain sales and marketing personnel, and failure to increase our sales and marketing capabilities or develop broad awareness of our diagnostic tests to generate revenue growth;</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failure to maintain our current relationships, or enter into new relationships, with biopharmaceutical companies;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significant fluctuation in our operating results, causing our operating results to fall below expectations or any guidance we provide;</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product performance and reliability to maintain and grow our business;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third-party suppliers, including courier services and single source suppliers; making us vulnerable to supply problems and price fluctuations;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impact of a pandemic, epidemic, or outbreak of an infectious disease in the United States (U.S.) or worldwide;</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natural or man-made disasters and other similar events negatively impacting our business, financial condition, and results of operations;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failure to offer high-quality support for our diagnostic tests, which may adversely affect our relationships with providers and negatively impact our reputation among patients and providers;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inability to continue to innovate and improve our diagnostic tests and services we offer;</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security or data privacy breaches or other unauthorized or improper access;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significant disruptions in our information technology systems;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incurrence of substantial liabilities and limiting or halting the marketing and sale of our diagnostic tests due to product liability lawsuits;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inability to compete successfully with competition from many sources, including larger companies;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performance issues, service interruptions or price increases by our shipping carriers;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cost-containment efforts of our customers, purchasing groups and integrated delivery networks having a material adverse effect on our sales and profitability;</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potential effects of litigation and other proceedings;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general economic and financial market conditions, including enhanced U.S. tariffs, import/export restrictions or other trade barriers, which may have a negative effect on global economic conditions, financial markets and our business;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ability to attract and retain key personnel;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color w:val="000000"/>
        </w:rPr>
      </w:pPr>
      <w:r>
        <w:rPr>
          <w:color w:val="000000"/>
        </w:rPr>
        <w: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current and future debt financing placing restrictions on our operating and financial flexibility;</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need to raise additional capital to fund our existing operations, develop our platform, commercialize new diagnostic tests, or expand our operations;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acquisition of other businesses, which could require significant management attention, disrupt our business, dilute stockholder value and adversely affect our results of operations;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uncertainty of the insurance coverage and reimbursement status of newly approved diagnostic tests;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future healthcare reform measures that could hinder or prevent the commercial success of our diagnostic tests;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compliance with anti-corruption, anti-bribery, anti-money laundering and similar laws;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compliance with healthcare fraud and abuse laws;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ability to develop, receive regulatory clearance or approval or certification for, and introduce new diagnostic tests or enhancements to existing diagnostic tests that will be accepted by the market in a timely manner;</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failure to comply with ongoing FDA or other domestic and foreign regulatory authority requirements, or unanticipated problems with our diagnostic tests, causing them to be subject to restrictions or withdrawal from the market;</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future product recalls;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legal proceedings initiated by third parties alleging that we are infringing, misappropriating, or otherwise violating their intellectual property rights, the outcome of which would be uncertain;</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volatility of the trading price of our common stock;</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no assurance that our common stock will continue to trade on The Nasdaq Stock Market LLC (Nasdaq) or another national securities exchange;</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inaccurate estimates or judgments relating to our critical accounting policies, which could cause our operating results to fall below the expectations of securities analysts and investors; and</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other risks, uncertainties and factors, including those set forth under Item 1A. "Risk Factors".</w:t>
      </w:r>
    </w:p>
    <w:p>
      <w:pPr>
        <w:pStyle w:val="TextBody"/>
        <w:bidi w:val="0"/>
        <w:jc w:val="both"/>
        <w:rPr>
          <w:rFonts w:ascii="Times New Roman" w:hAnsi="Times New Roman"/>
          <w:color w:val="000000"/>
          <w:sz w:val="20"/>
        </w:rPr>
      </w:pPr>
      <w:r>
        <w:rPr>
          <w:rFonts w:ascii="Times New Roman" w:hAnsi="Times New Roman"/>
          <w:color w:val="000000"/>
          <w:sz w:val="20"/>
        </w:rPr>
        <w:t>These risks are not exhaustive. Other sections of this Quarterly Report on Form 10-Q may include additional factors that could harm our business and financial performance. New risk factors may emerge from time to time and it is not possible for our management to predict all risk factors, nor can we assess the impact of all factors on our business or the extent to which any factor, or combination of factors, may cause actual results to differ materially from those contained in, or implied by, any forward-looking statements.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You should not rely upon forward-looking statements as predictions of future events. Although we believe that the expectations reflected in the forward-looking statements are reasonable, we cannot guarantee future results, levels of activity, performance or achievements. Except as required by law, we undertake no obligation to update publicly any forward-looking statements for any reason after the date of this Quarterly Report on Form 10-Q or to conform these statements to actual results or to changes in our expectations.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You should read this Quarterly Report on Form 10-Q and the documents that we reference and have filed as exhibits with the understanding that our actual future results, levels of activity, performance and achievements may be different from what we expect. We qualify all of our forward-looking statements by these cautionary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part_ifinancial_information"/>
      <w:bookmarkEnd w:id="2"/>
      <w:r>
        <w:rPr>
          <w:rFonts w:ascii="Times New Roman" w:hAnsi="Times New Roman"/>
          <w:b/>
          <w:color w:val="000000"/>
          <w:sz w:val="20"/>
        </w:rPr>
        <w:t>PART I—FINANCIAL INFORMATION</w:t>
      </w:r>
    </w:p>
    <w:p>
      <w:pPr>
        <w:pStyle w:val="TextBody"/>
        <w:bidi w:val="0"/>
        <w:spacing w:before="200" w:after="283"/>
        <w:jc w:val="left"/>
        <w:rPr>
          <w:rFonts w:ascii="Times New Roman" w:hAnsi="Times New Roman"/>
          <w:b/>
          <w:color w:val="000000"/>
          <w:sz w:val="20"/>
        </w:rPr>
      </w:pPr>
      <w:bookmarkStart w:id="3" w:name="item_1_financial_statements"/>
      <w:bookmarkEnd w:id="3"/>
      <w:r>
        <w:rPr>
          <w:rFonts w:ascii="Times New Roman" w:hAnsi="Times New Roman"/>
          <w:b/>
          <w:color w:val="000000"/>
          <w:sz w:val="20"/>
        </w:rPr>
        <w:t>Item 1. Financial Statements (Unaudited).</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BIODESIX, INC.</w:t>
      </w:r>
    </w:p>
    <w:p>
      <w:pPr>
        <w:pStyle w:val="TextBody"/>
        <w:bidi w:val="0"/>
        <w:spacing w:before="200" w:after="283"/>
        <w:jc w:val="center"/>
        <w:rPr>
          <w:rFonts w:ascii="Times New Roman" w:hAnsi="Times New Roman"/>
          <w:b/>
          <w:color w:val="000000"/>
          <w:sz w:val="20"/>
        </w:rPr>
      </w:pPr>
      <w:bookmarkStart w:id="4" w:name="condensed_balance_sheets_unaudited"/>
      <w:bookmarkEnd w:id="4"/>
      <w:r>
        <w:rPr>
          <w:rFonts w:ascii="Times New Roman" w:hAnsi="Times New Roman"/>
          <w:b/>
          <w:color w:val="000000"/>
          <w:sz w:val="20"/>
        </w:rPr>
        <w:t>Condensed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097"/>
        <w:gridCol w:w="146"/>
        <w:gridCol w:w="281"/>
        <w:gridCol w:w="1119"/>
        <w:gridCol w:w="166"/>
        <w:gridCol w:w="146"/>
        <w:gridCol w:w="332"/>
        <w:gridCol w:w="1325"/>
        <w:gridCol w:w="593"/>
      </w:tblGrid>
      <w:tr>
        <w:trPr/>
        <w:tc>
          <w:tcPr>
            <w:tcW w:w="60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60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9"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0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2024</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612" w:type="dxa"/>
            <w:gridSpan w:val="8"/>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Assets</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0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6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0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17,603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2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26,245</w:t>
            </w:r>
          </w:p>
        </w:tc>
        <w:tc>
          <w:tcPr>
            <w:tcW w:w="593"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 net of allowance for credit losses of $209 and $481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8,603</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11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4,380</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32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4,636</w:t>
            </w:r>
          </w:p>
        </w:tc>
        <w:tc>
          <w:tcPr>
            <w:tcW w:w="593" w:type="dxa"/>
            <w:tcBorders>
              <w:bottom w:val="single" w:sz="4" w:space="0" w:color="000000"/>
            </w:tcBorders>
            <w:shd w:fill="CCEE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09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39,484</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w:t>
              <w:noBreakHyphen/>
              <w:t>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0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27,828</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2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5,874</w:t>
            </w:r>
          </w:p>
        </w:tc>
        <w:tc>
          <w:tcPr>
            <w:tcW w:w="593"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1,767</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15,031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2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15,031</w:t>
            </w:r>
          </w:p>
        </w:tc>
        <w:tc>
          <w:tcPr>
            <w:tcW w:w="593"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long-term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7,260</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09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non</w:t>
              <w:noBreakHyphen/>
              <w:t>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11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56,619</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32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57,760</w:t>
            </w:r>
          </w:p>
        </w:tc>
        <w:tc>
          <w:tcPr>
            <w:tcW w:w="59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60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86,241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97,244</w:t>
            </w:r>
          </w:p>
        </w:tc>
        <w:tc>
          <w:tcPr>
            <w:tcW w:w="5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9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612"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Liabilities and Stockholders' Equity</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0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16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0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2,194</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2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10,064</w:t>
            </w:r>
          </w:p>
        </w:tc>
        <w:tc>
          <w:tcPr>
            <w:tcW w:w="593"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portion of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1,094</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2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w:t>
            </w:r>
          </w:p>
        </w:tc>
        <w:tc>
          <w:tcPr>
            <w:tcW w:w="593"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portion of notes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11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1,088</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32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w:t>
            </w:r>
          </w:p>
        </w:tc>
        <w:tc>
          <w:tcPr>
            <w:tcW w:w="593" w:type="dxa"/>
            <w:tcBorders>
              <w:bottom w:val="single" w:sz="4" w:space="0" w:color="000000"/>
            </w:tcBorders>
            <w:shd w:fill="CCEE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09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14,317</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w:t>
              <w:noBreakHyphen/>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0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w:t>
              <w:noBreakHyphen/>
              <w:t>term notes payable,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36,408</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Long-term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24,480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2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24,828</w:t>
            </w:r>
          </w:p>
        </w:tc>
        <w:tc>
          <w:tcPr>
            <w:tcW w:w="593"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long-term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815</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09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non</w:t>
              <w:noBreakHyphen/>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11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61,865</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32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62,051</w:t>
            </w:r>
          </w:p>
        </w:tc>
        <w:tc>
          <w:tcPr>
            <w:tcW w:w="59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60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75,181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76,368</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0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Preferred stock, $0.001 par value, 5,000,000 authorized; </w:t>
              <w:br/>
              <w:t>    0 (2025 and 2024) issued and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25"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3"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Common stock, $0.001 par value, 200,000,000 authorized; </w:t>
              <w:br/>
              <w:t>   146,443,460 (2025) and 145,491,569 (2024) shares issued and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w:t>
              <w:noBreakHyphen/>
              <w:t>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484,512</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2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483,228</w:t>
            </w:r>
          </w:p>
        </w:tc>
        <w:tc>
          <w:tcPr>
            <w:tcW w:w="593"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(473,598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(462,497</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97"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11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11,060</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32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20,876</w:t>
            </w:r>
          </w:p>
        </w:tc>
        <w:tc>
          <w:tcPr>
            <w:tcW w:w="59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60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86,241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97,244</w:t>
            </w:r>
          </w:p>
        </w:tc>
        <w:tc>
          <w:tcPr>
            <w:tcW w:w="5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BIODESIX, INC.</w:t>
      </w:r>
    </w:p>
    <w:p>
      <w:pPr>
        <w:pStyle w:val="TextBody"/>
        <w:bidi w:val="0"/>
        <w:spacing w:before="200" w:after="283"/>
        <w:jc w:val="center"/>
        <w:rPr>
          <w:rFonts w:ascii="Times New Roman" w:hAnsi="Times New Roman"/>
          <w:b/>
          <w:color w:val="000000"/>
          <w:sz w:val="20"/>
        </w:rPr>
      </w:pPr>
      <w:bookmarkStart w:id="5" w:name="condensed_statements_operations"/>
      <w:bookmarkEnd w:id="5"/>
      <w:r>
        <w:rPr>
          <w:rFonts w:ascii="Times New Roman" w:hAnsi="Times New Roman"/>
          <w:b/>
          <w:color w:val="000000"/>
          <w:sz w:val="20"/>
        </w:rPr>
        <w:t>Condensed Statements of Operations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per share data)</w:t>
      </w:r>
    </w:p>
    <w:p>
      <w:pPr>
        <w:pStyle w:val="TextBody"/>
        <w:bidi w:val="0"/>
        <w:jc w:val="center"/>
        <w:rPr/>
      </w:pPr>
      <w:r>
        <w:rPr/>
        <w:t> </w:t>
      </w:r>
    </w:p>
    <w:tbl>
      <w:tblPr>
        <w:tblW w:w="7996" w:type="dxa"/>
        <w:jc w:val="left"/>
        <w:tblInd w:w="0" w:type="dxa"/>
        <w:tblLayout w:type="fixed"/>
        <w:tblCellMar>
          <w:top w:w="28" w:type="dxa"/>
          <w:left w:w="28" w:type="dxa"/>
          <w:bottom w:w="28" w:type="dxa"/>
          <w:right w:w="28" w:type="dxa"/>
        </w:tblCellMar>
      </w:tblPr>
      <w:tblGrid>
        <w:gridCol w:w="4651"/>
        <w:gridCol w:w="146"/>
        <w:gridCol w:w="261"/>
        <w:gridCol w:w="968"/>
        <w:gridCol w:w="205"/>
        <w:gridCol w:w="181"/>
        <w:gridCol w:w="261"/>
        <w:gridCol w:w="912"/>
        <w:gridCol w:w="411"/>
      </w:tblGrid>
      <w:tr>
        <w:trPr/>
        <w:tc>
          <w:tcPr>
            <w:tcW w:w="4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17,958</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14,818</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Direct costs and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3,703</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2,870</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Sales, marketing,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20,448</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20,556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Impairment loss on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27,094</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25,839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(9,136</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(11,021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3"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(1,685</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warrant liability,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(1,965</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8"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(11,101</w:t>
            </w:r>
          </w:p>
        </w:tc>
        <w:tc>
          <w:tcPr>
            <w:tcW w:w="205"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(13,614</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(0.08</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shares outstanding,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146,547</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97,166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BIODESIX, INC.</w:t>
      </w:r>
    </w:p>
    <w:p>
      <w:pPr>
        <w:pStyle w:val="TextBody"/>
        <w:bidi w:val="0"/>
        <w:spacing w:before="200" w:after="283"/>
        <w:jc w:val="center"/>
        <w:rPr>
          <w:rFonts w:ascii="Times New Roman" w:hAnsi="Times New Roman"/>
          <w:b/>
          <w:color w:val="000000"/>
          <w:sz w:val="20"/>
        </w:rPr>
      </w:pPr>
      <w:bookmarkStart w:id="6" w:name="condensed_statements_changes_in_converti"/>
      <w:bookmarkEnd w:id="6"/>
      <w:r>
        <w:rPr>
          <w:rFonts w:ascii="Times New Roman" w:hAnsi="Times New Roman"/>
          <w:b/>
          <w:color w:val="000000"/>
          <w:sz w:val="20"/>
        </w:rPr>
        <w:t>Condensed Statements of Stockholders' Equity (Deficit)</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975"/>
        <w:gridCol w:w="146"/>
        <w:gridCol w:w="146"/>
        <w:gridCol w:w="781"/>
        <w:gridCol w:w="146"/>
        <w:gridCol w:w="146"/>
        <w:gridCol w:w="260"/>
        <w:gridCol w:w="521"/>
        <w:gridCol w:w="146"/>
        <w:gridCol w:w="146"/>
        <w:gridCol w:w="274"/>
        <w:gridCol w:w="1021"/>
        <w:gridCol w:w="166"/>
        <w:gridCol w:w="146"/>
        <w:gridCol w:w="243"/>
        <w:gridCol w:w="973"/>
        <w:gridCol w:w="166"/>
        <w:gridCol w:w="146"/>
        <w:gridCol w:w="321"/>
        <w:gridCol w:w="1124"/>
        <w:gridCol w:w="212"/>
      </w:tblGrid>
      <w:tr>
        <w:trPr/>
        <w:tc>
          <w:tcPr>
            <w:tcW w:w="29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29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Additional Paid</w:t>
              <w:noBreakHyphen/>
              <w:t>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 Stockholders'</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Equity</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 xml:space="preserve">Balance </w:t>
              <w:noBreakHyphen/>
              <w:t xml:space="preserve"> December 31, 2024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145,492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483,228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(462,497</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20,876</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under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Release of restricted stock units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w:t>
              <w:noBreakHyphen/>
              <w:t>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2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7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(11,101</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2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12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(11,101</w:t>
            </w:r>
          </w:p>
        </w:tc>
        <w:tc>
          <w:tcPr>
            <w:tcW w:w="21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 xml:space="preserve">Balance </w:t>
              <w:noBreakHyphen/>
              <w:t xml:space="preserve">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146,443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484,512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(473,598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11,060</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070"/>
        <w:gridCol w:w="146"/>
        <w:gridCol w:w="146"/>
        <w:gridCol w:w="676"/>
        <w:gridCol w:w="146"/>
        <w:gridCol w:w="146"/>
        <w:gridCol w:w="295"/>
        <w:gridCol w:w="486"/>
        <w:gridCol w:w="146"/>
        <w:gridCol w:w="146"/>
        <w:gridCol w:w="277"/>
        <w:gridCol w:w="1034"/>
        <w:gridCol w:w="146"/>
        <w:gridCol w:w="146"/>
        <w:gridCol w:w="243"/>
        <w:gridCol w:w="973"/>
        <w:gridCol w:w="166"/>
        <w:gridCol w:w="146"/>
        <w:gridCol w:w="324"/>
        <w:gridCol w:w="1134"/>
        <w:gridCol w:w="213"/>
      </w:tblGrid>
      <w:tr>
        <w:trPr/>
        <w:tc>
          <w:tcPr>
            <w:tcW w:w="30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0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1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Additional Paid</w:t>
              <w:noBreakHyphen/>
              <w:t>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5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 Stockholders'</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(Deficit)</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7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 xml:space="preserve">Balance </w:t>
              <w:noBreakHyphen/>
              <w:t xml:space="preserve"> December 31, 2023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96,236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424,050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(419,566</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4,580</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under employee stock purchase plan</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3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Release of restricted stock units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34"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w:t>
              <w:noBreakHyphen/>
              <w:t>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2,640</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03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7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(13,614</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2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13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(13,614</w:t>
            </w:r>
          </w:p>
        </w:tc>
        <w:tc>
          <w:tcPr>
            <w:tcW w:w="21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 xml:space="preserve">Balance </w:t>
              <w:noBreakHyphen/>
              <w:t xml:space="preserve"> March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97,159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427,581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(433,180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(5,502</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BIODESIX, INC.</w:t>
      </w:r>
    </w:p>
    <w:p>
      <w:pPr>
        <w:pStyle w:val="TextBody"/>
        <w:bidi w:val="0"/>
        <w:spacing w:before="200" w:after="283"/>
        <w:jc w:val="center"/>
        <w:rPr>
          <w:rFonts w:ascii="Times New Roman" w:hAnsi="Times New Roman"/>
          <w:b/>
          <w:color w:val="000000"/>
          <w:sz w:val="20"/>
        </w:rPr>
      </w:pPr>
      <w:bookmarkStart w:id="7" w:name="condensed_statements_cash_flows_unaudite"/>
      <w:bookmarkEnd w:id="7"/>
      <w:r>
        <w:rPr>
          <w:rFonts w:ascii="Times New Roman" w:hAnsi="Times New Roman"/>
          <w:b/>
          <w:color w:val="000000"/>
          <w:sz w:val="20"/>
        </w:rPr>
        <w:t>Condensed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tbl>
      <w:tblPr>
        <w:tblW w:w="10181" w:type="dxa"/>
        <w:jc w:val="left"/>
        <w:tblInd w:w="0" w:type="dxa"/>
        <w:tblLayout w:type="fixed"/>
        <w:tblCellMar>
          <w:top w:w="28" w:type="dxa"/>
          <w:left w:w="28" w:type="dxa"/>
          <w:bottom w:w="28" w:type="dxa"/>
          <w:right w:w="28" w:type="dxa"/>
        </w:tblCellMar>
      </w:tblPr>
      <w:tblGrid>
        <w:gridCol w:w="6636"/>
        <w:gridCol w:w="146"/>
        <w:gridCol w:w="266"/>
        <w:gridCol w:w="931"/>
        <w:gridCol w:w="210"/>
        <w:gridCol w:w="184"/>
        <w:gridCol w:w="266"/>
        <w:gridCol w:w="931"/>
        <w:gridCol w:w="611"/>
      </w:tblGrid>
      <w:tr>
        <w:trPr/>
        <w:tc>
          <w:tcPr>
            <w:tcW w:w="6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3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operating activities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(11,101</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(13,614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63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Adjustments to reconcile net loss to net cash, cash equivalents, and restricted</w:t>
              <w:br/>
              <w:t>   cash used in operating activities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CEE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1,440</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36" w:type="dxa"/>
            <w:tcBorders/>
            <w:shd w:fill="CCEE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Accretion of lease right-of-use assets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611" w:type="dxa"/>
            <w:tcBorders/>
            <w:shd w:fill="CCEE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Share</w:t>
              <w:noBreakHyphen/>
              <w:t>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36" w:type="dxa"/>
            <w:tcBorders/>
            <w:shd w:fill="CCEE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Change in fair value of warrant liability, net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CEE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Provision for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36" w:type="dxa"/>
            <w:tcBorders/>
            <w:shd w:fill="CCEE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Accrued interest, amortization of debt issuance costs and other</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1,064</w:t>
            </w:r>
          </w:p>
        </w:tc>
        <w:tc>
          <w:tcPr>
            <w:tcW w:w="611" w:type="dxa"/>
            <w:tcBorders/>
            <w:shd w:fill="CCEE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Inventory excess and obsolescence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36" w:type="dxa"/>
            <w:tcBorders/>
            <w:shd w:fill="CCEE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Impairment loss on intangible assets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61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636" w:type="dxa"/>
            <w:tcBorders/>
            <w:shd w:fill="CCEE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904</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(2,344</w:t>
            </w:r>
          </w:p>
        </w:tc>
        <w:tc>
          <w:tcPr>
            <w:tcW w:w="611" w:type="dxa"/>
            <w:tcBorders/>
            <w:shd w:fill="CCEE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636" w:type="dxa"/>
            <w:tcBorders/>
            <w:shd w:fill="CCEE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long-term assets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611" w:type="dxa"/>
            <w:tcBorders/>
            <w:shd w:fill="CCEE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payable and other 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(1,938</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636" w:type="dxa"/>
            <w:tcBorders/>
            <w:shd w:fill="CCEE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611" w:type="dxa"/>
            <w:tcBorders/>
            <w:shd w:fill="CCEE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Contingent consideration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636" w:type="dxa"/>
            <w:tcBorders/>
            <w:shd w:fill="CCEE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Current and long-term operating lease liabilities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21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w:t>
            </w:r>
          </w:p>
        </w:tc>
        <w:tc>
          <w:tcPr>
            <w:tcW w:w="6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cash equivalents, and restricted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(8,602</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(15,311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636" w:type="dxa"/>
            <w:tcBorders/>
            <w:shd w:fill="CCEEFF" w:val="clear"/>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3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 of property and equipment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w:t>
            </w:r>
          </w:p>
        </w:tc>
        <w:tc>
          <w:tcPr>
            <w:tcW w:w="61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Patent costs and intangible asset acquisition,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3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cash equivalents, and restricted cash used in investing activities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w:t>
            </w:r>
          </w:p>
        </w:tc>
        <w:tc>
          <w:tcPr>
            <w:tcW w:w="6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3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financing activities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the issuance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3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issuance of common stock under employee stock purchase plan</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w:t>
            </w:r>
          </w:p>
        </w:tc>
        <w:tc>
          <w:tcPr>
            <w:tcW w:w="61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3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Repayment of term loan and notes payable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61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 of debt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63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Equity financing costs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61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3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cash equivalents, and restricted cash provided by financing activities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21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w:t>
            </w:r>
          </w:p>
        </w:tc>
        <w:tc>
          <w:tcPr>
            <w:tcW w:w="6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(8,642</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(14,793</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3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Cash, cash equivalents, and restricted cash </w:t>
              <w:noBreakHyphen/>
              <w:t xml:space="preserve"> beginning of period</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26,332</w:t>
            </w:r>
          </w:p>
        </w:tc>
        <w:tc>
          <w:tcPr>
            <w:tcW w:w="21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26,371</w:t>
            </w:r>
          </w:p>
        </w:tc>
        <w:tc>
          <w:tcPr>
            <w:tcW w:w="6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Cash, cash equivalents, and restricted cash </w:t>
              <w:noBreakHyphen/>
              <w:t xml:space="preserve">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17,690</w:t>
            </w:r>
          </w:p>
        </w:tc>
        <w:tc>
          <w:tcPr>
            <w:tcW w:w="2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11,578</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BIODESIX, INC.</w:t>
      </w:r>
    </w:p>
    <w:p>
      <w:pPr>
        <w:pStyle w:val="TextBody"/>
        <w:bidi w:val="0"/>
        <w:spacing w:before="200" w:after="283"/>
        <w:jc w:val="center"/>
        <w:rPr>
          <w:rFonts w:ascii="Times New Roman" w:hAnsi="Times New Roman"/>
          <w:sz w:val="20"/>
        </w:rPr>
      </w:pPr>
      <w:r>
        <w:rPr>
          <w:rFonts w:ascii="Times New Roman" w:hAnsi="Times New Roman"/>
          <w:b/>
          <w:color w:val="000000"/>
          <w:sz w:val="20"/>
        </w:rPr>
        <w:t>Statements of Cash Flows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(Continued from the previous page)</w:t>
      </w:r>
    </w:p>
    <w:p>
      <w:pPr>
        <w:pStyle w:val="TextBody"/>
        <w:bidi w:val="0"/>
        <w:spacing w:before="240" w:after="283"/>
        <w:jc w:val="left"/>
        <w:rPr>
          <w:rFonts w:ascii="Times New Roman" w:hAnsi="Times New Roman"/>
          <w:sz w:val="20"/>
        </w:rPr>
      </w:pPr>
      <w:r>
        <w:rPr>
          <w:rFonts w:ascii="Times New Roman" w:hAnsi="Times New Roman"/>
          <w:b/>
          <w:color w:val="000000"/>
          <w:sz w:val="20"/>
        </w:rPr>
        <w:t>Supplemental cash flow information</w:t>
      </w:r>
      <w:r>
        <w:rPr>
          <w:rFonts w:ascii="Times New Roman" w:hAnsi="Times New Roman"/>
          <w:color w:val="000000"/>
          <w:sz w:val="20"/>
        </w:rPr>
        <w:t>:</w:t>
      </w:r>
    </w:p>
    <w:tbl>
      <w:tblPr>
        <w:tblW w:w="10205" w:type="dxa"/>
        <w:jc w:val="left"/>
        <w:tblInd w:w="0" w:type="dxa"/>
        <w:tblLayout w:type="fixed"/>
        <w:tblCellMar>
          <w:top w:w="28" w:type="dxa"/>
          <w:left w:w="28" w:type="dxa"/>
          <w:bottom w:w="28" w:type="dxa"/>
          <w:right w:w="28" w:type="dxa"/>
        </w:tblCellMar>
      </w:tblPr>
      <w:tblGrid>
        <w:gridCol w:w="7102"/>
        <w:gridCol w:w="146"/>
        <w:gridCol w:w="314"/>
        <w:gridCol w:w="851"/>
        <w:gridCol w:w="217"/>
        <w:gridCol w:w="217"/>
        <w:gridCol w:w="314"/>
        <w:gridCol w:w="851"/>
        <w:gridCol w:w="193"/>
      </w:tblGrid>
      <w:tr>
        <w:trPr/>
        <w:tc>
          <w:tcPr>
            <w:tcW w:w="71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71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0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Debt issuance costs included in accounts payable and other accrued liabilities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financing costs included in accounts payable and other 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0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 obtained in exchange for lease liabilities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right-of-use assets obtained in exchange for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0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interest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1,379</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1,475</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of property &amp; equipment included in accounts payable and 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1,405</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BIODESIX, INC.</w:t>
      </w:r>
    </w:p>
    <w:p>
      <w:pPr>
        <w:pStyle w:val="TextBody"/>
        <w:bidi w:val="0"/>
        <w:spacing w:before="200" w:after="283"/>
        <w:jc w:val="center"/>
        <w:rPr>
          <w:rFonts w:ascii="Times New Roman" w:hAnsi="Times New Roman"/>
          <w:b/>
          <w:color w:val="000000"/>
          <w:sz w:val="20"/>
        </w:rPr>
      </w:pPr>
      <w:bookmarkStart w:id="8" w:name="notes_to_financial_statements"/>
      <w:bookmarkEnd w:id="8"/>
      <w:r>
        <w:rPr>
          <w:rFonts w:ascii="Times New Roman" w:hAnsi="Times New Roman"/>
          <w:b/>
          <w:color w:val="000000"/>
          <w:sz w:val="20"/>
        </w:rPr>
        <w:t>Notes to Unaudited Condensed Financial Statements</w:t>
      </w:r>
    </w:p>
    <w:p>
      <w:pPr>
        <w:pStyle w:val="TextBody"/>
        <w:bidi w:val="0"/>
        <w:spacing w:before="240" w:after="283"/>
        <w:jc w:val="left"/>
        <w:rPr>
          <w:rFonts w:ascii="Times New Roman" w:hAnsi="Times New Roman"/>
          <w:sz w:val="20"/>
        </w:rPr>
      </w:pPr>
      <w:r>
        <w:rPr>
          <w:rFonts w:ascii="Times New Roman" w:hAnsi="Times New Roman"/>
          <w:b/>
          <w:color w:val="000000"/>
          <w:sz w:val="20"/>
        </w:rPr>
        <w:t>Note 1 – Organization and Description of Business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Biodesix, Inc. (the “Company”, “Biodesix”, “we” “us” and “our”), formerly Elston Technologies, Inc., was incorporated in Delaware in 2005. The Company’s headquarters are in Colorado and the Company performs its blood-based diagnostic tests in its laboratory facilities which are located in Louisville, Colorado and De Soto, Kansas. The Company conducts all of its operations within a single legal entity. Biodesix is a leading diagnostic solutions company with a focus in lung disease. The Company develops diagnostic tests using a multi-omic approach to harness the strengths of different technologies that are best suited to address important clinical questions. We derive our revenue from two sources: (i) Biodesix Diagnostic Tests (Diagnostic Tests), providing lung diagnostic testing services for healthcare providers associated with our five blood-based tests and (ii) Biodesix Development Services (Development Services) providing diagnostic testing services to biopharmaceutical, life sciences, and diagnostic companies.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Diagnostic Tests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offers five blood-based lung diagnostic tests for use across the lung cancer continuum of care:</w:t>
      </w:r>
    </w:p>
    <w:p>
      <w:pPr>
        <w:pStyle w:val="TextBody"/>
        <w:bidi w:val="0"/>
        <w:spacing w:before="120" w:after="283"/>
        <w:jc w:val="both"/>
        <w:rPr>
          <w:rFonts w:ascii="Times New Roman" w:hAnsi="Times New Roman"/>
          <w:i/>
          <w:color w:val="000000"/>
          <w:sz w:val="20"/>
          <w:u w:val="single"/>
        </w:rPr>
      </w:pPr>
      <w:r>
        <w:rPr>
          <w:rFonts w:ascii="Times New Roman" w:hAnsi="Times New Roman"/>
          <w:i/>
          <w:color w:val="000000"/>
          <w:sz w:val="20"/>
          <w:u w:val="single"/>
        </w:rPr>
        <w:t>Diagnosis - Nodule Management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sz w:val="20"/>
        </w:rPr>
      </w:pPr>
      <w:r>
        <w:rPr>
          <w:rFonts w:ascii="Times New Roman" w:hAnsi="Times New Roman"/>
          <w:i/>
          <w:color w:val="000000"/>
          <w:sz w:val="20"/>
        </w:rPr>
        <w:t>Nodify CDT</w:t>
      </w:r>
      <w:r>
        <w:rPr>
          <w:rFonts w:ascii="Times New Roman" w:hAnsi="Times New Roman"/>
          <w:color w:val="000000"/>
          <w:sz w:val="20"/>
        </w:rPr>
        <w:t xml:space="preserve">® and </w:t>
      </w:r>
      <w:r>
        <w:rPr>
          <w:rFonts w:ascii="Times New Roman" w:hAnsi="Times New Roman"/>
          <w:i/>
          <w:color w:val="000000"/>
          <w:sz w:val="20"/>
        </w:rPr>
        <w:t>Nodify XL2</w:t>
      </w:r>
      <w:r>
        <w:rPr>
          <w:rFonts w:ascii="Times New Roman" w:hAnsi="Times New Roman"/>
          <w:color w:val="000000"/>
          <w:sz w:val="20"/>
        </w:rPr>
        <w:t>® tests, marketed as Nodify Lung® Nodule Risk Assessment, assess a suspicious lung nodule's risk of lung cancer to help identify the most appropriate treatment pathway. The Nodify CDT and XL2 tests have an established average turnaround time of one and five business days, respectively, from receipt of the blood sample, providing physicians with timely results to guide diagnostic planning. The Nodify CDT test is a blood-based test that detects the presence of seven autoantibodies associated with the presence of tumors. Elevated levels of the autoantibodies in patients with lung nodules indicate an increased risk of lung cancer to help identify patients that may benefit from timely intervention. The Nodify XL2 test is a blood-based proteomic test that evaluates the likelihood that a lung nodule is benign to help identify patients that may benefit from surveillance imaging. We believe we are the only company to offer two commercial blood-based tests to help physicians reclassify risk of malignancy in patients with suspicious lung nodules.</w:t>
      </w:r>
    </w:p>
    <w:p>
      <w:pPr>
        <w:pStyle w:val="TextBody"/>
        <w:bidi w:val="0"/>
        <w:spacing w:before="120" w:after="283"/>
        <w:jc w:val="both"/>
        <w:rPr>
          <w:rFonts w:ascii="Times New Roman" w:hAnsi="Times New Roman"/>
          <w:i/>
          <w:color w:val="000000"/>
          <w:sz w:val="20"/>
          <w:u w:val="single"/>
        </w:rPr>
      </w:pPr>
      <w:r>
        <w:rPr>
          <w:rFonts w:ascii="Times New Roman" w:hAnsi="Times New Roman"/>
          <w:i/>
          <w:color w:val="000000"/>
          <w:sz w:val="20"/>
          <w:u w:val="single"/>
        </w:rPr>
        <w:t>Lung Cancer Treatment &amp; Monitoring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sz w:val="20"/>
        </w:rPr>
      </w:pPr>
      <w:r>
        <w:rPr>
          <w:rFonts w:ascii="Times New Roman" w:hAnsi="Times New Roman"/>
          <w:i/>
          <w:color w:val="000000"/>
          <w:sz w:val="20"/>
        </w:rPr>
        <w:t>GeneStrat</w:t>
      </w:r>
      <w:r>
        <w:rPr>
          <w:rFonts w:ascii="Times New Roman" w:hAnsi="Times New Roman"/>
          <w:color w:val="000000"/>
          <w:sz w:val="20"/>
        </w:rPr>
        <w:t xml:space="preserve">® </w:t>
      </w:r>
      <w:r>
        <w:rPr>
          <w:rFonts w:ascii="Times New Roman" w:hAnsi="Times New Roman"/>
          <w:i/>
          <w:color w:val="000000"/>
          <w:sz w:val="20"/>
        </w:rPr>
        <w:t>ddPCR, GeneStrat NGS</w:t>
      </w:r>
      <w:r>
        <w:rPr>
          <w:rFonts w:ascii="Times New Roman" w:hAnsi="Times New Roman"/>
          <w:color w:val="000000"/>
          <w:sz w:val="20"/>
        </w:rPr>
        <w:t xml:space="preserve">® and </w:t>
      </w:r>
      <w:r>
        <w:rPr>
          <w:rFonts w:ascii="Times New Roman" w:hAnsi="Times New Roman"/>
          <w:i/>
          <w:color w:val="000000"/>
          <w:sz w:val="20"/>
        </w:rPr>
        <w:t>VeriStrat</w:t>
      </w:r>
      <w:r>
        <w:rPr>
          <w:rFonts w:ascii="Times New Roman" w:hAnsi="Times New Roman"/>
          <w:color w:val="000000"/>
          <w:sz w:val="20"/>
        </w:rPr>
        <w:t>® tests, marketed as part of our IQLung testing strategy, are used following diagnosis of lung cancer to detect the presence of mutations in the tumor and the state of the patient’s immune system to help guide treatment decisions. The GeneStrat ddPCR tumor genomic profiling test and the VeriStrat immune profiling test have an established average turnaround time of two business days from receipt of the blood sample, and the GeneStrat NGS test has an established average turnaround time of three business days from receipt of the blood sample, providing physicians with timely results to facilitate treatment decisions. The GeneStrat ddPCR test evaluates the presence of actionable mutations in lung cancer. The test is covered independent of stage and can be used multiple times per patient to monitor changes in mutation status. The GeneStrat NGS test is a broad 52 gene panel, including guideline recommended mutations that help identify advanced stage patients eligible for targeted therapy or clinical trial enrollment. The VeriStrat test is a blood-based proteomic test that provides a personalized view of each patient’s immune response to their lung cancer.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Biodesix has built a structured product development framework and regulatory strategy that has led to regulatory approvals and clinical acumen for the Company's products. This encompasses controlled specimen repositories, patented proprietary technologies, capabilities for manufacturing specimen collection kits, and bioinformatics methods that we believe are important to the development of new targeted therapies, determining clinical trial eligibility, and guiding treatment selection. The Company’s testing services are made available through its clinical laboratories.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Note 2 – Summary of Significant Accounting Policies and Other Information</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Basis of Presentation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accompanying unaudited condensed financial statements have been prepared in accordance with the instructions to Form 10-Q and Rule 10-01 of Regulation S-X for interim financial information and reflect all adjustments necessary to state fairly the Company’s financial position, results of operations and cash flows for the interim periods presented. All such adjustments are of a normal recurring nature. Results for interim periods are not indicative of the results for the entire fiscal year. The accompanying unaudited condensed financial statements should be read in conjunction with the audited financial statements included in the Company’s Annual Report on Form 10-K for the year ended December 31, 2024. Certain information and footnote disclosures, including significant accounting policies, normally included in fiscal year financial statements prepared in accordance with accounting principles generally accepted in the U.S. (GAAP) have been condensed or omitted. The condensed balance sheet as of March 31, 2025 was derived from the audited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BIODESIX, INC.</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Financial Statements</w:t>
      </w:r>
    </w:p>
    <w:p>
      <w:pPr>
        <w:pStyle w:val="TextBody"/>
        <w:bidi w:val="0"/>
        <w:jc w:val="center"/>
        <w:rPr/>
      </w:pPr>
      <w:r>
        <w:rPr/>
        <w:t>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Certain information and footnote disclosures for prior period amounts have been included and reclassified to conform to the current period presentation pursuant to ASU No. 2023-07, </w:t>
      </w:r>
      <w:r>
        <w:rPr>
          <w:rFonts w:ascii="Times New Roman" w:hAnsi="Times New Roman"/>
          <w:i/>
          <w:color w:val="000000"/>
          <w:sz w:val="20"/>
        </w:rPr>
        <w:t>Segment Reporting: Improvements to Reportable Segment Disclosures</w:t>
      </w:r>
      <w:r>
        <w:rPr>
          <w:rFonts w:ascii="Times New Roman" w:hAnsi="Times New Roman"/>
          <w:color w:val="000000"/>
          <w:sz w:val="20"/>
        </w:rPr>
        <w:t xml:space="preserve"> (ASC Topic 280). See Note 15 — </w:t>
      </w:r>
      <w:r>
        <w:rPr>
          <w:rFonts w:ascii="Times New Roman" w:hAnsi="Times New Roman"/>
          <w:i/>
          <w:color w:val="000000"/>
          <w:sz w:val="20"/>
        </w:rPr>
        <w:t>Segment Reporting</w:t>
      </w:r>
      <w:r>
        <w:rPr>
          <w:rFonts w:ascii="Times New Roman" w:hAnsi="Times New Roman"/>
          <w:color w:val="000000"/>
          <w:sz w:val="20"/>
        </w:rPr>
        <w:t xml:space="preserve"> for additional information.</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preparation of financial statements in conformity with GAAP requires management to make estimates and assumptions that affect the reported amounts of assets and liabilities, the disclosure of contingent assets and liabilities at the balance sheet date and the reported amounts of revenue and expenses during the reporting periods. Actual results could differ from those estimates.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Concentrations of Credit Risk and Other Uncertainties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Substantially all of the Company’s cash and cash equivalents are deposited with one major financial institution in the United States. The Company continually monitors its positions with, and the credit quality of, the financial institution with which it holds cash. Periodically throughout the year, the Company has maintained balances in various operating and money market accounts in excess of federally insured limits. The Company has not experienced any losses on its deposits of cash and cash equivalents.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Several of the components for certain of the Company's sample collection kits, test reagents, and test systems are obtained from single-source suppliers. If these single-source suppliers fail to satisfy the Company's requirements on a timely basis, the Company could suffer delays in being able to deliver its diagnostic solutions, a possible loss of revenue, or incur higher costs, any of which could adversely affect our results of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there is currently significant uncertainty about the future relationship between the U.S. and various other countries with respect to trade policies, treaties, tariffs and taxes. Current or future tariffs imposed by the U.S. may negatively impact our business. The extent to which these threats will be enacted and the duration for which enacted tariffs will be in place remain uncertain and could negatively affect our results of operations. The Company is currently evaluating our vendor relationships and assessing the overall impact of these trade policies, however, we do not expect a material impact to the financial statements.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For a discussion of credit risk concentration of accounts receivable as of March 31, 2025 and December 31, 2024, see Note 9 – </w:t>
      </w:r>
      <w:r>
        <w:rPr>
          <w:rFonts w:ascii="Times New Roman" w:hAnsi="Times New Roman"/>
          <w:i/>
          <w:color w:val="000000"/>
          <w:sz w:val="20"/>
        </w:rPr>
        <w:t>Revenue and Accounts Receivable Credit Concentration</w:t>
      </w:r>
      <w:r>
        <w:rPr>
          <w:rFonts w:ascii="Times New Roman" w:hAnsi="Times New Roman"/>
          <w:color w:val="000000"/>
          <w:sz w:val="20"/>
        </w:rPr>
        <w:t xml:space="preserve">.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Restricted Cash</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Restricted cash consists of deposits related to the Company’s corporate credit card. For both of the periods ended March 31, 2025 and December 31, 2024, the Company had $0.1 million restricted cash, respectively, which was included in ‘Other current assets’ in the accompanying condensed balance sheets.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Inventory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Inventory consists primarily of material supplies, which are consumed in the performance of assembly and testing services and charged to ‘Direct costs and expenses’. Inventory is stated at cost and reported within ‘Other current assets’ in the condensed balance sheets and was $1.1 million and $1.0 million as of March 31, 2025 and December 31, 2024, respectively. The Company recorded an insignificant reserve for excess inventory as of March 31, 2025 and December 31, 2024, respectively. During both the three months ended March 31, 2025 and 2024, the Company recorded an insignificant amount to the condensed statements of operations for excess and obsolete inventory.</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Leases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The Company has a $5.0 million cash refundable deposit to secure the performance of the Company’s obligations associated with the operating lease agreement with Centennial Valley Properties I, LLC and subsequently assigned to CVP I Owner LLC (see Note 7 – </w:t>
      </w:r>
      <w:r>
        <w:rPr>
          <w:rFonts w:ascii="Times New Roman" w:hAnsi="Times New Roman"/>
          <w:i/>
          <w:color w:val="000000"/>
          <w:sz w:val="20"/>
        </w:rPr>
        <w:t>Leases</w:t>
      </w:r>
      <w:r>
        <w:rPr>
          <w:rFonts w:ascii="Times New Roman" w:hAnsi="Times New Roman"/>
          <w:color w:val="000000"/>
          <w:sz w:val="20"/>
        </w:rPr>
        <w:t>). As of March 31, 2025 and December 31, 2024, the $5.0 million refundable deposit is reported within 'Other long-term assets' in the condensed balance sheets.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holds and acts as a lessee under various finance lease agreements for laboratory equipment in Colorado and Kansas. As of March 31, 2025 and December 31, 2024, the Company had $2.3 million and $2.2 million recorded as net finance lease ROU assets within 'Other long-term assets' in the balance sheets.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Additional information and disclosures required by this standard are contained in Note 7 — </w:t>
      </w:r>
      <w:r>
        <w:rPr>
          <w:rFonts w:ascii="Times New Roman" w:hAnsi="Times New Roman"/>
          <w:i/>
          <w:color w:val="000000"/>
          <w:sz w:val="20"/>
        </w:rPr>
        <w:t>Leases</w:t>
      </w:r>
      <w:r>
        <w:rPr>
          <w:rFonts w:ascii="Times New Roman" w:hAnsi="Times New Roman"/>
          <w:color w:val="000000"/>
          <w:sz w:val="20"/>
        </w:rPr>
        <w:t>.</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Fair Value of Financial Instruments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U.S. GAAP for fair value establishes a hierarchy that prioritizes fair value measurements based on the types of inputs used for the various valuation techniques (market approach, income approach and cost approach). We utilize a combination of market and income approaches to value our financial instruments. Our financial assets and liabilities are measured using inputs from the three levels of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BIODESIX, INC.</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Financial Statements</w:t>
      </w:r>
    </w:p>
    <w:p>
      <w:pPr>
        <w:pStyle w:val="TextBody"/>
        <w:bidi w:val="0"/>
        <w:jc w:val="center"/>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fair value hierarchy. Fair value measurements are categorized within the fair value hierarchy based upon the lowest level of the most significant inputs used to determine fair value.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three levels of the hierarchy and the related inputs are as follows:</w:t>
      </w:r>
    </w:p>
    <w:tbl>
      <w:tblPr>
        <w:tblW w:w="9013" w:type="dxa"/>
        <w:jc w:val="left"/>
        <w:tblInd w:w="0" w:type="dxa"/>
        <w:tblLayout w:type="fixed"/>
        <w:tblCellMar>
          <w:top w:w="28" w:type="dxa"/>
          <w:left w:w="28" w:type="dxa"/>
          <w:bottom w:w="28" w:type="dxa"/>
          <w:right w:w="28" w:type="dxa"/>
        </w:tblCellMar>
      </w:tblPr>
      <w:tblGrid>
        <w:gridCol w:w="601"/>
        <w:gridCol w:w="146"/>
        <w:gridCol w:w="8266"/>
      </w:tblGrid>
      <w:tr>
        <w:trPr/>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6" w:type="dxa"/>
            <w:tcBorders/>
            <w:vAlign w:val="center"/>
          </w:tcPr>
          <w:p>
            <w:pPr>
              <w:pStyle w:val="TableContents"/>
              <w:bidi w:val="0"/>
              <w:spacing w:before="0" w:after="283"/>
              <w:jc w:val="left"/>
              <w:rPr>
                <w:sz w:val="4"/>
                <w:szCs w:val="4"/>
              </w:rPr>
            </w:pPr>
            <w:r>
              <w:rPr>
                <w:sz w:val="4"/>
                <w:szCs w:val="4"/>
              </w:rPr>
            </w:r>
          </w:p>
        </w:tc>
      </w:tr>
      <w:tr>
        <w:trPr/>
        <w:tc>
          <w:tcPr>
            <w:tcW w:w="60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26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Inputs</w:t>
            </w:r>
          </w:p>
        </w:tc>
      </w:tr>
      <w:tr>
        <w:trPr/>
        <w:tc>
          <w:tcPr>
            <w:tcW w:w="60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Unadjusted quoted prices in active markets for identical assets and liabilities.</w:t>
            </w:r>
          </w:p>
        </w:tc>
      </w:tr>
      <w:tr>
        <w:trPr/>
        <w:tc>
          <w:tcPr>
            <w:tcW w:w="6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Unadjusted quoted prices in active markets for similar assets and liabilities;</w:t>
            </w:r>
          </w:p>
        </w:tc>
      </w:tr>
      <w:tr>
        <w:trPr/>
        <w:tc>
          <w:tcPr>
            <w:tcW w:w="60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Unadjusted quoted prices for identical or similar assets or liabilities in markets that are not active; or</w:t>
            </w:r>
          </w:p>
        </w:tc>
      </w:tr>
      <w:tr>
        <w:trPr/>
        <w:tc>
          <w:tcPr>
            <w:tcW w:w="60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Inputs other than quoted prices that are observable for the asset or liability.</w:t>
            </w:r>
          </w:p>
        </w:tc>
      </w:tr>
      <w:tr>
        <w:trPr/>
        <w:tc>
          <w:tcPr>
            <w:tcW w:w="60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Unobservable inputs for the asset or liability.</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carrying amounts of certain financial instruments including cash and cash equivalents, accounts receivable, prepaid expenses and other current assets, other long-term assets, accounts payable and accrued liabilities approximate fair value due to their relatively short maturities.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See Note 4 — </w:t>
      </w:r>
      <w:r>
        <w:rPr>
          <w:rFonts w:ascii="Times New Roman" w:hAnsi="Times New Roman"/>
          <w:i/>
          <w:color w:val="000000"/>
          <w:sz w:val="20"/>
        </w:rPr>
        <w:t xml:space="preserve">Fair Value </w:t>
      </w:r>
      <w:r>
        <w:rPr>
          <w:rFonts w:ascii="Times New Roman" w:hAnsi="Times New Roman"/>
          <w:color w:val="000000"/>
          <w:sz w:val="20"/>
        </w:rPr>
        <w:t>for further discussion related to estimated fair value measurements.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Retirement Plan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has a defined contribution retirement plan in which all employees are eligible to participate. The plan is intended to qualify under Section 401(k) of the Internal Revenue Code. Employees may elect to have a percentage of their compensation contributed to the plan, subject to certain guidelines issued by the Internal Revenue Service. Beginning in 2025, the Company began making discretionary employer matching contributions. During the three months ended March 31, 2025, the Company's total contributions to the plan were $0.3 million.</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Note 3 - Recently Issued Accounting Standards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Standards Being Evaluated</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In December 2023, the FASB issued ASU 2023-09, </w:t>
      </w:r>
      <w:r>
        <w:rPr>
          <w:rFonts w:ascii="Times New Roman" w:hAnsi="Times New Roman"/>
          <w:i/>
          <w:color w:val="000000"/>
          <w:sz w:val="20"/>
        </w:rPr>
        <w:t>Income Taxes (Topic 740): Improvements to Income Tax Disclosures</w:t>
      </w:r>
      <w:r>
        <w:rPr>
          <w:rFonts w:ascii="Times New Roman" w:hAnsi="Times New Roman"/>
          <w:color w:val="000000"/>
          <w:sz w:val="20"/>
        </w:rPr>
        <w:t>. This ASU improves the transparency of income tax disclosures by requiring consistent categories and greater disaggregation of information in the rate reconciliation and income taxes paid by jurisdiction. This guidance became effective for the Company for the annual period beginning on January 1, 2025, and will become effective for interim periods beginning on January 1, 2026. The Company is currently evaluating this guidance and assessing the overall impact on its financial statements.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In November 2024, the FASB issued ASU 2024-03, </w:t>
      </w:r>
      <w:r>
        <w:rPr>
          <w:rFonts w:ascii="Times New Roman" w:hAnsi="Times New Roman"/>
          <w:i/>
          <w:color w:val="000000"/>
          <w:sz w:val="20"/>
        </w:rPr>
        <w:t>Disaggregation of Income Statement Expenses</w:t>
      </w:r>
      <w:r>
        <w:rPr>
          <w:rFonts w:ascii="Times New Roman" w:hAnsi="Times New Roman"/>
          <w:color w:val="000000"/>
          <w:sz w:val="20"/>
        </w:rPr>
        <w:t>. This ASU improves the transparency of a public business entity's expense disclosures by requiring more detailed information about the types of expenses (including purchases of inventory, employee compensation, depreciation, amortization, and depletion) in commonly presented expense captions (such as cost of sales, SG&amp;A, and research and development). This guidance will become effective for the Company for the annual period beginning on January 1, 2027, and interim periods beginning on January 1, 2028, with early adoption permitted. The Company is currently evaluating this guidance and assessing the overall impact on its financial statements.</w:t>
      </w:r>
    </w:p>
    <w:p>
      <w:pPr>
        <w:pStyle w:val="TextBody"/>
        <w:bidi w:val="0"/>
        <w:spacing w:before="240" w:after="283"/>
        <w:jc w:val="both"/>
        <w:rPr>
          <w:rFonts w:ascii="Times New Roman" w:hAnsi="Times New Roman"/>
          <w:sz w:val="20"/>
        </w:rPr>
      </w:pPr>
      <w:r>
        <w:rPr>
          <w:rFonts w:ascii="Times New Roman" w:hAnsi="Times New Roman"/>
          <w:b/>
          <w:color w:val="000000"/>
          <w:sz w:val="20"/>
        </w:rPr>
        <w:t>Note 4 - Fair Value</w:t>
      </w:r>
      <w:r>
        <w:rPr>
          <w:rFonts w:ascii="Times New Roman" w:hAnsi="Times New Roman"/>
          <w:color w:val="000000"/>
          <w:sz w:val="20"/>
        </w:rPr>
        <w:t xml:space="preserve">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Recurring Fair Value Measurements</w:t>
      </w:r>
    </w:p>
    <w:p>
      <w:pPr>
        <w:pStyle w:val="TextBody"/>
        <w:bidi w:val="0"/>
        <w:spacing w:before="120" w:after="200"/>
        <w:jc w:val="both"/>
        <w:rPr>
          <w:rFonts w:ascii="Times New Roman" w:hAnsi="Times New Roman"/>
          <w:color w:val="000000"/>
          <w:sz w:val="20"/>
        </w:rPr>
      </w:pPr>
      <w:r>
        <w:rPr>
          <w:rFonts w:ascii="Times New Roman" w:hAnsi="Times New Roman"/>
          <w:color w:val="000000"/>
          <w:sz w:val="20"/>
        </w:rPr>
        <w:t>Our borrowing instruments are recorded at their carrying values in the condensed balance sheets, which may differ from their respective fair values. The fair value of borrowings as of March 31, 2025 is primarily associated with the Perceptive Term Loan Facility entered into with Perceptive Credit Holdings IV, LP, in November 2022 and was determined using a discounted cash flow analysis, excluding the fair value of the Perceptive Warrant (as defined below) issued in conjunction with the transaction. The carrying value of outstanding borrowings approximates the fair value as of March 31, 2025 and December 31, 2024. The table below presents the carrying and fair values of outstanding borrowings, which are classified as Level 2, as of the dates indicated (in thousands):</w:t>
      </w:r>
    </w:p>
    <w:tbl>
      <w:tblPr>
        <w:tblW w:w="7199" w:type="dxa"/>
        <w:jc w:val="left"/>
        <w:tblInd w:w="0" w:type="dxa"/>
        <w:tblLayout w:type="fixed"/>
        <w:tblCellMar>
          <w:top w:w="28" w:type="dxa"/>
          <w:left w:w="28" w:type="dxa"/>
          <w:bottom w:w="28" w:type="dxa"/>
          <w:right w:w="28" w:type="dxa"/>
        </w:tblCellMar>
      </w:tblPr>
      <w:tblGrid>
        <w:gridCol w:w="1066"/>
        <w:gridCol w:w="146"/>
        <w:gridCol w:w="342"/>
        <w:gridCol w:w="1098"/>
        <w:gridCol w:w="146"/>
        <w:gridCol w:w="146"/>
        <w:gridCol w:w="242"/>
        <w:gridCol w:w="778"/>
        <w:gridCol w:w="146"/>
        <w:gridCol w:w="146"/>
        <w:gridCol w:w="342"/>
        <w:gridCol w:w="1098"/>
        <w:gridCol w:w="146"/>
        <w:gridCol w:w="146"/>
        <w:gridCol w:w="242"/>
        <w:gridCol w:w="778"/>
        <w:gridCol w:w="191"/>
      </w:tblGrid>
      <w:tr>
        <w:trPr/>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6"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Borrowings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36,711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36,990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36,429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37,484</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BIODESIX, INC.</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Financial Statements</w:t>
      </w:r>
    </w:p>
    <w:p>
      <w:pPr>
        <w:pStyle w:val="TextBody"/>
        <w:bidi w:val="0"/>
        <w:jc w:val="center"/>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The financial liabilities that are measured and recorded at estimated fair value on a recurring basis consist of the warrant liabilities granted as consideration for the Perceptive Term Loan Facility (see Note 6 - </w:t>
      </w:r>
      <w:r>
        <w:rPr>
          <w:rFonts w:ascii="Times New Roman" w:hAnsi="Times New Roman"/>
          <w:i/>
          <w:color w:val="000000"/>
          <w:sz w:val="20"/>
        </w:rPr>
        <w:t>Debt</w:t>
      </w:r>
      <w:r>
        <w:rPr>
          <w:rFonts w:ascii="Times New Roman" w:hAnsi="Times New Roman"/>
          <w:color w:val="000000"/>
          <w:sz w:val="20"/>
        </w:rPr>
        <w:t>), contingent value rights granted to certain holders of our previously converted Series F Preferred Stock, and, prior to 2025, contingent consideration associated with our previous acquisition of Indi, which were accounted for as liabilities and remeasured through our condensed statements of operations.</w:t>
      </w:r>
    </w:p>
    <w:p>
      <w:pPr>
        <w:pStyle w:val="TextBody"/>
        <w:bidi w:val="0"/>
        <w:spacing w:before="120" w:after="200"/>
        <w:jc w:val="both"/>
        <w:rPr>
          <w:rFonts w:ascii="Times New Roman" w:hAnsi="Times New Roman"/>
          <w:color w:val="000000"/>
          <w:sz w:val="20"/>
        </w:rPr>
      </w:pPr>
      <w:r>
        <w:rPr>
          <w:rFonts w:ascii="Times New Roman" w:hAnsi="Times New Roman"/>
          <w:color w:val="000000"/>
          <w:sz w:val="20"/>
        </w:rPr>
        <w:t>The table below presents the reported fair values of contingent consideration and warrant liabilities, which are classified as Level 3 in the fair value hierarchy, as of the dates indicated (in thousands):</w:t>
      </w:r>
    </w:p>
    <w:tbl>
      <w:tblPr>
        <w:tblW w:w="5850" w:type="dxa"/>
        <w:jc w:val="left"/>
        <w:tblInd w:w="0" w:type="dxa"/>
        <w:tblLayout w:type="fixed"/>
        <w:tblCellMar>
          <w:top w:w="28" w:type="dxa"/>
          <w:left w:w="28" w:type="dxa"/>
          <w:bottom w:w="28" w:type="dxa"/>
          <w:right w:w="28" w:type="dxa"/>
        </w:tblCellMar>
      </w:tblPr>
      <w:tblGrid>
        <w:gridCol w:w="2056"/>
        <w:gridCol w:w="146"/>
        <w:gridCol w:w="479"/>
        <w:gridCol w:w="961"/>
        <w:gridCol w:w="146"/>
        <w:gridCol w:w="146"/>
        <w:gridCol w:w="653"/>
        <w:gridCol w:w="1072"/>
        <w:gridCol w:w="19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20"/>
              </w:rPr>
              <w:t>Description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5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 liabilities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65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2"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Contingent value rights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120"/>
        <w:jc w:val="both"/>
        <w:rPr>
          <w:rFonts w:ascii="Times New Roman" w:hAnsi="Times New Roman"/>
          <w:color w:val="000000"/>
          <w:sz w:val="20"/>
        </w:rPr>
      </w:pPr>
      <w:r>
        <w:rPr>
          <w:rFonts w:ascii="Times New Roman" w:hAnsi="Times New Roman"/>
          <w:color w:val="000000"/>
          <w:sz w:val="20"/>
        </w:rPr>
        <w:t>The following table presents the changes in warrant liabilities for the dates indicated (in thousands):</w:t>
      </w:r>
    </w:p>
    <w:tbl>
      <w:tblPr>
        <w:tblW w:w="6458" w:type="dxa"/>
        <w:jc w:val="left"/>
        <w:tblInd w:w="0" w:type="dxa"/>
        <w:tblLayout w:type="fixed"/>
        <w:tblCellMar>
          <w:top w:w="28" w:type="dxa"/>
          <w:left w:w="28" w:type="dxa"/>
          <w:bottom w:w="28" w:type="dxa"/>
          <w:right w:w="28" w:type="dxa"/>
        </w:tblCellMar>
      </w:tblPr>
      <w:tblGrid>
        <w:gridCol w:w="2341"/>
        <w:gridCol w:w="146"/>
        <w:gridCol w:w="1258"/>
        <w:gridCol w:w="2522"/>
        <w:gridCol w:w="191"/>
      </w:tblGrid>
      <w:tr>
        <w:trPr/>
        <w:tc>
          <w:tcPr>
            <w:tcW w:w="23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252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Level 3 Rollforward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 March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4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 January 1, 2025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22"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fair value,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4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 March 31, 2025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22"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w:t>
            </w:r>
          </w:p>
        </w:tc>
        <w:tc>
          <w:tcPr>
            <w:tcW w:w="19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120"/>
        <w:jc w:val="both"/>
        <w:rPr>
          <w:rFonts w:ascii="Times New Roman" w:hAnsi="Times New Roman"/>
          <w:color w:val="000000"/>
          <w:sz w:val="20"/>
        </w:rPr>
      </w:pPr>
      <w:r>
        <w:rPr>
          <w:rFonts w:ascii="Times New Roman" w:hAnsi="Times New Roman"/>
          <w:color w:val="000000"/>
          <w:sz w:val="20"/>
        </w:rPr>
        <w:t>The following table presents the changes in contingent consideration for the dates indicated (in thousands):</w:t>
      </w:r>
    </w:p>
    <w:tbl>
      <w:tblPr>
        <w:tblW w:w="7438" w:type="dxa"/>
        <w:jc w:val="left"/>
        <w:tblInd w:w="0" w:type="dxa"/>
        <w:tblLayout w:type="fixed"/>
        <w:tblCellMar>
          <w:top w:w="28" w:type="dxa"/>
          <w:left w:w="28" w:type="dxa"/>
          <w:bottom w:w="28" w:type="dxa"/>
          <w:right w:w="28" w:type="dxa"/>
        </w:tblCellMar>
      </w:tblPr>
      <w:tblGrid>
        <w:gridCol w:w="3301"/>
        <w:gridCol w:w="146"/>
        <w:gridCol w:w="899"/>
        <w:gridCol w:w="2881"/>
        <w:gridCol w:w="211"/>
      </w:tblGrid>
      <w:tr>
        <w:trPr/>
        <w:tc>
          <w:tcPr>
            <w:tcW w:w="3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Level 3 Rollforward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 March 31, 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0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Beginning balances - January 1, 2024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8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21,857</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0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8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(3,409</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Ending balances - March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8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19,195</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Warrant Liabilities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On November 21, 2022, as consideration for the Perceptive Term Loan Facility (see Note 6 - </w:t>
      </w:r>
      <w:r>
        <w:rPr>
          <w:rFonts w:ascii="Times New Roman" w:hAnsi="Times New Roman"/>
          <w:i/>
          <w:color w:val="000000"/>
          <w:sz w:val="20"/>
        </w:rPr>
        <w:t>Debt</w:t>
      </w:r>
      <w:r>
        <w:rPr>
          <w:rFonts w:ascii="Times New Roman" w:hAnsi="Times New Roman"/>
          <w:color w:val="000000"/>
          <w:sz w:val="20"/>
        </w:rPr>
        <w:t xml:space="preserve">), the Company issued Perceptive a warrant to purchase up to 5,000,000 shares of the Company's common stock (the Perceptive Warrant), including Initial Warrants (as defined in Note 8 - </w:t>
      </w:r>
      <w:r>
        <w:rPr>
          <w:rFonts w:ascii="Times New Roman" w:hAnsi="Times New Roman"/>
          <w:i/>
          <w:color w:val="000000"/>
          <w:sz w:val="20"/>
        </w:rPr>
        <w:t xml:space="preserve">Equity </w:t>
      </w:r>
      <w:r>
        <w:rPr>
          <w:rFonts w:ascii="Times New Roman" w:hAnsi="Times New Roman"/>
          <w:color w:val="000000"/>
          <w:sz w:val="20"/>
        </w:rPr>
        <w:t xml:space="preserve">below) and Tranche B and C Warrants. The Initial Warrants are equity classified (see Note 8 - </w:t>
      </w:r>
      <w:r>
        <w:rPr>
          <w:rFonts w:ascii="Times New Roman" w:hAnsi="Times New Roman"/>
          <w:i/>
          <w:color w:val="000000"/>
          <w:sz w:val="20"/>
        </w:rPr>
        <w:t>Equity</w:t>
      </w:r>
      <w:r>
        <w:rPr>
          <w:rFonts w:ascii="Times New Roman" w:hAnsi="Times New Roman"/>
          <w:color w:val="000000"/>
          <w:sz w:val="20"/>
        </w:rPr>
        <w:t xml:space="preserve">) while the Tranche B and C Warrants were initially classified as liabilities and recognized at fair value. On December 15, 2023 (the Tranche B Borrowing Date), the Company exercised its ability to draw the Tranche B loan (see Note 6 – </w:t>
      </w:r>
      <w:r>
        <w:rPr>
          <w:rFonts w:ascii="Times New Roman" w:hAnsi="Times New Roman"/>
          <w:i/>
          <w:color w:val="000000"/>
          <w:sz w:val="20"/>
        </w:rPr>
        <w:t>Debt</w:t>
      </w:r>
      <w:r>
        <w:rPr>
          <w:rFonts w:ascii="Times New Roman" w:hAnsi="Times New Roman"/>
          <w:color w:val="000000"/>
          <w:sz w:val="20"/>
        </w:rPr>
        <w:t xml:space="preserve">). In connection with the Tranche B draw, the Company remeasured the Tranche B Warrants through the Tranche B Borrowing Date and recorded the change in fair value through the statements of operations and, subsequently, reclassified the fair value to additional paid-in capital (see Note 8 – </w:t>
      </w:r>
      <w:r>
        <w:rPr>
          <w:rFonts w:ascii="Times New Roman" w:hAnsi="Times New Roman"/>
          <w:i/>
          <w:color w:val="000000"/>
          <w:sz w:val="20"/>
        </w:rPr>
        <w:t>Equity</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The fair value of the Tranche C Warrants was determined using a Black-Scholes model and subject to certain unobservable inputs. The significant unobservable inputs used in the measurement of the fair value included the fair value of the Company's common stock, risk-free rate, the volatility of common stock, and the probability of the expected borrowing. The Tranche C loan had a prior commitment date through September 30, 2024 and, as of that date, the Company did not exercise its ability to draw the Tranche C loan. On February 28, 2025 (the Fifth Amendment Effective Date), the Company entered into the Fifth Amendment to the Credit Agreement and Guaranty (the Fifth Amendment) with Perceptive (see Note 6 – </w:t>
      </w:r>
      <w:r>
        <w:rPr>
          <w:rFonts w:ascii="Times New Roman" w:hAnsi="Times New Roman"/>
          <w:i/>
          <w:color w:val="000000"/>
          <w:sz w:val="20"/>
        </w:rPr>
        <w:t>Debt</w:t>
      </w:r>
      <w:r>
        <w:rPr>
          <w:rFonts w:ascii="Times New Roman" w:hAnsi="Times New Roman"/>
          <w:color w:val="000000"/>
          <w:sz w:val="20"/>
        </w:rPr>
        <w:t>), whereby subject to the terms and conditions of the Fifth Amendment, the Tranche C Loan Commitment Termination Date (as defined in the Credit Agreement) was extended, providing continued availability to the Tranche C Loan through December 31, 2025. In addition, on the Tranche C Loan Borrowing Date (as defined in the Credit Agreement), the Tranche C Warrants, as amended, will become vested and exercisable at an exercise price equal to $0.793, the Company's closing stock price on February 28, 2025.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three months ended March 31, 2025 and 2024, the Company recorded $0.4 million and zero as a change in fair value through the condensed statements of operations due to changes in unobservable inputs. This is a result of changes in the probability of our ability to draw on the Tranche C Loan.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BIODESIX, INC.</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Financial Statements</w:t>
      </w:r>
    </w:p>
    <w:p>
      <w:pPr>
        <w:pStyle w:val="TextBody"/>
        <w:bidi w:val="0"/>
        <w:jc w:val="center"/>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Contingent Value Rights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In January 2016, the Company issued shares of Series F Preferred Stock (the Series F Offering) that were subsequently converted into common stock in connection with the Company's initial public offering in October 2020. In connection with the Series F Offering, investors who purchased more than their pro-rata amount in the financing received a calculated number of contingent value rights (CVRs). One CVR represents 0.00375% of the Company’s interest in the drug ficlatuzumab, which began a Phase 3 clinical trial in January 2024 (see Note 14 - </w:t>
      </w:r>
      <w:r>
        <w:rPr>
          <w:rFonts w:ascii="Times New Roman" w:hAnsi="Times New Roman"/>
          <w:i/>
          <w:color w:val="000000"/>
          <w:sz w:val="20"/>
        </w:rPr>
        <w:t>Commitments and Contingencies</w:t>
      </w:r>
      <w:r>
        <w:rPr>
          <w:rFonts w:ascii="Times New Roman" w:hAnsi="Times New Roman"/>
          <w:color w:val="000000"/>
          <w:sz w:val="20"/>
        </w:rPr>
        <w:t xml:space="preserve"> below). In January 2016, the Company issued 3,999 CVRs, or 15% interest in the drug ficlatuzumab, originally valued at $0.5 million. The initial estimated value of the CVRs were recorded as a liability and as a reduction to the Series F proceeds. Subsequent to recoupment of our initial co-development costs, upon receipt of a milestone, royalty, or any other type of payment from the Company’s ownership rights in the drug, the Company is required to make a cash payment to the CVR holders equal to 15% of net proceeds, as defined. During the three months ended March 31, 2025 and 2024, the Company recorded no change in fair value due to the remote probability of receiving net proceeds in excess of our initial co-development costs.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Contingent Consideration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connection with the acquisition of Indi in 2018, the Company recorded contingent consideration for amounts contingently payable to Indi's selling shareholders pursuant to the terms of the asset purchase agreement (the Indi APA). The contingent consideration arrangement required additional consideration to be paid by the Company to such shareholders upon attainment of a three-consecutive month gross margin target of $2.0 million within the seven-year period after the acquisition date, which was achieved during the three months ended June 30, 2021. Under the terms of the original agreement, when the gross margin target was achieved, the Company was required to issue 2,520,108 shares of common stock. For the six months following the achievement of the gross margin target, Indi had the option to require the Company to redeem these common shares for $37.0 million in cash over eight equal quarterly installments. If Indi elected to not exercise its option, the Company had 12 months to repurchase the common stock in two equal and consecutive quarterly cash installments totaling $37.0 million.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August 2021, the Company entered into an amendment to the original agreement in which all parties agreed to forgo the issuance of common stock and agreed that the Company would, in lieu thereof, make six quarterly installments of approximately $4.6 million each beginning in January 2022 and a final payment of approximately $9.3 million in July 2023 for a total of $37.0 million (the Milestone Payments and each individually a Milestone Payment). The aggregate amount of payments owed by the Company under this amendment was the same as if Indi had exercised the put right or the Company had exercised the call right provided for in the original agreement.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April 7, 2022, the Company entered into Amendment No. 3 to the Indi APA, in which the parties agreed to restructure the Milestone Payments. The Company made five quarterly installments of $2.0 million each beginning in April 2022, three quarterly installments of $3.0 million which began in July 2023, one installment of $5.0 million in April 2024, and one installment of $8.4 million in July 2024. In addition, the Company agreed to an exit fee of approximately $6.1 million to be paid in October 2024. Interest accrued on the difference between the payment schedule as agreed in the August 2021 amendment and the April 2022 amended payment schedule, at an aggregate per annum rate equal to 10%, with such interest payable quarterly on the following installment payment date. Our ability to make these payments was subject to ongoing compliance under the Perceptive Term Loan Facility. On September 30, 2024, the Company obtained consent from Perceptive and prepaid the October 1, 2024 exit fee of $6.1 million to Indi. The Company has no remaining obligations to Indi.</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three months ended March 31, 2024, the Company $0.7 million in interest expense due to the passage of time and fixed payment schedule.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BIODESIX, INC.</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Financial Statements</w:t>
      </w:r>
    </w:p>
    <w:p>
      <w:pPr>
        <w:pStyle w:val="TextBody"/>
        <w:bidi w:val="0"/>
        <w:jc w:val="center"/>
        <w:rPr/>
      </w:pPr>
      <w:r>
        <w:rPr/>
        <w:t> </w:t>
      </w:r>
    </w:p>
    <w:p>
      <w:pPr>
        <w:pStyle w:val="TextBody"/>
        <w:bidi w:val="0"/>
        <w:spacing w:before="240" w:after="283"/>
        <w:jc w:val="both"/>
        <w:rPr>
          <w:rFonts w:ascii="Times New Roman" w:hAnsi="Times New Roman"/>
          <w:sz w:val="20"/>
        </w:rPr>
      </w:pPr>
      <w:r>
        <w:rPr>
          <w:rFonts w:ascii="Times New Roman" w:hAnsi="Times New Roman"/>
          <w:b/>
          <w:color w:val="000000"/>
          <w:sz w:val="20"/>
        </w:rPr>
        <w:t>Note 5 – Supplementary Balance Sheet Information</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Property and equipment consist of the following (in thousands):</w:t>
      </w:r>
    </w:p>
    <w:tbl>
      <w:tblPr>
        <w:tblW w:w="6910" w:type="dxa"/>
        <w:jc w:val="left"/>
        <w:tblInd w:w="0" w:type="dxa"/>
        <w:tblLayout w:type="fixed"/>
        <w:tblCellMar>
          <w:top w:w="28" w:type="dxa"/>
          <w:left w:w="28" w:type="dxa"/>
          <w:bottom w:w="28" w:type="dxa"/>
          <w:right w:w="28" w:type="dxa"/>
        </w:tblCellMar>
      </w:tblPr>
      <w:tblGrid>
        <w:gridCol w:w="3076"/>
        <w:gridCol w:w="146"/>
        <w:gridCol w:w="321"/>
        <w:gridCol w:w="1119"/>
        <w:gridCol w:w="166"/>
        <w:gridCol w:w="146"/>
        <w:gridCol w:w="409"/>
        <w:gridCol w:w="1316"/>
        <w:gridCol w:w="211"/>
      </w:tblGrid>
      <w:tr>
        <w:trPr/>
        <w:tc>
          <w:tcPr>
            <w:tcW w:w="30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7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 equipment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5,885</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5,854</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28,192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equipment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1,305</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Software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Vehicles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 in process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11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31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36,962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11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(10,068</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31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(9,134</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26,966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27,828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Depreciation expense was $0.9 million for both the three months ended March 31, 2025 and 2024, respectively.</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Intangible assets, excluding goodwill, consist of the following (in thousands):</w:t>
      </w:r>
    </w:p>
    <w:tbl>
      <w:tblPr>
        <w:tblW w:w="10205" w:type="dxa"/>
        <w:jc w:val="left"/>
        <w:tblInd w:w="0" w:type="dxa"/>
        <w:tblLayout w:type="fixed"/>
        <w:tblCellMar>
          <w:top w:w="28" w:type="dxa"/>
          <w:left w:w="28" w:type="dxa"/>
          <w:bottom w:w="28" w:type="dxa"/>
          <w:right w:w="28" w:type="dxa"/>
        </w:tblCellMar>
      </w:tblPr>
      <w:tblGrid>
        <w:gridCol w:w="1749"/>
        <w:gridCol w:w="146"/>
        <w:gridCol w:w="211"/>
        <w:gridCol w:w="676"/>
        <w:gridCol w:w="146"/>
        <w:gridCol w:w="146"/>
        <w:gridCol w:w="277"/>
        <w:gridCol w:w="969"/>
        <w:gridCol w:w="166"/>
        <w:gridCol w:w="146"/>
        <w:gridCol w:w="290"/>
        <w:gridCol w:w="785"/>
        <w:gridCol w:w="146"/>
        <w:gridCol w:w="146"/>
        <w:gridCol w:w="211"/>
        <w:gridCol w:w="676"/>
        <w:gridCol w:w="146"/>
        <w:gridCol w:w="146"/>
        <w:gridCol w:w="277"/>
        <w:gridCol w:w="969"/>
        <w:gridCol w:w="166"/>
        <w:gridCol w:w="146"/>
        <w:gridCol w:w="290"/>
        <w:gridCol w:w="785"/>
        <w:gridCol w:w="394"/>
      </w:tblGrid>
      <w:tr>
        <w:trPr/>
        <w:tc>
          <w:tcPr>
            <w:tcW w:w="17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17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2"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2"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2024</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Accumulated</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Net 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Accumulated</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Net Carrying Value</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subject to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74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Patents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1,063</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4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Purchased technology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4,694</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not subject to</w:t>
              <w:br/>
              <w:t>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4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Trademarks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749"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18,940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(13,580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18,957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(13,083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5,874</w:t>
            </w:r>
          </w:p>
        </w:tc>
        <w:tc>
          <w:tcPr>
            <w:tcW w:w="3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Amortization expense related to definite-lived intangible assets was $0.5 million for both the three months ended March 31, 2025 and 2024, respectively.</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Future estimated amortization expense of intangible assets is (in thousands):</w:t>
      </w:r>
    </w:p>
    <w:tbl>
      <w:tblPr>
        <w:tblW w:w="3673" w:type="dxa"/>
        <w:jc w:val="left"/>
        <w:tblInd w:w="0" w:type="dxa"/>
        <w:tblLayout w:type="fixed"/>
        <w:tblCellMar>
          <w:top w:w="28" w:type="dxa"/>
          <w:left w:w="28" w:type="dxa"/>
          <w:bottom w:w="28" w:type="dxa"/>
          <w:right w:w="28" w:type="dxa"/>
        </w:tblCellMar>
      </w:tblPr>
      <w:tblGrid>
        <w:gridCol w:w="1696"/>
        <w:gridCol w:w="146"/>
        <w:gridCol w:w="388"/>
        <w:gridCol w:w="1052"/>
        <w:gridCol w:w="391"/>
      </w:tblGrid>
      <w:tr>
        <w:trPr/>
        <w:tc>
          <w:tcPr>
            <w:tcW w:w="1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6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As of </w:t>
              <w:br/>
              <w:t>March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Remainder of 2025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1,514</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1,043</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 and 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69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2"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5,243</w:t>
            </w:r>
          </w:p>
        </w:tc>
        <w:tc>
          <w:tcPr>
            <w:tcW w:w="39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120"/>
        <w:jc w:val="both"/>
        <w:rPr>
          <w:rFonts w:ascii="Times New Roman" w:hAnsi="Times New Roman"/>
          <w:color w:val="000000"/>
          <w:sz w:val="20"/>
        </w:rPr>
      </w:pPr>
      <w:r>
        <w:rPr>
          <w:rFonts w:ascii="Times New Roman" w:hAnsi="Times New Roman"/>
          <w:color w:val="000000"/>
          <w:sz w:val="20"/>
        </w:rPr>
        <w:t>Accrued liabilities consist of the following (in thousands):</w:t>
      </w:r>
    </w:p>
    <w:tbl>
      <w:tblPr>
        <w:tblW w:w="6405" w:type="dxa"/>
        <w:jc w:val="left"/>
        <w:tblInd w:w="0" w:type="dxa"/>
        <w:tblLayout w:type="fixed"/>
        <w:tblCellMar>
          <w:top w:w="28" w:type="dxa"/>
          <w:left w:w="28" w:type="dxa"/>
          <w:bottom w:w="28" w:type="dxa"/>
          <w:right w:w="28" w:type="dxa"/>
        </w:tblCellMar>
      </w:tblPr>
      <w:tblGrid>
        <w:gridCol w:w="2611"/>
        <w:gridCol w:w="146"/>
        <w:gridCol w:w="388"/>
        <w:gridCol w:w="1052"/>
        <w:gridCol w:w="146"/>
        <w:gridCol w:w="146"/>
        <w:gridCol w:w="409"/>
        <w:gridCol w:w="1316"/>
        <w:gridCol w:w="191"/>
      </w:tblGrid>
      <w:tr>
        <w:trPr/>
        <w:tc>
          <w:tcPr>
            <w:tcW w:w="2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Compensation related accruals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6,770</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clinical trial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05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2,191</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31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2,375</w:t>
            </w:r>
          </w:p>
        </w:tc>
        <w:tc>
          <w:tcPr>
            <w:tcW w:w="19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10,064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BIODESIX, INC.</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Financial Statements</w:t>
      </w:r>
    </w:p>
    <w:p>
      <w:pPr>
        <w:pStyle w:val="TextBody"/>
        <w:bidi w:val="0"/>
        <w:jc w:val="center"/>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Note 6 – Debt</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Our long-term debt primarily consists of notes payable associated with our Perceptive Term Loan Facility which is described in further detail below. Long-term notes payable were as follows (in thousands):</w:t>
      </w:r>
    </w:p>
    <w:tbl>
      <w:tblPr>
        <w:tblW w:w="8095" w:type="dxa"/>
        <w:jc w:val="left"/>
        <w:tblInd w:w="0" w:type="dxa"/>
        <w:tblLayout w:type="fixed"/>
        <w:tblCellMar>
          <w:top w:w="28" w:type="dxa"/>
          <w:left w:w="28" w:type="dxa"/>
          <w:bottom w:w="28" w:type="dxa"/>
          <w:right w:w="28" w:type="dxa"/>
        </w:tblCellMar>
      </w:tblPr>
      <w:tblGrid>
        <w:gridCol w:w="4261"/>
        <w:gridCol w:w="146"/>
        <w:gridCol w:w="342"/>
        <w:gridCol w:w="1098"/>
        <w:gridCol w:w="166"/>
        <w:gridCol w:w="146"/>
        <w:gridCol w:w="409"/>
        <w:gridCol w:w="1316"/>
        <w:gridCol w:w="211"/>
      </w:tblGrid>
      <w:tr>
        <w:trPr/>
        <w:tc>
          <w:tcPr>
            <w:tcW w:w="4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Perceptive Term Loan Facility</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40,000</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Unamortized debt discount and debt issuance costs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09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(3,309</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31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(3,597</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36,429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current maturities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09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31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notes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36,693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36,408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b/>
          <w:i/>
          <w:color w:val="212529"/>
          <w:sz w:val="20"/>
        </w:rPr>
      </w:pPr>
      <w:r>
        <w:rPr>
          <w:rFonts w:ascii="Times New Roman" w:hAnsi="Times New Roman"/>
          <w:b/>
          <w:i/>
          <w:color w:val="212529"/>
          <w:sz w:val="20"/>
        </w:rPr>
        <w:t>Perceptive Term Loan Facility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November 16, 2022 (the Closing Date), the Company entered into a Credit Agreement and Guaranty (the Credit Agreement) with Perceptive Credit Holdings IV, LP as lender and administrative agent (the Lender). The Credit Agreement provides for a senior secured delayed draw term loan facility with Perceptive Advisors LLC (Perceptive) (the Perceptive Term Loan Facility). The Tranche A Loan, in an aggregate amount of up to $30.0 million (the Tranche A Loan), was funded under the Perceptive Term Loan Facility on November 21, 2022 (the Funding Date). The Company's net proceeds from the Tranche A Loan were approximately $27.9 million, after deducting debt issuance costs and expenses. In addition to the Tranche A Loan, the Perceptive Term Loan Facility included an additional Tranche B Loan, in an aggregate amount of up to $10.0 million, and an additional Tranche C Loan, in an aggregate amount of up to $10.0 million, which were accessible by the Company so long as the Company satisfied certain customary conditions precedent, including revenue milestones. On December 15, 2023, the Company exercised its ability to draw the Tranche B loan for $10.0 million. The Tranche C loan had a prior commitment date through September 30, 2024 and, as of that date, the Company did not exercise its ability to draw the Tranche C loan. On February 28, 2025, the Company entered into the Fifth Amendment to the Credit Agreement, whereby subject to the terms and conditions, the Tranche C Loan Commitment Termination Date was extended, providing continued availability to the Tranche C Loan through December 31, 2025 (see below). The Perceptive Term Loan Facility has a maturity date of November 21, 2027 (the Maturity Date) and provides for an interest-only period during the term of the loan with principal due at the Maturity Date.</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Interest Rate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Perceptive Term Loan Facility will accrue interest at an annual rate equal to the greater of (a) forward-looking one-month term SOFR as posted by CME Group Inc. and (b) 3.0% per annum, plus an applicable margin of 9.0%. As of March 31, 2025, the stated interest rate was approximately 13.3%.</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Amortization and Prepayment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the Maturity Date, the Company is required to pay the Lender the aggregate outstanding principal amount underlying the Perceptive Term Loan Facility and any accrued and unpaid interest thereon. Prior to the Maturity Date, there will be no scheduled principal payments under the Perceptive Term Loan Facility. The Perceptive Term Loan Facility may be prepaid at any time, subject to a prepayment premium equal to 2% to 10% of the aggregate outstanding principal amount being prepaid, depending on the date of prepayment.</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Security Instruments and Warrants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Pursuant to a Security Agreement, dated as of the Funding Date (the Security Agreement), between the Company and the Lender, substantially all of the Company’s obligations under the Credit Agreement are secured by a first lien perfected security interest on all of the Company’s assets, subject to customary exceptions.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consideration for the Credit Agreement, the Company has issued, on the Funding Date, the Perceptive Warrant of up to 5,000,000 shares of the Company's common stock, including the Initial Warrants which are equity classified at a per share exercise price equal to $1.0648 which is equal to the 10-day volume weighted average price (VWAP) of the Company’s common stock, on the business day immediately prior to the Closing Date of the Tranche A Loan. In connection with the Tranche B borrowing, additional warrants became exercisable into 1,000,000 shares of common stock with a per share exercise price equal to $1.0648, which is equal to the Initial Warrant exercise price and expire on December 15, 2033 (the Tranche B Warrants).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BIODESIX, INC.</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Financial Statements</w:t>
      </w:r>
    </w:p>
    <w:p>
      <w:pPr>
        <w:pStyle w:val="TextBody"/>
        <w:bidi w:val="0"/>
        <w:jc w:val="center"/>
        <w:rPr/>
      </w:pPr>
      <w:r>
        <w:rPr/>
        <w:t>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In addition to the Initial and Tranche B Warrants, additional warrants would become exercisable into 1,000,000 shares of common stock concurrently with the borrowing date of the Tranche C Loan (the Tranche C Warrants). The Company accounted for the Tranche C Warrants as liabilities as the Tranche C Warrants did not meet the criteria for equity treatment (see Note 4 – </w:t>
      </w:r>
      <w:r>
        <w:rPr>
          <w:rFonts w:ascii="Times New Roman" w:hAnsi="Times New Roman"/>
          <w:i/>
          <w:color w:val="000000"/>
          <w:sz w:val="20"/>
        </w:rPr>
        <w:t>Fair Value</w:t>
      </w:r>
      <w:r>
        <w:rPr>
          <w:rFonts w:ascii="Times New Roman" w:hAnsi="Times New Roman"/>
          <w:color w:val="000000"/>
          <w:sz w:val="20"/>
        </w:rPr>
        <w:t>). The Tranche C loan had a prior commitment date through September 30, 2024 and, as of that date, the Company did not exercise its ability to draw the Tranche C loan. On February 28, 2025, the Company entered into the Fifth Amendment to the Credit Agreement, whereby subject to the terms and conditions, the Tranche C Loan Commitment Termination Date (as defined in the Credit Agreement) was extended, providing continued availability to the Tranche C Loan through December 31, 2025. In addition, on the Tranche C Loan Borrowing Date (as defined in the Credit Agreement), the Tranche C Warrants, as amended, will become vested and exercisable at an exercise price equal to $0.793, the Company's closing stock price on February 28, 2025.</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Representations, Warranties, Covenants, and Events of Default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Credit Agreement contains certain representations and warranties, affirmative covenants, negative covenants, financial covenants, and conditions that are customarily required for similar financings. The affirmative covenants, among other things, require the Company to undertake various reporting and notice requirements, maintain insurance and maintain in full force and effect all Regulatory Approvals, Material Agreements, Material Intellectual Property (each as defined in the Credit Agreement) and other rights, interests or assets (whether tangible or intangible) reasonably necessary for the operations of the Company’s business. The negative covenants restrict or limit the ability of the Company to, among other things and subject to certain exceptions contained in the Credit Agreement, incur new indebtedness; create liens on assets; engage in certain fundamental corporate changes, such as mergers or acquisitions, or changes to the Company’s business activities; make certain Investments or Restricted Payments (each as defined in the Credit Agreement); change its fiscal year; pay dividends; repay other certain indebtedness; engage in certain affiliate transactions; or enter into, amend or terminate any other agreements that has the impact of restricting the Company’s ability to make loan repayments under the Credit Agreement. In addition, the Company must (i) at all times prior to the Maturity Date maintain a minimum cash balance of $2.5 million; and (ii) as of the last day of each fiscal quarter commencing on the fiscal quarter ended March 31, 2023, meet certain minimum net revenue threshold amounts agreed to between the Company and Perceptive.</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On May 10, 2023, the Company entered into the First Amendment with the Lender, whereby subject to the terms and conditions of the First Amendment, the Minimum Net Revenue Covenant (as defined in the Credit Agreement) was amended to reduce the relevant threshold of each fiscal quarter commencing on the fiscal quarter ended June 30, 2023 through and including the fiscal quarter ended March 31, 2024. As consideration for the First Amendment, the Company agreed to issue to Perceptive a warrant to purchase up to 500,000 shares of the Company’s common stock (the First Amendment Warrants) which are equity classified at a per share exercise price equal to $1.6254 (see Note 8 - </w:t>
      </w:r>
      <w:r>
        <w:rPr>
          <w:rFonts w:ascii="Times New Roman" w:hAnsi="Times New Roman"/>
          <w:i/>
          <w:color w:val="000000"/>
          <w:sz w:val="20"/>
        </w:rPr>
        <w:t>Equity</w:t>
      </w:r>
      <w:r>
        <w:rPr>
          <w:rFonts w:ascii="Times New Roman" w:hAnsi="Times New Roman"/>
          <w:color w:val="000000"/>
          <w:sz w:val="2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August 4, 2023 (the Second Amendment Effective Date), the Company entered into the Second Amendment to the Credit Agreement and Guaranty (the Second Amendment) with Perceptive as lender and administrative agent and the Company, as borrower, whereby subject to the terms and conditions of the Second Amendment, the Minimum Net Revenue Covenant (as defined in the Credit Agreement) was amended to reduce the relevant threshold as of the last day of each fiscal quarter commencing on the fiscal quarter ended June 30, 2024 through and including the fiscal quarter ended December 31, 2025.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Under the terms of the Second Amendment, the conditions precedent for drawing on the Tranche B Loan were amended to (i) reduce the trailing twelve-month revenue milestone and (ii) add the receipt of aggregate cash proceeds of at least $27.5 million from an equity offering of the Company's common stock. During the three months ended December 31, 2023, the amended conditions precedent were met and on December 15, 2023, the Company exercised its ability to draw the Tranche B loan for $10.0 million.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February 29, 2024 (the Third Amendment Effective Date), the Company entered into the Third Amendment to the Credit Agreement and Guaranty (the Third Amendment) with Perceptive as lender and administrative agent and the Company, as borrower, whereby subject to the terms and conditions of the Third Amendment, the Minimum Net Revenue Covenant (as defined in the Credit Agreement) was amended to reduce the relevant threshold as of the last day of each fiscal quarter commencing on the fiscal quarter ended March 31, 2024 through and including the fiscal quarter ended December 31, 2025.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October 30, 2024 (the Fourth Amendment Effective Date), the Company entered into the Fourth Amendment to the Credit Agreement and Guaranty (the Fourth Amendment) with Perceptive, as lender and administrative agent, and the Company, as borrower, whereby subject to the terms and conditions of the Fourth Amendment, the Minimum Net Revenue Covenant (as defined in the Credit Agreement) was amended to reduce the relevant threshold as of the last day of each fiscal quarter commencing on the fiscal quarter ended June 30, 2025 through and including the fiscal quarter ended December 31, 2027.</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February 28, 2025 (the Fifth Amendment Effective Date), the Company entered into the Fifth Amendment to the Credit Agreement and Guaranty (the Fifth Amendment) with Perceptive, as lender and administrative agent, and the Company, as borrower, whereby subject to the terms and conditions of the Fifth Amendment, the Tranche C Loan revenue milestone was eliminated and the Commitment Termination Date (as defined in the Credit Agreement) was extended, providing continued availability to the Tranche C Loan in an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BIODESIX, INC.</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Financial Statements</w:t>
      </w:r>
    </w:p>
    <w:p>
      <w:pPr>
        <w:pStyle w:val="TextBody"/>
        <w:bidi w:val="0"/>
        <w:jc w:val="center"/>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aggregate amount equal to $10.0 million through December 31, 2025. In addition, on the Tranche C Loan Borrowing Date (as defined in the Credit Agreement), the Tranche C Warrants, as amended, will become vested and exercisable at an exercise price equal to $0.793, the Company's closing stock price on February 28, 2025.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Credit Agreement also contains certain customary Events of Default which include, among others, non-payment of principal, interest, or fees, violation of covenants, inaccuracy of representations and warranties, bankruptcy and insolvency events, material judgments, cross-defaults to material contracts, certain regulatory-related events and events constituting a change of control. As of March 31, 2025, the Company was in compliance with all restrictive and financial covenants associated with its borrowings. The occurrence of an Event of Default could result in, among other things, the declaration that all outstanding principal and interest under the Perceptive Term Loan Facility are immediately due and payable in whole or in part.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the Closing Date, the Initial Warrants and Additional Warrants were valued at $2.9 million and $0.1 million, respectively, using the Black-Scholes option-pricing model, estimated settlement probabilities and estimated exercise prices. As a result of the fees paid to Perceptive and the value of the Perceptive Warrant, the Company recognized a discount on the Perceptive Term Loan in the amount of $5.2 million. The First Amendment Warrants were valued at $0.7 million using the Black-Scholes option-pricing model which the recognized as a discount on the Perceptive Term Loan Facility. The Company recorded the debt discount as a reduction to the principal amount of the debt and is amortized as interest expense over the life of the debt.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Scheduled principal repayments (maturities) of long-term obligations were as follows (in thousands): </w:t>
      </w:r>
    </w:p>
    <w:tbl>
      <w:tblPr>
        <w:tblW w:w="3673" w:type="dxa"/>
        <w:jc w:val="left"/>
        <w:tblInd w:w="0" w:type="dxa"/>
        <w:tblLayout w:type="fixed"/>
        <w:tblCellMar>
          <w:top w:w="28" w:type="dxa"/>
          <w:left w:w="28" w:type="dxa"/>
          <w:bottom w:w="28" w:type="dxa"/>
          <w:right w:w="28" w:type="dxa"/>
        </w:tblCellMar>
      </w:tblPr>
      <w:tblGrid>
        <w:gridCol w:w="1696"/>
        <w:gridCol w:w="146"/>
        <w:gridCol w:w="342"/>
        <w:gridCol w:w="1098"/>
        <w:gridCol w:w="391"/>
      </w:tblGrid>
      <w:tr>
        <w:trPr/>
        <w:tc>
          <w:tcPr>
            <w:tcW w:w="1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6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w:t>
              <w:br/>
              <w:t>March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Remainder of 2025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 and thereafter</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40,000</w:t>
            </w:r>
          </w:p>
        </w:tc>
        <w:tc>
          <w:tcPr>
            <w:tcW w:w="39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40,020</w:t>
            </w:r>
          </w:p>
        </w:tc>
        <w:tc>
          <w:tcPr>
            <w:tcW w:w="3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Note 7 – Leases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Operating Leases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acts as a lessee under all its lease agreements. In January 2024 the Company relocated its corporate headquarters and laboratory facilities to Louisville, Colorado. The Company also leases laboratory and office space in De Soto, Kansas, under a non-cancelable lease agreement for approximately 9,066 square feet that is set to expire in October 2026. The Company De Soto lease agreement was amended on April 12, 2024 to include an additional 1,772 square feet of office space. The Company also holds various copier and equipment leases under non-cancelable lease agreements that expire within the next five years.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Centennial Valley Properties I, LLC Lease Agreement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March 11, 2022, the Company entered into a Lease Agreement (the Lease) with Centennial Valley Properties I, LLC and subsequently assigned to CVP I Owner LLC, a Colorado limited liability company (the Landlord) for office and laboratory space in Louisville, Colorado (the Leased Premises). The initial term of the Lease is twelve years (the Initial Term) from the commencement date, which was April 1, 2023 (the Commencement Date). The Company has two renewal options to extend the term of the Lease for an additional seven- or ten-year terms for each renewal.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Under the Lease, the Company is leasing approximately 79,980 square feet at the Leased Premises. The Company will pay base rent over the life of the Lease beginning at approximately $227,000 per month and escalating, based on fixed escalation provisions, to approximately $326,000 per month, plus certain operating expenses and taxes. The Company's obligation to pay base rent shall be abated, commencing as of the Commencement Date and ending on March 31, 2024 (the Abated Rent Period). Further, the Company's obligation to pay base rent with respect to a portion of the area of the Lease Premises equal to 19,980 square feet shall be abated (the Partial Abated Rent), commencing as of April 1, 2024 and ending on March 31, 2025 (the Partial Abated Rent Period).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Lease includes various covenants, indemnities, defaults, termination rights, and other provisions customary for lease transactions of this nature. During the three months ended September 30, 2022, a $5.0 million cash collateralized letter of credit under the operating lease agreement was released and the funds were subsequently transferred to the Landlord as a refundable deposit (subject to contingent reduction over the term of the lease) to secure the performance of the Company’s obligations. The $5.0 million refundable deposit is included within 'Other long-term assets' in the condensed balance sheet as of March 31, 2025.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Operating lease expense for all operating leases was $0.6 million for both the three months ended March 31, 2025 and 2024, respectively. As of March 31, 2025, the weighted-average remaining lease term and discount rate associated with our operating leases were 9.8 years and 11.4%, respectively.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BIODESIX, INC.</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Financial Statements</w:t>
      </w:r>
    </w:p>
    <w:p>
      <w:pPr>
        <w:pStyle w:val="TextBody"/>
        <w:bidi w:val="0"/>
        <w:jc w:val="center"/>
        <w:rPr/>
      </w:pPr>
      <w:r>
        <w:rPr/>
        <w:t>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Future minimum lease payments associated with our operating leases were as follows (in thousands):</w:t>
      </w:r>
    </w:p>
    <w:tbl>
      <w:tblPr>
        <w:tblW w:w="5378" w:type="dxa"/>
        <w:jc w:val="left"/>
        <w:tblInd w:w="0" w:type="dxa"/>
        <w:tblLayout w:type="fixed"/>
        <w:tblCellMar>
          <w:top w:w="28" w:type="dxa"/>
          <w:left w:w="28" w:type="dxa"/>
          <w:bottom w:w="28" w:type="dxa"/>
          <w:right w:w="28" w:type="dxa"/>
        </w:tblCellMar>
      </w:tblPr>
      <w:tblGrid>
        <w:gridCol w:w="3381"/>
        <w:gridCol w:w="146"/>
        <w:gridCol w:w="321"/>
        <w:gridCol w:w="1119"/>
        <w:gridCol w:w="411"/>
      </w:tblGrid>
      <w:tr>
        <w:trPr/>
        <w:tc>
          <w:tcPr>
            <w:tcW w:w="3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w:t>
              <w:br/>
              <w:t>March 31, 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8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Remainder of 2025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2,857</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8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4,071</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8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4,251</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 and 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23,871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38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future minimum lease payments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43,394</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amount representing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(17,820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8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lease liabilities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9"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25,574</w:t>
            </w:r>
          </w:p>
        </w:tc>
        <w:tc>
          <w:tcPr>
            <w:tcW w:w="4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both"/>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8 – Equity</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Nasdaq De-Listing Notice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March 24, 2025, the Company received written notice from the Listing Qualifications Staff (the Staff) of Nasdaq notifying the Company that, for the last 30 consecutive business days, the closing bid price for the Company’s common stock had closed below the minimum $1.00 per share required for continued listing on The Nasdaq Global Market pursuant to Nasdaq Listing Rule 5450(a)(1) (the Minimum Bid Price Requirement). In accordance with Nasdaq rules, the Company has been provided an initial period of 180 calendar days, or until September 22, 2025 (the Compliance Date), to regain compliance with the Minimum Bid Price Requirement. If, at any time before the Compliance Date, the closing bid price for the Company’s common stock is at least $1.00 for a minimum of ten consecutive business days, the Staff will provide the Company written confirmation of compliance with the Minimum Bid Price Requirement and close the matter. The Company may be eligible for an additional 180 calendar day compliance period. The Company intends to monitor the closing bid price of its common stock and will consider various options available to it if its common stock does not trade at a level to regain compliance with the Minimum Bid Price Requirement. These options include effecting a reverse stock split designed to increase the bid price of the Company’s common stock in an amount sufficient to regain compliance with the Minimum Bid Price Requirement.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At-The-Market Program</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maintains an at-the-market (ATM) facility that enables equity financing on an ongoing basis at the Company’s discretion. On November 1, 2024, the Company filed a shelf registration statement on Form S-3 and entered into a new sales agreement with a financial institution, pursuant to which the Company may issue and sell, from time to time, shares of its common stock having an aggregate offering price of up to $50.0 million, subject to terms and conditions (the 2024 ATM Program). The shares of common stock offered pursuant to the 2024 ATM Program will be offered and sold by the Company pursuant to its registration statement on Form S-3 which became effective with the SEC on November 12, 2024. Sales of common stock under the 2024 ATM Program, if any, will be made at market prices by methods deemed to be an “at-the-market offering” as defined in Rule 415 promulgated under the Securities Act of 1933, as amended, including sales made directly on the NASDAQ Global Market, or any other existing trading market for our common stock. In connection with establishing the 2024 ATM Program, the Company terminated its prior $50.0 million ATM program established in November 2021, and no additional stock can be issued thereunder. The Company had remaining available capacity for share issuances of up to $50.0 million under the 2024 ATM Program as of March 31, 2025.</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Warrants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2018, the Company issued warrants to purchase shares of convertible preferred stock in conjunction with the sale of certain convertible preferred shares and issuance of debt. The Company issued to the lender a warrant to purchase 613,333 shares of Series G convertible preferred stock, at an exercise price of $0.75 per share, subject to adjustment upon specified dilutive issuances. The warrant was immediately exercisable upon issuance and expires on February 23, 2028. Through the effective date of the Company’s initial public offering (IPO) in October 2020, the Series G warrants were remeasured to an estimate of fair value using a Black-Scholes pricing model. As a result of the Company’s IPO, the preferred stock warrants were automatically converted to warrants to purchase 103,326 shares of common stock with a weighted average exercise price of $4.46 and were also transferred to additional paid-in capital. All common stock warrants remain outstanding as of March 31, 2025.</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On November 21, 2022, as consideration for the Perceptive Term Loan Facility (see Note 6 – </w:t>
      </w:r>
      <w:r>
        <w:rPr>
          <w:rFonts w:ascii="Times New Roman" w:hAnsi="Times New Roman"/>
          <w:i/>
          <w:color w:val="000000"/>
          <w:sz w:val="20"/>
        </w:rPr>
        <w:t>Debt</w:t>
      </w:r>
      <w:r>
        <w:rPr>
          <w:rFonts w:ascii="Times New Roman" w:hAnsi="Times New Roman"/>
          <w:color w:val="000000"/>
          <w:sz w:val="20"/>
        </w:rPr>
        <w:t xml:space="preserve">), the Company issued the Perceptive Warrant to purchase up to 5,000,000 shares of the Company's common stock, including the Initial Warrants. The per share exercise price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BIODESIX, INC.</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Financial Statements</w:t>
      </w:r>
    </w:p>
    <w:p>
      <w:pPr>
        <w:pStyle w:val="TextBody"/>
        <w:bidi w:val="0"/>
        <w:jc w:val="center"/>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 the Initial Warrants is equal to $1.0648. The Initial Warrants are equity classified and were immediately exercisable upon issuance and expire on November 21, 2032. The Initial Warrants were valued at $2.9 million using the Black-Scholes option-pricing model assuming an expected term of 10 years, a volatility of 81.3%, a dividend yield of 0% and a risk-free interest rate of 3.67%. All Initial Warrants remain outstanding as of March 31, 2025.</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On May 10, 2023, as consideration for the First Amendment (see Note 6 – </w:t>
      </w:r>
      <w:r>
        <w:rPr>
          <w:rFonts w:ascii="Times New Roman" w:hAnsi="Times New Roman"/>
          <w:i/>
          <w:color w:val="000000"/>
          <w:sz w:val="20"/>
        </w:rPr>
        <w:t>Debt</w:t>
      </w:r>
      <w:r>
        <w:rPr>
          <w:rFonts w:ascii="Times New Roman" w:hAnsi="Times New Roman"/>
          <w:color w:val="000000"/>
          <w:sz w:val="20"/>
        </w:rPr>
        <w:t>), the Company agreed to issue to Perceptive a warrant to purchase up to 500,000 shares of the Company’s common stock (the First Amendment Warrants) at a per share exercise price equal to $1.6254, which is equal to the 10-day VWAP of the Company’s common stock ending on the business day immediately prior to the First Amendment Effective Date. The First Amendment Warrants are equity classified and immediately exercisable upon issuance and expire on May 10, 2033. The First Amendment Warrants were valued at $0.7 million using the Black-Scholes option-pricing model assuming an expected term of 10 years, a volatility of 78.7%, a dividend yield of 0% and a risk-free interest rate of 3.49%. All First Amendment Warrants remain outstanding as of March 31, 2025.</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On December 15, 2023 (the Tranche B Borrowing Date), the Company exercised its ability to draw the Tranche B loan (see Note 6 – </w:t>
      </w:r>
      <w:r>
        <w:rPr>
          <w:rFonts w:ascii="Times New Roman" w:hAnsi="Times New Roman"/>
          <w:i/>
          <w:color w:val="000000"/>
          <w:sz w:val="20"/>
        </w:rPr>
        <w:t>Debt</w:t>
      </w:r>
      <w:r>
        <w:rPr>
          <w:rFonts w:ascii="Times New Roman" w:hAnsi="Times New Roman"/>
          <w:color w:val="000000"/>
          <w:sz w:val="20"/>
        </w:rPr>
        <w:t>). In connection with the Tranche B draw, the Company remeasured the Tranche B Warrants through the Tranche B Borrowing Date and recorded the change in fair value through the statements of operations and, subsequently, reclassified the fair value to additional paid-in capital. The per share exercise price for the Tranche B Warrants is equal to $1.0648. The Tranche B Warrants are now equity classified and immediately exercisable upon issuance and expire on December 15, 2033. The Tranche B Warrants were valued at $1.3 million using the Black-Scholes option-pricing model assuming an expected term of 10 years, a volatility of 76.2%, a dividend yield of 0% and a risk-free interest rate of 3.91%. All Tranche B Warrants remain outstanding as of March 31, 2025.</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9 – Revenue and Accounts Receivable Credit Concentration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derive our revenue from two sources: (i) Diagnostic Tests, providing lung diagnostic testing services for healthcare providers associated with our five blood-based tests and (ii) Development Services, providing diagnostic testing services to biopharmaceutical, life sciences, and diagnostic companies.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Diagnostic Tests revenues consist of blood-based lung tests which are recognized in the amount expected to be received in exchange for diagnostic tests when the diagnostic tests are delivered. The Company conducts diagnostic tests and delivers the completed test results to the prescribing physician. The fees for diagnostic tests are billed either to a third party such as Medicare, medical facilities, commercial insurance payers, or to the patient. The Company determines the transaction price related to its diagnostic test contracts by considering the nature of the payer, test type, and historical price concessions granted to groups of customers. For diagnostic test revenue, the Company estimates the transaction price, which is the amount of consideration it expects to be entitled to receive in exchange for providing services based on its historical collection experience, using a portfolio approach. The Company recognizes revenues for diagnostic tests upon delivery of the tests to the physicians requesting the tests.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Development Services revenue is generated from the delivery of our on-market tests, pipeline tests, custom diagnostic testing, and other scientific services from contracts and business agreements with other diagnostics and life science tool partners for a purpose as defined by any individual customer, which is often with biopharmaceutical companies. The performance obligations and related revenue for these sales is defined by a written agreement between the Company and the customer. These services are generally completed upon the delivery of testing results, achievement of contractual milestone(s) as defined in the customer agreements, or over the term of the contract which is generally expected to be completed in one year or less. Revenue for these services is recognized upon delivery of the completed test results, upon completion of the contractual milestone(s), or over the term of contract.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Revenues consisted of the following (in thousands):</w:t>
      </w:r>
    </w:p>
    <w:tbl>
      <w:tblPr>
        <w:tblW w:w="5263" w:type="dxa"/>
        <w:jc w:val="left"/>
        <w:tblInd w:w="0" w:type="dxa"/>
        <w:tblLayout w:type="fixed"/>
        <w:tblCellMar>
          <w:top w:w="28" w:type="dxa"/>
          <w:left w:w="28" w:type="dxa"/>
          <w:bottom w:w="28" w:type="dxa"/>
          <w:right w:w="28" w:type="dxa"/>
        </w:tblCellMar>
      </w:tblPr>
      <w:tblGrid>
        <w:gridCol w:w="1936"/>
        <w:gridCol w:w="146"/>
        <w:gridCol w:w="285"/>
        <w:gridCol w:w="913"/>
        <w:gridCol w:w="197"/>
        <w:gridCol w:w="197"/>
        <w:gridCol w:w="285"/>
        <w:gridCol w:w="913"/>
        <w:gridCol w:w="391"/>
      </w:tblGrid>
      <w:tr>
        <w:trPr/>
        <w:tc>
          <w:tcPr>
            <w:tcW w:w="19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3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Diagnostic Tests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16,316</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13,796</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Development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1,642</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93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17,958</w:t>
            </w:r>
          </w:p>
        </w:tc>
        <w:tc>
          <w:tcPr>
            <w:tcW w:w="197"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14,818</w:t>
            </w:r>
          </w:p>
        </w:tc>
        <w:tc>
          <w:tcPr>
            <w:tcW w:w="39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Deferred 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Deferred revenue consists of cash payments from customers received in advance of delivery. As test results are delivered, the Company recognizes the deferred revenue in ‘Revenues’ in the condensed statements of operations. The Company had $0.7 million in ‘Deferred revenue’ recorded in the condensed balance sheet as of December 31, 2024 and $0.4 million was added throughout 2025 to ‘Deferred revenue’ for up-front cash payments while $0.5 million was recognized in revenues during the three months ended March 31, 2025. The ‘Deferred revenue’ of $0.8 million recorded in the condensed balance sheet as of March 31, 2025 is expected to be recognized 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BIODESIX, INC.</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Financial Statements</w:t>
      </w:r>
    </w:p>
    <w:p>
      <w:pPr>
        <w:pStyle w:val="TextBody"/>
        <w:bidi w:val="0"/>
        <w:jc w:val="center"/>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revenues over the next twelve months as test results are delivered and services are performed. As of March 31, 2025 and December 31, 2024, the Company had $0.2 million in non-current deferred revenue, respectively, recorded within ‘Other long-term liabilities’ in the condensed balance sheets which represent amounts to be recognized in excess of twelve months from the respective balance sheet date.</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Company’s customers in excess of 10% of total revenue and their related revenue as a percentage of total revenue were as follows:</w:t>
      </w:r>
    </w:p>
    <w:tbl>
      <w:tblPr>
        <w:tblW w:w="4840" w:type="dxa"/>
        <w:jc w:val="left"/>
        <w:tblInd w:w="0" w:type="dxa"/>
        <w:tblLayout w:type="fixed"/>
        <w:tblCellMar>
          <w:top w:w="28" w:type="dxa"/>
          <w:left w:w="28" w:type="dxa"/>
          <w:bottom w:w="28" w:type="dxa"/>
          <w:right w:w="28" w:type="dxa"/>
        </w:tblCellMar>
      </w:tblPr>
      <w:tblGrid>
        <w:gridCol w:w="1591"/>
        <w:gridCol w:w="146"/>
        <w:gridCol w:w="329"/>
        <w:gridCol w:w="476"/>
        <w:gridCol w:w="611"/>
        <w:gridCol w:w="329"/>
        <w:gridCol w:w="329"/>
        <w:gridCol w:w="713"/>
        <w:gridCol w:w="316"/>
      </w:tblGrid>
      <w:tr>
        <w:trPr/>
        <w:tc>
          <w:tcPr>
            <w:tcW w:w="1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9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Healthcare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6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120"/>
        <w:jc w:val="both"/>
        <w:rPr>
          <w:rFonts w:ascii="Times New Roman" w:hAnsi="Times New Roman"/>
          <w:color w:val="000000"/>
          <w:sz w:val="20"/>
        </w:rPr>
      </w:pPr>
      <w:r>
        <w:rPr>
          <w:rFonts w:ascii="Times New Roman" w:hAnsi="Times New Roman"/>
          <w:color w:val="000000"/>
          <w:sz w:val="20"/>
        </w:rPr>
        <w:t>In addition to the above table, we collect reimbursement on behalf of customers covered by Medicare, which accounted for 36% and 40% of the Company’s total revenue for the three months ended March 31, 2025 and 2024, respectively.</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Company is subject to credit risk from its accounts receivable related to services provided to its customers. The Company’s third-party payors and other customers in excess of 10% of accounts receivable, and their related accounts receivable as a percentage of total accounts receivable were as follows:</w:t>
      </w:r>
    </w:p>
    <w:tbl>
      <w:tblPr>
        <w:tblW w:w="5425" w:type="dxa"/>
        <w:jc w:val="left"/>
        <w:tblInd w:w="0" w:type="dxa"/>
        <w:tblLayout w:type="fixed"/>
        <w:tblCellMar>
          <w:top w:w="28" w:type="dxa"/>
          <w:left w:w="28" w:type="dxa"/>
          <w:bottom w:w="28" w:type="dxa"/>
          <w:right w:w="28" w:type="dxa"/>
        </w:tblCellMar>
      </w:tblPr>
      <w:tblGrid>
        <w:gridCol w:w="1381"/>
        <w:gridCol w:w="146"/>
        <w:gridCol w:w="426"/>
        <w:gridCol w:w="1014"/>
        <w:gridCol w:w="271"/>
        <w:gridCol w:w="146"/>
        <w:gridCol w:w="544"/>
        <w:gridCol w:w="1181"/>
        <w:gridCol w:w="316"/>
      </w:tblGrid>
      <w:tr>
        <w:trPr/>
        <w:tc>
          <w:tcPr>
            <w:tcW w:w="1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8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Medicare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Daiichi Sankyo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0"/>
        </w:rPr>
        <w:t>Note 10 – Share-Based Compensation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share-based compensation awards are issued under the 2020 Equity Incentive Plan (2020 Plan), the predecessor 2016 Equity Incentive Plan (2016 Plan) and 2006 Equity Incentive Plan (2006 Plan). Any awards that expire or are forfeited under the 2016 Plan or 2006 Plan become available for issuance under the 2020 Plan. As of March 31, 2025, 2,618,225 shares of common stock remained available for future issuance under the 2020 Plan.</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Share-Based Compensation Expense</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Share-based compensation expense reported in the Company’s condensed statements of operations was (in thousands):</w:t>
      </w:r>
    </w:p>
    <w:tbl>
      <w:tblPr>
        <w:tblW w:w="7031" w:type="dxa"/>
        <w:jc w:val="left"/>
        <w:tblInd w:w="0" w:type="dxa"/>
        <w:tblLayout w:type="fixed"/>
        <w:tblCellMar>
          <w:top w:w="28" w:type="dxa"/>
          <w:left w:w="28" w:type="dxa"/>
          <w:bottom w:w="28" w:type="dxa"/>
          <w:right w:w="28" w:type="dxa"/>
        </w:tblCellMar>
      </w:tblPr>
      <w:tblGrid>
        <w:gridCol w:w="3706"/>
        <w:gridCol w:w="146"/>
        <w:gridCol w:w="345"/>
        <w:gridCol w:w="688"/>
        <w:gridCol w:w="238"/>
        <w:gridCol w:w="238"/>
        <w:gridCol w:w="345"/>
        <w:gridCol w:w="934"/>
        <w:gridCol w:w="391"/>
      </w:tblGrid>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0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 costs and expenses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0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marketing, general and administrative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8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859</w:t>
            </w:r>
          </w:p>
        </w:tc>
        <w:tc>
          <w:tcPr>
            <w:tcW w:w="23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2,599</w:t>
            </w:r>
          </w:p>
        </w:tc>
        <w:tc>
          <w:tcPr>
            <w:tcW w:w="391" w:type="dxa"/>
            <w:tcBorders>
              <w:bottom w:val="single" w:sz="4" w:space="0" w:color="000000"/>
            </w:tcBorders>
            <w:shd w:fill="CCEE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w:t>
            </w:r>
          </w:p>
        </w:tc>
        <w:tc>
          <w:tcPr>
            <w:tcW w:w="2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unrecognized remaining share-based compensation expense for options and RSUs was approximately $6.4 million as of March 31, 2025 and is expected to be amortized to expense over the next 2.5 years.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Stock Options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Stock option activity during the three months ended March 31, 2025, excluding the Bonus Option Program described below, was (in thousands, except weighted average exercise price and weighted average contractual life):</w:t>
      </w:r>
    </w:p>
    <w:tbl>
      <w:tblPr>
        <w:tblW w:w="9475" w:type="dxa"/>
        <w:jc w:val="left"/>
        <w:tblInd w:w="0" w:type="dxa"/>
        <w:tblLayout w:type="fixed"/>
        <w:tblCellMar>
          <w:top w:w="28" w:type="dxa"/>
          <w:left w:w="28" w:type="dxa"/>
          <w:bottom w:w="28" w:type="dxa"/>
          <w:right w:w="28" w:type="dxa"/>
        </w:tblCellMar>
      </w:tblPr>
      <w:tblGrid>
        <w:gridCol w:w="2686"/>
        <w:gridCol w:w="146"/>
        <w:gridCol w:w="204"/>
        <w:gridCol w:w="801"/>
        <w:gridCol w:w="166"/>
        <w:gridCol w:w="146"/>
        <w:gridCol w:w="523"/>
        <w:gridCol w:w="1157"/>
        <w:gridCol w:w="146"/>
        <w:gridCol w:w="146"/>
        <w:gridCol w:w="483"/>
        <w:gridCol w:w="1197"/>
        <w:gridCol w:w="146"/>
        <w:gridCol w:w="146"/>
        <w:gridCol w:w="330"/>
        <w:gridCol w:w="661"/>
        <w:gridCol w:w="391"/>
      </w:tblGrid>
      <w:tr>
        <w:trPr/>
        <w:tc>
          <w:tcPr>
            <w:tcW w:w="2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w:t>
              <w:br/>
              <w:t>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w:t>
              <w:br/>
              <w:t>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w:t>
              <w:br/>
              <w:t>Contractual</w:t>
              <w:br/>
              <w:t>Life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Aggregate</w:t>
              <w:br/>
              <w:t>Intrinsic</w:t>
              <w:br/>
              <w:t>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Outstanding - January 1, 2025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964</w:t>
            </w:r>
          </w:p>
        </w:tc>
        <w:tc>
          <w:tcPr>
            <w:tcW w:w="39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8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Forfeited/canceled</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 xml:space="preserve">Outstanding </w:t>
              <w:noBreakHyphen/>
              <w:t xml:space="preserve"> March 31, 2025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6,525</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7"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197"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39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 xml:space="preserve">Exercisable </w:t>
              <w:noBreakHyphen/>
              <w:t xml:space="preserve">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BIODESIX, INC.</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Financial Statements</w:t>
      </w:r>
    </w:p>
    <w:p>
      <w:pPr>
        <w:pStyle w:val="TextBody"/>
        <w:bidi w:val="0"/>
        <w:jc w:val="center"/>
        <w:rPr/>
      </w:pPr>
      <w:r>
        <w:rPr/>
        <w:t>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Restricted Stock Unit Activity</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Restricted stock unit activity during the three months ended March 31, 2025 was (in thousands, except weighted average grant date fair value per share):</w:t>
      </w:r>
    </w:p>
    <w:tbl>
      <w:tblPr>
        <w:tblW w:w="8050" w:type="dxa"/>
        <w:jc w:val="left"/>
        <w:tblInd w:w="0" w:type="dxa"/>
        <w:tblLayout w:type="fixed"/>
        <w:tblCellMar>
          <w:top w:w="28" w:type="dxa"/>
          <w:left w:w="28" w:type="dxa"/>
          <w:bottom w:w="28" w:type="dxa"/>
          <w:right w:w="28" w:type="dxa"/>
        </w:tblCellMar>
      </w:tblPr>
      <w:tblGrid>
        <w:gridCol w:w="2686"/>
        <w:gridCol w:w="146"/>
        <w:gridCol w:w="329"/>
        <w:gridCol w:w="1291"/>
        <w:gridCol w:w="166"/>
        <w:gridCol w:w="146"/>
        <w:gridCol w:w="901"/>
        <w:gridCol w:w="1994"/>
        <w:gridCol w:w="391"/>
      </w:tblGrid>
      <w:tr>
        <w:trPr/>
        <w:tc>
          <w:tcPr>
            <w:tcW w:w="2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99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6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 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w:t>
              <w:br/>
              <w:t>Grant Date Fair Value Per Share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 xml:space="preserve">Outstanding </w:t>
              <w:noBreakHyphen/>
              <w:t xml:space="preserve"> January 1, 2025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9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w:t>
            </w:r>
          </w:p>
        </w:tc>
        <w:tc>
          <w:tcPr>
            <w:tcW w:w="39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8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Forfeited/canceled</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94"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Released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 xml:space="preserve">Outstanding </w:t>
              <w:noBreakHyphen/>
              <w:t xml:space="preserve"> March 31, 2025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29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4,075</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94"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w:t>
            </w:r>
          </w:p>
        </w:tc>
        <w:tc>
          <w:tcPr>
            <w:tcW w:w="39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Bonus-to-Options Program</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Company also had a Bonus-to-Options Program (the Bonus Option Program) which allowed participants who so elected to convert a portion of their annual cash bonus into fully vested, non-qualified stock options to purchase shares of common stock. Participation was limited to the Chief Executive Officer, direct reports to the Chief Executive Officer and Vice Presidents of the Company. Beginning with fiscal year 2025, the Company terminated the Bonus Option Program to convert future annual cash bonuses to stock options. Stock options previously granted through the Bonus Option Program will remain vested and outstanding until they are exercised, forfeited, or expire. As part of the Bonus Option Program, the Company recorded the following activity during the three months ended March 31, 2025 (in thousands, except weighted average exercise price and weighted average contractual life):</w:t>
      </w:r>
    </w:p>
    <w:tbl>
      <w:tblPr>
        <w:tblW w:w="9455" w:type="dxa"/>
        <w:jc w:val="left"/>
        <w:tblInd w:w="0" w:type="dxa"/>
        <w:tblLayout w:type="fixed"/>
        <w:tblCellMar>
          <w:top w:w="28" w:type="dxa"/>
          <w:left w:w="28" w:type="dxa"/>
          <w:bottom w:w="28" w:type="dxa"/>
          <w:right w:w="28" w:type="dxa"/>
        </w:tblCellMar>
      </w:tblPr>
      <w:tblGrid>
        <w:gridCol w:w="2686"/>
        <w:gridCol w:w="146"/>
        <w:gridCol w:w="204"/>
        <w:gridCol w:w="801"/>
        <w:gridCol w:w="146"/>
        <w:gridCol w:w="146"/>
        <w:gridCol w:w="523"/>
        <w:gridCol w:w="1157"/>
        <w:gridCol w:w="146"/>
        <w:gridCol w:w="146"/>
        <w:gridCol w:w="483"/>
        <w:gridCol w:w="1197"/>
        <w:gridCol w:w="146"/>
        <w:gridCol w:w="146"/>
        <w:gridCol w:w="375"/>
        <w:gridCol w:w="616"/>
        <w:gridCol w:w="391"/>
      </w:tblGrid>
      <w:tr>
        <w:trPr/>
        <w:tc>
          <w:tcPr>
            <w:tcW w:w="2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w:t>
              <w:br/>
              <w:t>Options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w:t>
              <w:br/>
              <w:t>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w:t>
              <w:br/>
              <w:t>Contractual</w:t>
              <w:br/>
              <w:t>Life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Aggregate</w:t>
              <w:br/>
              <w:t>Intrinsic</w:t>
              <w:br/>
              <w:t>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 xml:space="preserve">Outstanding </w:t>
              <w:noBreakHyphen/>
              <w:t xml:space="preserve"> January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Forfeited/canceled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 xml:space="preserve">Outstanding </w:t>
              <w:noBreakHyphen/>
              <w:t xml:space="preserve">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 xml:space="preserve">Exercisable </w:t>
              <w:noBreakHyphen/>
              <w:t xml:space="preserve">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recorded zero and $0.2 million for the three months ended March 31, 2025 and 2024, respectively, related to the estimate of the Bonus Option Program. Options granted pertaining to the performance of the Bonus Option Program were typically approved and granted in first quarter of the year following completion of the fiscal year.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weighted average fair value of the Bonus Options and stock options to purchase common stock granted during the three months ended March 31, 2025 and 2024 was $0.68 and $1.24, respectively.</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Employee Stock Purchase Plan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ESPP provides for successive six-month offering periods beginning on September 1st and March 1st of each year. During the three months ended March 31, 2025, 464,881 shares were issued under the ESPP, leaving 48,500 shares reserved for future issuance.</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Note 11 – Net Loss per Common Share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Basic net loss per share excludes dilution and is computed by dividing net loss attributable to the common stockholders by the weighted-average shares outstanding during the period. Diluted net loss per common share reflects the potential dilution that could occur if securities or other contracts to issue common stock were exercised, resulting in the issuance of shares of common stock that would then share in the earnings or losses of the Company.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BIODESIX, INC.</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Financial Statements</w:t>
      </w:r>
    </w:p>
    <w:p>
      <w:pPr>
        <w:pStyle w:val="TextBody"/>
        <w:bidi w:val="0"/>
        <w:jc w:val="center"/>
        <w:rPr/>
      </w:pPr>
      <w:r>
        <w:rPr/>
        <w:t>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Basic and diluted loss per share as of the dates indicated were (in thousands, except per share amounts):</w:t>
      </w:r>
    </w:p>
    <w:tbl>
      <w:tblPr>
        <w:tblW w:w="7786" w:type="dxa"/>
        <w:jc w:val="left"/>
        <w:tblInd w:w="0" w:type="dxa"/>
        <w:tblLayout w:type="fixed"/>
        <w:tblCellMar>
          <w:top w:w="28" w:type="dxa"/>
          <w:left w:w="28" w:type="dxa"/>
          <w:bottom w:w="28" w:type="dxa"/>
          <w:right w:w="28" w:type="dxa"/>
        </w:tblCellMar>
      </w:tblPr>
      <w:tblGrid>
        <w:gridCol w:w="4461"/>
        <w:gridCol w:w="146"/>
        <w:gridCol w:w="261"/>
        <w:gridCol w:w="968"/>
        <w:gridCol w:w="205"/>
        <w:gridCol w:w="181"/>
        <w:gridCol w:w="261"/>
        <w:gridCol w:w="912"/>
        <w:gridCol w:w="391"/>
      </w:tblGrid>
      <w:tr>
        <w:trPr/>
        <w:tc>
          <w:tcPr>
            <w:tcW w:w="4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6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73"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 attributable to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(11,101</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(13,614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73"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6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Weighted-average shares outstanding used</w:t>
              <w:br/>
              <w:t>   in computing net loss per share, basic and diluted</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6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146,547</w:t>
            </w:r>
          </w:p>
        </w:tc>
        <w:tc>
          <w:tcPr>
            <w:tcW w:w="20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97,166</w:t>
            </w:r>
          </w:p>
        </w:tc>
        <w:tc>
          <w:tcPr>
            <w:tcW w:w="39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(0.08</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120"/>
        <w:jc w:val="both"/>
        <w:rPr>
          <w:rFonts w:ascii="Times New Roman" w:hAnsi="Times New Roman"/>
          <w:color w:val="000000"/>
          <w:sz w:val="20"/>
        </w:rPr>
      </w:pPr>
      <w:r>
        <w:rPr>
          <w:rFonts w:ascii="Times New Roman" w:hAnsi="Times New Roman"/>
          <w:color w:val="000000"/>
          <w:sz w:val="20"/>
        </w:rPr>
        <w:t>The following outstanding common stock equivalents were excluded from diluted net loss attributable to common stockholders for the periods presented because inclusion would be anti-dilutive (in thousands):</w:t>
      </w:r>
    </w:p>
    <w:tbl>
      <w:tblPr>
        <w:tblW w:w="6296" w:type="dxa"/>
        <w:jc w:val="left"/>
        <w:tblInd w:w="0" w:type="dxa"/>
        <w:tblLayout w:type="fixed"/>
        <w:tblCellMar>
          <w:top w:w="28" w:type="dxa"/>
          <w:left w:w="28" w:type="dxa"/>
          <w:bottom w:w="28" w:type="dxa"/>
          <w:right w:w="28" w:type="dxa"/>
        </w:tblCellMar>
      </w:tblPr>
      <w:tblGrid>
        <w:gridCol w:w="2971"/>
        <w:gridCol w:w="146"/>
        <w:gridCol w:w="210"/>
        <w:gridCol w:w="974"/>
        <w:gridCol w:w="210"/>
        <w:gridCol w:w="210"/>
        <w:gridCol w:w="210"/>
        <w:gridCol w:w="974"/>
        <w:gridCol w:w="391"/>
      </w:tblGrid>
      <w:tr>
        <w:trPr/>
        <w:tc>
          <w:tcPr>
            <w:tcW w:w="2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to purchase common stock</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8,601</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5,035</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committed under ESPP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5,603</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5,603</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4,075</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7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74"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18,318</w:t>
            </w:r>
          </w:p>
        </w:tc>
        <w:tc>
          <w:tcPr>
            <w:tcW w:w="210"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74"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14,268</w:t>
            </w:r>
          </w:p>
        </w:tc>
        <w:tc>
          <w:tcPr>
            <w:tcW w:w="39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Note 12 – Income Taxes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Since inception, the Company has incurred net taxable losses, and accordingly, no provision for income taxes has been recorded. There was no cash paid for income taxes during the three months ended March 31, 2025 and 2024.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13 – Segment Reporting</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Operating segments are defined as components of an enterprise about which separate discrete information is available for evaluation by the chief operating decision-maker (CODM) in deciding how to allocate resources and assess performance. The Company's Chief Executive Officer and Chief Financial Officer, as a group, represents the entity's chief operating decision makers. The Company’s CODM views the Company’s operations and manages its business as a single operating segment focused on diagnostic testing in the clinical setting and providing services to biopharmaceutical companies (see Note 9 – </w:t>
      </w:r>
      <w:r>
        <w:rPr>
          <w:rFonts w:ascii="Times New Roman" w:hAnsi="Times New Roman"/>
          <w:i/>
          <w:color w:val="000000"/>
          <w:sz w:val="20"/>
        </w:rPr>
        <w:t>Revenue and Accounts Receivable Credit Concentration</w:t>
      </w:r>
      <w:r>
        <w:rPr>
          <w:rFonts w:ascii="Times New Roman" w:hAnsi="Times New Roman"/>
          <w:color w:val="000000"/>
          <w:sz w:val="20"/>
        </w:rPr>
        <w:t xml:space="preserve">). The CODM views the Company's operations as a single operating segment as each revenue stream utilizes the same equipment and resources. In addition, discrete financial information is not available for each revenue stream other than gross margin. The accounting policies of the segment are the same as those described in Note 2 – </w:t>
      </w:r>
      <w:r>
        <w:rPr>
          <w:rFonts w:ascii="Times New Roman" w:hAnsi="Times New Roman"/>
          <w:i/>
          <w:color w:val="000000"/>
          <w:sz w:val="20"/>
        </w:rPr>
        <w:t>Summary of Significant Accounting Policies</w:t>
      </w:r>
      <w:r>
        <w:rPr>
          <w:rFonts w:ascii="Times New Roman" w:hAnsi="Times New Roman"/>
          <w:color w:val="000000"/>
          <w:sz w:val="2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Substantially all of the Company’s revenue and all long-lived assets were derived or are located in the United States for the three months ended March 31, 2025 and 2024. The measure of segment assets is reported on the balance sheet as total assets.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a single operating segment, the CODM assesses how to allocate resources and measures the Company's performance based on net income or loss that is reported on the statement of operations as net loss. The CODM uses net income or loss to evaluate the return generated from segment assets in deciding whether to reinvest into the segment or into other parts of the entity, such as acquisitions. Net income or loss is used to monitor budget versus actual results, which are used in assessing performance of the segment and in establishing management's compensation.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BIODESIX, INC.</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Financial Statements</w:t>
      </w:r>
    </w:p>
    <w:p>
      <w:pPr>
        <w:pStyle w:val="TextBody"/>
        <w:bidi w:val="0"/>
        <w:jc w:val="center"/>
        <w:rPr/>
      </w:pPr>
      <w:r>
        <w:rPr/>
        <w:t>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CODM regularly reviews the following significant expenses and other segment items. A summary of the significant expenses and other segment items reported in the Company’s statements of operations as of the dates indicated is as follows (in thousands):</w:t>
      </w:r>
    </w:p>
    <w:tbl>
      <w:tblPr>
        <w:tblW w:w="10205" w:type="dxa"/>
        <w:jc w:val="left"/>
        <w:tblInd w:w="0" w:type="dxa"/>
        <w:tblLayout w:type="fixed"/>
        <w:tblCellMar>
          <w:top w:w="28" w:type="dxa"/>
          <w:left w:w="28" w:type="dxa"/>
          <w:bottom w:w="28" w:type="dxa"/>
          <w:right w:w="28" w:type="dxa"/>
        </w:tblCellMar>
      </w:tblPr>
      <w:tblGrid>
        <w:gridCol w:w="6965"/>
        <w:gridCol w:w="146"/>
        <w:gridCol w:w="257"/>
        <w:gridCol w:w="902"/>
        <w:gridCol w:w="203"/>
        <w:gridCol w:w="178"/>
        <w:gridCol w:w="257"/>
        <w:gridCol w:w="902"/>
        <w:gridCol w:w="395"/>
      </w:tblGrid>
      <w:tr>
        <w:trPr/>
        <w:tc>
          <w:tcPr>
            <w:tcW w:w="69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69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6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17,958</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14,818</w:t>
            </w:r>
          </w:p>
        </w:tc>
        <w:tc>
          <w:tcPr>
            <w:tcW w:w="39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65"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Direct costs and expenses (less employee related expenses and depreciation and amortization)</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2,522</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2,168</w:t>
            </w:r>
          </w:p>
        </w:tc>
        <w:tc>
          <w:tcPr>
            <w:tcW w:w="395"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6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Employee related expenses (less share-based compensation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14,804</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12,992</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65"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Contracted services expenses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2,322</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1,587</w:t>
            </w:r>
          </w:p>
        </w:tc>
        <w:tc>
          <w:tcPr>
            <w:tcW w:w="395"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6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Sales and marketing education and event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1,869</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2,149</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65"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Occupancy and equipment service expenses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1,004</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1,153</w:t>
            </w:r>
          </w:p>
        </w:tc>
        <w:tc>
          <w:tcPr>
            <w:tcW w:w="395"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6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Clinical trials and associated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65"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 expense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1,440</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1,420</w:t>
            </w:r>
          </w:p>
        </w:tc>
        <w:tc>
          <w:tcPr>
            <w:tcW w:w="395"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6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Share-based compensation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2,640</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65"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1,685</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2,529</w:t>
            </w:r>
          </w:p>
        </w:tc>
        <w:tc>
          <w:tcPr>
            <w:tcW w:w="395"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6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warrant liability,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65"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Other segment items </w:t>
            </w:r>
            <w:r>
              <w:rPr>
                <w:rFonts w:ascii="Times New Roman" w:hAnsi="Times New Roman"/>
                <w:color w:val="000000"/>
                <w:sz w:val="13"/>
              </w:rPr>
              <w:t>(1)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0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1,561</w:t>
            </w:r>
          </w:p>
        </w:tc>
        <w:tc>
          <w:tcPr>
            <w:tcW w:w="20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0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1,598</w:t>
            </w:r>
          </w:p>
        </w:tc>
        <w:tc>
          <w:tcPr>
            <w:tcW w:w="39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69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(11,101</w:t>
            </w:r>
          </w:p>
        </w:tc>
        <w:tc>
          <w:tcPr>
            <w:tcW w:w="2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(13,614</w:t>
            </w:r>
          </w:p>
        </w:tc>
        <w:tc>
          <w:tcPr>
            <w:tcW w:w="3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Other segment items in segment net loss primarily include software and IT related expenses, administrative and professional development expenses, risk management and insurance expenses, other non-cash expenses, and allocated overhead expenses.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Note 14 – Commitments and Contingencies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Co-Development Agreement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April 2014 and amended in October 2016, the Company entered into a worldwide agreement with AVEO to develop and commercialize AVEO's hepatocyte growth factor inhibitory antibody ficlatuzumab with the Company's proprietary companion diagnostic test, BDX004, a version of the Company’s serum protein test that is commercially available to help physicians guide treatment decisions for patients with advanced non-small cell lung cancer (NSCLC). Under the terms of the agreement, AVEO conducted a proof of concept (POC) clinical study of ficlatuzumab for NSCLC in which BDX004 was used to select clinical trial subjects (the NSCLC POC Trial). Under the agreement, the Company and AVEO shared equally in the costs of the NSCLC POC Trial, and each were responsible for 50% of development and regulatory costs associated with all future clinical trials agreed upon by the Company and AVEO.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September 2020, the Company exercised its opt-out right with AVEO for the payment of 50% of development and regulatory costs for ficlatuzumab effective December 2, 2020 (the AVEO Effective Date). Following the AVEO Effective Date, the Company is entitled to a 10% royalty of net sales of ficlatuzumab and 25% of license income generated from the licensing of ficlatuzumab from AVEO. In September 2021, AVEO announced that the FDA has granted Fast Track Designation (FTD) to ficlatuzumab for the treatment of patients with relapsed or recurrent head and neck squamous cell carcinoma. In November 2021 AVEO also announced plans to initiate a registrational Phase 3 clinical trial for ficlatuzumab which began in January 2024. There were no royalties received or expenses related to this agreement for the three months ended March 31, 2025 and 2024 and the Company has no obligations related to the AVEO agreement as of March 31, 2025.</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License Agreements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August 2019, the Company entered into a non-exclusive license agreement with Bio-Rad Laboratories, Inc. (Bio-Rad) (the Bio-Rad License). Under the terms of the Bio-Rad License, the Company received a non-exclusive license, without the right to grant sublicenses, to utilize certain of Bio-Rad’s intellectual property, machinery, materials, reagents, supplies and know-how necessary for the performance of Droplet Digital PCR (ddPCR) in cancer detection testing for third parties in the United States. There are no license fees related to this agreement. The Bio-Rad License was set to expire in August 2024. In May 2024, the Company amended the agreement to extend the Bio-Rad License to August 2026. In August 2019, the Company also agreed to purchase all of the necessary supplies and reagents for such testing exclusively from Bio-Rad, pursuant to a separately executed supply agreement (the Supply Agreement) with Bio-Rad. Either party may terminate for the other’s uncured material breach or bankruptcy events. Bio-Rad may terminate the Bio-Rad License if the Company does not purchase licensed products under the Supply Agreement for a consecutive twelve-month period or for any material breach by us of the Supply Agreement.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BIODESIX, INC.</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Financial Statements</w:t>
      </w:r>
    </w:p>
    <w:p>
      <w:pPr>
        <w:pStyle w:val="TextBody"/>
        <w:bidi w:val="0"/>
        <w:jc w:val="center"/>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May 13, 2021 (the CellCarta Effective Date), we reached agreement with CellCarta Biosciences Inc. (formerly “Caprion Biosciences, Inc.”) (the CellCarta License) on a new royalty bearing license agreement for the Nodify XL2 test. The parties agreed to terminate all prior agreements and replace with this new arrangement, which has a 1% fee on net sales made from the first commercial sale of the Nodify XL2 test to the CellCarta Effective Date as an upfront make-good payment covering past royalties due and a royalty rate of 0.675% on future Nodify XL2 test net sales worldwide for 15 years from the first commercial sale, ending in 2034. Royalty expense under the CellCarta License was $0.1 million for both the three months ended March 31, 2025 and 2024, respectively.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October 31, 2019, we completed an acquisition of Freenome's United States operations (formerly "Oncimmune USA" or "Oncimmune") including its COLA/CLIA lab in De Soto, Kansas and its pulmonary nodule malignancy test, then marketed in the United States as the EarlyCDT Lung® test. We renamed and relaunched the test on February 28, 2020 as the Nodify CDT test. As part of the acquisition of the assets of Oncimmune, the Company entered into several agreements to govern the relationship between the parties. The Company agreed to a license agreement and royalty payment related to the Nodify CDT test of 8% of recognized revenue for non-screening tests up to an annual minimum volume and 5% thereafter. Royalty expenses were $0.4 million and $0.2 million for the three months ended March 31, 2025 and 2024, respectively.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Litigation, Claims and Assessments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From time to time, we may become involved in legal proceedings or investigations which could have an adverse impact on our reputation, business and financial condition and divert the attention of our management from the operation of our business. We are not presently a party to any legal proceedings that, if determined adversely to us, would individually or taken together have a material adverse effect on our business, results of operations, financial condition, or cash flows.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Note 15 – Subsequent Events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May 8, 2025, the Company exercised its ability to draw the Tranche C loan under the Perceptive Term Loan Facility for $10.0 million (the Tranche C Loan) pursuant to the Credit Agreement with the Lender. The Perceptive Term Loan Facility has a maturity date of November 21, 2027 and provides for an interest-only period during the term of the loan with principal due at the maturity date. The Perceptive Term Loan Facility will accrue interest at an annual rate equal to the greater of (a) forward-looking one-month term SOFR as posted by CME Group Inc. and (b) 3.0% per annum, plus an applicable margin of 9.0%.</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consideration for drawing the Tranche C Loan, the Company agreed to modify the previously agreed upon per share exercise price of $1.0648 for the Perceptive Warrant and per share exercise price of $1.6254 for the First Amendment Warrants, to purchase up to 5,500,000 shares of the Company's common stock, at a new per share exercise of $0.4191, which is equal to the 10-day VWAP of the Company’s common stock on May 9, 2025, the business day immediately preceding the Tranche C Loan borrowing date.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bookmarkStart w:id="9" w:name="item_2_managements_discussion_analysis_f"/>
      <w:bookmarkEnd w:id="9"/>
      <w:r>
        <w:rPr>
          <w:rFonts w:ascii="Times New Roman" w:hAnsi="Times New Roman"/>
          <w:b/>
          <w:color w:val="000000"/>
          <w:sz w:val="20"/>
        </w:rPr>
        <w:t>Item 2. Management’s Discussion and Analysis of Financial Condition and Results of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Biodesix, Inc. is referred to throughout this Quarterly Report on Form 10-Q for the period ended March 31, 2025 (Form 10-Q) as “we”, “us”, “our” or the “Company”.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Management’s Discussion and Analysis of Financial Condition and Results of Operations (MD&amp;A) should be read in conjunction with our Annual Report on Form 10-K for the year ended December 31, 2024 (Form 10-K) and the Condensed Financial Statements as of March 31, 2025 and for the three months ended March 31, 2025 and 2024, included in Part I, Item 1 of this Form 10-Q, which provide additional information regarding our financial position, results of operations and cash flows. To the extent that the following MD&amp;A contains statements which are not of a historical nature, such statements are forward-looking statements, which involve risks and uncertainties, including but not limited to those set forth under the caption “Special Note Regarding Forward-Looking Statements” and Item 1A. “Risk Factors” of Part II in this Quarterly Report on Form 10-Q and those discussed in our other filings with the Securities and Exchange Commission (SEC), including the risks described in Item 1A. “Risk Factors” of Part I of our Annual Report on Form 10-K for the year ended December 31, 2024, which was filed on March 3, 2025.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MD&amp;A discussion is provided to supplement the Condensed Financial Statements as of March 31, 2025 and 2024 and for the three months then ended included in Part I, Item 1 of this Quarterly Report on Form 10-Q. We intend for this discussion to provide you with information that will assist you in understanding our financial statements, the changes in key items in those financial statements from period to period, and the primary factors that accounted for those changes.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Data for the three months ended March 31, 2025 and 2024 has been derived from our unaudited condensed financial statements included in Part I, Item 1 of this Quarterly Report on Form 10-Q.</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a leading diagnostic solutions company and our mission is to transform patient care and improve outcomes through personalized diagnostics that are timely, accessible, and address immediate clinical needs. We envision a world where patient disease is conquered through the guidance of personalized diagnostics.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At Biodesix, we have built a team with deep experience in diagnostics including commercialization, reimbursement, regulatory, medical affairs, research and development, technology, and operations to provide needed products and services to address critical clinical questions and help improve patient care. We believe that establishing a new standard of care utilizing personalized diagnostics requires a deep understanding of clinical needs, scientific expertise to develop tests using the optimal technology for each clinical question, development of clinical evidence to demonstrate benefits of the testing, a scalable operational infrastructure, and an established commercial channel to drive market adoption and payer coverage.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employ multiple technologies, including genomics, proteomics, and radiomics, combined with artificial intelligence (AI), to discover, develop, and commercialize innovative diagnostic tests for physicians, biopharmaceutical, life science, and diagnostics companies to help improve patient care.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Biodesix Diagnostic Tests support clinical decisions to expedite personalized care and improve outcomes for patients with lung disease. We believe our diagnostic tests help healthcare providers meaningfully improve lung disease diagnosis, treatment, and monitoring as well as lower the overall healthcare cost by reducing the use of ineffective and unnecessary treatments and procedures. We currently offer two tests that assess the risk of cancer in lung nodules and three tests that provide treatment guidance after a lung cancer diagnosis.</w:t>
      </w:r>
    </w:p>
    <w:p>
      <w:pPr>
        <w:pStyle w:val="TextBody"/>
        <w:bidi w:val="0"/>
        <w:spacing w:before="120" w:after="283"/>
        <w:jc w:val="both"/>
        <w:rPr>
          <w:rFonts w:ascii="Times New Roman" w:hAnsi="Times New Roman"/>
          <w:i/>
          <w:color w:val="000000"/>
          <w:sz w:val="20"/>
          <w:u w:val="single"/>
        </w:rPr>
      </w:pPr>
      <w:r>
        <w:rPr>
          <w:rFonts w:ascii="Times New Roman" w:hAnsi="Times New Roman"/>
          <w:i/>
          <w:color w:val="000000"/>
          <w:sz w:val="20"/>
          <w:u w:val="single"/>
        </w:rPr>
        <w:t>Diagnosis - Nodule Management</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i/>
          <w:color w:val="000000"/>
          <w:sz w:val="20"/>
        </w:rPr>
        <w:t>Nodify CDT</w:t>
      </w:r>
      <w:r>
        <w:rPr>
          <w:rFonts w:ascii="Times New Roman" w:hAnsi="Times New Roman"/>
          <w:color w:val="000000"/>
          <w:sz w:val="20"/>
        </w:rPr>
        <w:t>®</w:t>
      </w:r>
      <w:r>
        <w:rPr>
          <w:color w:val="000000"/>
        </w:rPr>
        <w:t xml:space="preserve"> </w:t>
      </w:r>
      <w:r>
        <w:rPr>
          <w:rFonts w:ascii="Times New Roman" w:hAnsi="Times New Roman"/>
          <w:color w:val="000000"/>
          <w:sz w:val="20"/>
        </w:rPr>
        <w:t xml:space="preserve">and </w:t>
      </w:r>
      <w:r>
        <w:rPr>
          <w:rFonts w:ascii="Times New Roman" w:hAnsi="Times New Roman"/>
          <w:i/>
          <w:color w:val="000000"/>
          <w:sz w:val="20"/>
        </w:rPr>
        <w:t>Nodify XL2</w:t>
      </w:r>
      <w:r>
        <w:rPr>
          <w:rFonts w:ascii="Times New Roman" w:hAnsi="Times New Roman"/>
          <w:color w:val="000000"/>
          <w:sz w:val="20"/>
        </w:rPr>
        <w:t>® tests, marketed as Nodify Lung® Nodule Risk Assessment, assess a suspicious lung nodule's risk of lung cancer to help identify the most appropriate treatment pathway. The Nodify CDT and XL2 tests have an established average turnaround time of one and five business days, respectively, from receipt of the blood sample, providing physicians with timely results to guide diagnostic planning. The Nodify CDT test is a blood-based test that detects the presence of seven autoantibodies associated with the presence of tumors. Elevated levels of the autoantibodies in patients with lung nodules indicate an increased risk of lung cancer to help identify patients that may benefit from timely intervention. The Nodify XL2 test is a blood-based proteomic test that evaluates the likelihood that a lung nodule is benign to help identify patients that may benefit from surveillance imaging. We believe we are the only company to offer two commercial blood-based tests to help physicians reclassify risk of malignancy in patients with suspicious lung nodules.</w:t>
      </w:r>
    </w:p>
    <w:p>
      <w:pPr>
        <w:pStyle w:val="TextBody"/>
        <w:bidi w:val="0"/>
        <w:spacing w:before="120" w:after="283"/>
        <w:jc w:val="both"/>
        <w:rPr>
          <w:rFonts w:ascii="Times New Roman" w:hAnsi="Times New Roman"/>
          <w:i/>
          <w:color w:val="000000"/>
          <w:sz w:val="20"/>
          <w:u w:val="single"/>
        </w:rPr>
      </w:pPr>
      <w:r>
        <w:rPr>
          <w:rFonts w:ascii="Times New Roman" w:hAnsi="Times New Roman"/>
          <w:i/>
          <w:color w:val="000000"/>
          <w:sz w:val="20"/>
          <w:u w:val="single"/>
        </w:rPr>
        <w:t>Lung Cancer Treatment &amp; Monitoring</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i/>
          <w:color w:val="000000"/>
          <w:sz w:val="20"/>
        </w:rPr>
        <w:t>GeneStrat</w:t>
      </w:r>
      <w:r>
        <w:rPr>
          <w:rFonts w:ascii="Times New Roman" w:hAnsi="Times New Roman"/>
          <w:color w:val="000000"/>
          <w:sz w:val="20"/>
        </w:rPr>
        <w:t>®</w:t>
      </w:r>
      <w:r>
        <w:rPr>
          <w:color w:val="000000"/>
        </w:rPr>
        <w:t xml:space="preserve"> </w:t>
      </w:r>
      <w:r>
        <w:rPr>
          <w:rFonts w:ascii="Times New Roman" w:hAnsi="Times New Roman"/>
          <w:i/>
          <w:color w:val="000000"/>
          <w:sz w:val="20"/>
        </w:rPr>
        <w:t>ddPCR, GeneStrat NGS</w:t>
      </w:r>
      <w:r>
        <w:rPr>
          <w:rFonts w:ascii="Times New Roman" w:hAnsi="Times New Roman"/>
          <w:color w:val="000000"/>
          <w:sz w:val="20"/>
        </w:rPr>
        <w:t xml:space="preserve">® and </w:t>
      </w:r>
      <w:r>
        <w:rPr>
          <w:rFonts w:ascii="Times New Roman" w:hAnsi="Times New Roman"/>
          <w:i/>
          <w:color w:val="000000"/>
          <w:sz w:val="20"/>
        </w:rPr>
        <w:t>VeriStrat</w:t>
      </w:r>
      <w:r>
        <w:rPr>
          <w:rFonts w:ascii="Times New Roman" w:hAnsi="Times New Roman"/>
          <w:color w:val="000000"/>
          <w:sz w:val="20"/>
        </w:rPr>
        <w:t>®</w:t>
      </w:r>
      <w:r>
        <w:rPr>
          <w:color w:val="000000"/>
        </w:rPr>
        <w:t xml:space="preserve"> </w:t>
      </w:r>
      <w:r>
        <w:rPr>
          <w:rFonts w:ascii="Times New Roman" w:hAnsi="Times New Roman"/>
          <w:color w:val="000000"/>
          <w:sz w:val="20"/>
        </w:rPr>
        <w:t xml:space="preserve">tests, marketed as part of our IQLung testing strategy, are used following diagnosis of lung cancer to detect the presence of mutations in the tumor and the state of the patient’s immune system to help guide treatment decisions. The GeneStrat ddPCR tumor genomic profiling test and the VeriStrat immune profiling test have an established average turnaround time of two business days from receipt of the blood sample, and the GeneStrat NGS test has an established average turnaround time of three business days from receipt of the blood sample, providing physicians with timely results to facilitate treatment decisions. The GeneStrat ddPCR test evaluates the presence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of actionable mutations in lung cancer. The test is covered independent of stage and can be used multiple times per patient to monitor changes in mutation status. The GeneStrat NGS test is a broad 52 gene panel, including guideline recommended mutations that help identify advanced stage patients eligible for targeted therapy or clinical trial enrollment. The VeriStrat test is a blood-based proteomic test that provides a personalized view of each patient’s immune response to their lung cancer.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Biodesix Development Services enable the world’s leading biopharmaceutical, life sciences, and research institutions with scientific, technological, and operational capabilities that fuel the development of diagnostic tests, tools, and therapeutics. We provide development services to enable therapeutic clinical trials, the validation of life sciences tools and diagnostics, and the discovery, development, and commercialization of diagnostics. Biodesix Development Services have been utilized by over 65 industry clients and academic partners.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We continuously revisit our technology strategy and roadmap to integrate new technologies into our evolving offering, which ultimately support the addition of new service and product revenue offerings. We believe that no single technology can interrogate the complexity of the human disease state to help solve all clinical questions. For that reason, we employ a multi-omic approach to solving diagnostic challenges. </w:t>
      </w:r>
    </w:p>
    <w:p>
      <w:pPr>
        <w:pStyle w:val="TextBody"/>
        <w:bidi w:val="0"/>
        <w:jc w:val="both"/>
        <w:rPr>
          <w:rFonts w:ascii="Times New Roman" w:hAnsi="Times New Roman"/>
          <w:color w:val="000000"/>
          <w:sz w:val="20"/>
        </w:rPr>
      </w:pPr>
      <w:r>
        <w:rPr>
          <w:rFonts w:ascii="Times New Roman" w:hAnsi="Times New Roman"/>
          <w:color w:val="000000"/>
          <w:sz w:val="20"/>
        </w:rPr>
        <w:t xml:space="preserve">We offer end-to-end diagnostic solutions, including translational research, initial biomarker discovery, assay design, development, and validation, testing of clinical trial samples, regulatory, reimbursement, commercialization, and logistical support services. We offer our existing on-market tests, a suite of other research tests and the capability to custom design and develop novel tests for use by our customers.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While our Development Services revenue continues to grow, it is important to note that we benefit from these partnerships in ways that expand beyond revenue. We are continuously expanding our knowledge and biological understanding of multiple diseases and the rapidly evolving treatment and regulatory approval landscape.</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Factors Affecting Our Performance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believe there are several important factors that have impacted our operating performance and results of operations, including:</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 xml:space="preserve">Testing volume and customer mix. </w:t>
      </w:r>
      <w:r>
        <w:rPr>
          <w:rFonts w:ascii="Times New Roman" w:hAnsi="Times New Roman"/>
          <w:color w:val="000000"/>
          <w:sz w:val="20"/>
        </w:rPr>
        <w:t>Our revenues and costs are affected by the volume of testing and mix of customers from period to period. We evaluate both the volume of our commercial tests, or the number of tests that we perform for patients on behalf of clinicians, as well as tests for biopharmaceutical companies. Our performance depends on our ability to retain and broaden adoption with existing customers, as well as attract new customers. We believe that the test volume we receive from clinicians and biopharmaceutical companies are indicators of growth in each of these customer verticals. Customer mix for our tests has the potential to significantly impact our results of operations, as the average selling price for biopharmaceutical sample testing is currently significantly greater than our average selling price for clinical tests since we are not a contracted provider for, or our tests are not covered by all clinical patients’ insurance. We evaluate our average selling price for tests that are covered by Medicare, Medicare Advantage and commercial payers to understand the trends in reimbursement and apply those trends to our revenue recognition policies.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 xml:space="preserve">Reimbursement for clinical diagnostic testing. </w:t>
      </w:r>
      <w:r>
        <w:rPr>
          <w:rFonts w:ascii="Times New Roman" w:hAnsi="Times New Roman"/>
          <w:color w:val="000000"/>
          <w:sz w:val="20"/>
        </w:rPr>
        <w:t>Our revenue depends on achieving broad coverage and reimbursement for our tests from third-party payers, including both commercial and government payers. All five Biodesix blood-based lung diagnostic tests within Nodify Lung Nodule Risk Assessment testing and IQLung strategy for lung cancer patients are covered by Medicare. Payment from third-party payers differs depending on whether we have entered into a contract with the payers as a “participating provider” or do not have a contract and are considered a “non-participating provider.” Payers will often reimburse non-participating providers, if at all, at a lower rate than participating providers.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Historically, we have experienced situations where commercial payers proactively reduced the amounts they were willing to reimburse for our tests, and in other situations, commercial payers have determined that the amounts they previously paid were too high and have sought to recover those perceived excess payments by deducting such amounts from payments otherwise being made. When we contract to serve as a participating provider, reimbursements are made pursuant to a negotiated fee schedule and are limited to only covered indications. Becoming a participating provider generally results in higher reimbursement for covered indications and lack of reimbursement for non-covered indications. As a result, the impact of becoming a participating provider with a specific payer will vary. If we are not able to obtain or maintain coverage and adequate reimbursement from third-party payers, we may not be able to effectively increase our testing volume and revenue as expected. Additionally, retrospective reimbursement adjustments can negatively impact our revenue and cause our financial results to fluctuate.</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 xml:space="preserve">Investment in clinical studies and product innovation to support growth. </w:t>
      </w:r>
      <w:r>
        <w:rPr>
          <w:rFonts w:ascii="Times New Roman" w:hAnsi="Times New Roman"/>
          <w:color w:val="000000"/>
          <w:sz w:val="20"/>
        </w:rPr>
        <w:t xml:space="preserve">A significant aspect of our business is our investment in research and development, including the development of new products and our investments in clinical studies for our on-market and pipeline products. Our studies focus on generating evidence to support expanded payer coverage, commercial adoption, and regulatory approvals. Current efforts are focused primarily on clinical utility as well as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pPr>
      <w:r>
        <w:rPr>
          <w:rFonts w:ascii="Times New Roman" w:hAnsi="Times New Roman"/>
          <w:color w:val="000000"/>
          <w:sz w:val="20"/>
        </w:rPr>
        <w:t>understanding the economic impact of our tests in assisting with decisions related to patient management and the potential impact of our tests in reducing overall healthcare costs.</w:t>
      </w:r>
      <w:r>
        <w:rPr>
          <w:color w:val="00000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ongoing INSIGHT study was designed to expand our clinical understanding of the predictive and prognostic value of the VeriStrat test. On June 27, 2023, we completed enrollment of 5,000 patients with non-small cell lung cancer. All study participants currently enrolled in the study are expected to complete study follow-up by 2026. The participant data will be monitored, and sites will be closed accordingly throughout 2025.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ALTITUDE study is a randomized control study, launched during the fourth quarter 2020, seeking to further demonstrate the utility of the Nodify CDT and XL2 tests.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October 8, 2024, at the CHEST Annual Meeting, the Company presented the experience of healthcare providers using the Nodify Lung Nodule Risk Assessment in over 35,000 patients consecutively tested in a real-world clinical setting. The Company also announced a new clinical study, CLARIFY, that will collect patient outcomes and other clinical information on a subset of the patients featured in the CHEST presentation. CLARIFY is designed to confirm performance of the Nodify CDT and Nodify XL2 tests in diverse patient subgroups through a retrospective chart review of up to 4,000 patients that were tested in a real-world clinical setting. The study's intent is to expand the extensive evidence characterizing the validation and utility of Nodify Lung testing.</w:t>
      </w:r>
    </w:p>
    <w:p>
      <w:pPr>
        <w:pStyle w:val="TextBody"/>
        <w:bidi w:val="0"/>
        <w:spacing w:before="120" w:after="283"/>
        <w:jc w:val="both"/>
        <w:rPr>
          <w:rFonts w:ascii="Times New Roman" w:hAnsi="Times New Roman"/>
          <w:sz w:val="20"/>
        </w:rPr>
      </w:pPr>
      <w:r>
        <w:rPr>
          <w:rFonts w:ascii="Times New Roman" w:hAnsi="Times New Roman"/>
          <w:color w:val="000000"/>
          <w:sz w:val="20"/>
        </w:rPr>
        <w:t>Our clinical research has resulted in approximately 90 peer-reviewed publications for our tests. In addition to clinical studies, we are collaborating with investigators from multiple academic cancer centers. On June 3, 2022, we announced the intent to develop a new novel molecular minimal residual disease (MRD) test as a part of a master sponsored research agreement (MSRA) with Memorial Sloan Kettering Cancer Center (MSK). In addition, the MSRA between MSK and the Company also includes the potential future development of other diagnostic tests aimed at improving the treatment of cancer. On March 25, 2024, we announced a new master collaborative research agreement (MCRA) with MSK under which the teams will collaborate on a development plan for diagnostic tests aimed at improving the treatment of cancer. Biodesix</w:t>
      </w:r>
      <w:r>
        <w:rPr>
          <w:rFonts w:ascii="Times New Roman" w:hAnsi="Times New Roman"/>
          <w:color w:val="36454F"/>
          <w:sz w:val="20"/>
        </w:rPr>
        <w:t xml:space="preserve"> </w:t>
      </w:r>
      <w:r>
        <w:rPr>
          <w:rFonts w:ascii="Times New Roman" w:hAnsi="Times New Roman"/>
          <w:color w:val="000000"/>
          <w:sz w:val="20"/>
        </w:rPr>
        <w:t>will utilize its array of genomics, proteomics, and data mining capabilities with the aim of developing and commercializing oncology biomarker assays in collaboration with MSK. Bio-Rad will provide its industry-leading digital PCR assay technology in support of this important work. We believe these studies and collaborative arrangements are critical to gaining physician adoption and driving favorable coverage decisions by payers and expect our investments in research and development to increase. Further we also expect to increase our research and development expenses to fund further innovation and develop new clinically relevant tests.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 xml:space="preserve">Ability to attract new biopharmaceutical customers and maintain and expand relationships with existing customers. </w:t>
      </w:r>
      <w:r>
        <w:rPr>
          <w:rFonts w:ascii="Times New Roman" w:hAnsi="Times New Roman"/>
          <w:color w:val="000000"/>
          <w:sz w:val="20"/>
        </w:rPr>
        <w:t>Our business development team promotes the broad utility of our products for biopharmaceutical companies in the United States and internationally. Our revenue, business opportunities and growth depend in part on our ability to attract new biopharmaceutical customers and to maintain and expand relationships with existing biopharmaceutical customers. We expect to increase our sales and marketing expenses in furtherance of this as we continue to develop these relationships, and we expect to support a growing number of investigations and clinical trials. If our relationships expand, we believe we may have opportunities to offer our platform for companion diagnostic development, novel target discovery and validation efforts, and to grow into other commercial opportunities. For example, we believe our multi-omic data including genomic and proteomic data, in combination with clinical outcomes or claims data, has revenue-generating potential, including for novel target identification and companion diagnostic discovery and development.</w:t>
      </w:r>
      <w:r>
        <w:rPr>
          <w:color w:val="000000"/>
          <w:u w:val="single"/>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 xml:space="preserve">Motivating and expanding our field sales force and customer support team. </w:t>
      </w:r>
      <w:r>
        <w:rPr>
          <w:rFonts w:ascii="Times New Roman" w:hAnsi="Times New Roman"/>
          <w:color w:val="000000"/>
          <w:sz w:val="20"/>
        </w:rPr>
        <w:t>Our field sales force is the primary point of contact in the clinical setting. These representatives of the Company must cover expansive geographic regions which limits their time for interaction and education of our products in the clinical setting. We plan to continue investing in the field sales force through select expansion and provide them with tools that maximize their education and selling efforts in order to achieve greater returns. Additionally, we plan to invest in the marketing and customer support teams to continue to provide the field sales force with the resources to be successful.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While each of these areas present significant opportunities for us, they also pose significant risks and challenges that we must address. See Part I, Item 1A. “Risk Factors” for more information.</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First Quarter 2025 Financial and Operational Highlights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were significant developments affecting our business, capital structure and liquidity during the three months ended March 31, 2025 as compared to the same period in 2024 unless otherwise noted: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Total revenue of $18.0 million for the first quarter 2025, an increase of 21% over the respective prior year comparable period;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pPr>
      <w:r>
        <w:rPr>
          <w:rFonts w:ascii="Times New Roman" w:hAnsi="Times New Roman"/>
          <w:b/>
          <w:i/>
          <w:color w:val="000000"/>
          <w:sz w:val="20"/>
        </w:rPr>
        <w:t xml:space="preserve">Diagnostic Testing </w:t>
      </w:r>
      <w:r>
        <w:rPr>
          <w:rFonts w:ascii="Times New Roman" w:hAnsi="Times New Roman"/>
          <w:i/>
          <w:color w:val="000000"/>
          <w:sz w:val="20"/>
        </w:rPr>
        <w:t xml:space="preserve">revenue of $16.3 million for the first quarter, an increase of 18% over the respective prior year comparable period; primarily driven by an increase in total tests delivered;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pPr>
      <w:r>
        <w:rPr>
          <w:rFonts w:ascii="Times New Roman" w:hAnsi="Times New Roman"/>
          <w:b/>
          <w:i/>
          <w:color w:val="000000"/>
          <w:sz w:val="20"/>
        </w:rPr>
        <w:t xml:space="preserve">Development Services </w:t>
      </w:r>
      <w:r>
        <w:rPr>
          <w:rFonts w:ascii="Times New Roman" w:hAnsi="Times New Roman"/>
          <w:i/>
          <w:color w:val="000000"/>
          <w:sz w:val="20"/>
        </w:rPr>
        <w:t xml:space="preserve">revenue of $1.7 million for the first quarter, an increase of 61% over the respective prior year comparable period;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Gross margin was $14.3 million, or 79.4%, for the first quarter 2025, as a percentage of revenue compared to 78.6% in the prior year comparable period, continuing to be driven by growth in Diagnostic testing and optimization of testing workflows that resulted in improvements in costs per test and the ongoing expansion of our Development Services business;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Operating expenses (excluding direct costs and expenses) of $23.4 million for the first quarter 2025, an increase of 3% over the respective prior year comparable period;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 xml:space="preserve">Increase in operating expenses is attributed to a $900 thousand increase in Research and Development costs due to the investment in clinical studies to support on-market and pipeline products partially offset by a 1% decrease in Sales, General and Administrative costs;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Includes non-cash stock compensation expense of $1.0 million during the first quarter 2025, a decrease from $2.6 million in the prior year period.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Net loss of $11.1 million for the first quarter 2025, an improvement of 18% over the respective prior year comparable period;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Cash and cash equivalents of $17.6 million as of March 31, 2025. Subsequent to quarter end, we received $10.0 million from Tranche C of the amended term loan facility with Perceptive Advisors. The pro forma cash balance is $27.6 million. As consideration for drawing Tranche C of the amended term loan facility, the Company agreed to modify the previously agreed upon per share exercise prices of the outstanding warrants to a new per share exercise of $0.4191.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Components of Operating Results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Revenues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derive our revenue from two sources: (i) Biodesix Diagnostic Tests (Diagnostic Tests), providing lung diagnostic testing services for healthcare providers associated with our five blood-based tests and (ii) Biodesix Development Services (Development Services) providing diagnostic testing services to biopharmaceutical, life sciences, and diagnostic companies.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Diagnostic Tests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Diagnostic Tests revenue is generated from delivery of results from our diagnostic tests. In the United States, we performed tests as both an in-network and out-of-network service provider depending on the test performed and the contracted status of the insurer. We consider diagnostic testing to be completed upon the delivery of test results to our customer, either the prescribing physician or third-party to which we contracted for services to be performed, which is considered the performance obligation. The fees for such services are billed either to a third party such as Medicare, medical facilities, commercial insurance payers, or to the patient. We determine the transaction price related to our contracts by considering the nature of the payer, test type, the historical amount of time until payment by a payer and historical price concessions granted to groups of customers.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Development Services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Development Services revenue is generated from the delivery of our on-market tests, pipeline tests, custom diagnostic testing, and other scientific services from contracts and business agreements with other diagnostics and life science tool partners for a purpose as defined by any individual customer. The performance obligations and related revenue for these sales is defined by a written agreement between us and our customer. These services are generally completed upon the delivery of testing results, or other contractually defined milestone(s), to the customer, which is considered the performance obligation. Customers for these services are typically mid-size to large pharmaceutical companies where collectability is reasonably assured and therefore revenue is accrued upon completion of the performance obligations. Revenue derived from services is often unpredictable and can cause significant swings in our overall net revenue line from quarter to quarter.</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Operating Expenses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Direct costs and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Cost of diagnostic testing generally consists of cost of materials, direct labor, including bonuses, employee benefits, share-based compensation, equipment and infrastructure expenses associated with acquiring and processing test samples, including sample accessioning, test performance, quality control analyses, charges to collect and transport samples; curation of test results for physicians; and in some cases, license or royalty fees due to third parties. Costs associated with performing our tests are recorded as the tests are processed regardless of whether revenue was recognized with respect to the tests. Infrastructure expenses include allocated depreciation of laboratory equipment, rent costs, amortization of leasehold improvements and information technology costs. Royalties for licensed technology are calculated as a percentage of revenues generated using the associated technology and recorded as expense at the time the related revenue is recognized. One-time royalty payments related to signing of license agreements or other milestones, such as issuance of new patents, are amortized to expense over the expected useful life of the patents. While we do not believe the technologies underlying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these licenses are necessary to permit us to provide our tests, we do believe these technologies are potentially valuable and of possible strategic importance to us or our competitors. Under these license agreements, we are obligated to pay aggregate royalties ranging from 1% to 8% of sales in which the patents or know-how are used in the product or service sold, sometimes subject to minimum annual royalties or fees in certain agreements.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expect the aggregate cost of diagnostic testing to increase in line with the increase in the number of tests we perform, but the cost per test to decrease modestly over time due to the efficiencies we may gain as test volume increases, and from automation and other cost reductions. Cost of services includes costs incurred for the performance of development services requested by our customers. Costs of development services will vary depending on the nature, timing and scope of customer projects.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Research and development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Research and development expenses consist of costs incurred to develop technology and include salaries, share-based compensation and benefits, reagents and supplies used in research and development laboratory work, clinical trials infrastructure expenses, including allocated facility occupancy and information technology costs, contract services, quality and regulatory support, other outside costs and costs to develop our technology capabilities. Research and development expenses account for a significant portion of our operating expenses and consist primarily of external and internal costs incurred in connection with the discovery and development of our product candidates.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External expenses include: (i) payments to third parties in connection with the clinical development of our product candidates, including contract research organizations and consultants; (ii) the cost of manufacturing products for use in our preclinical studies and clinical trials, including payments to contract manufacturing organizations (CMOs) and consultants; (iii) scientific development services, consulting research fees and for sponsored research arrangements with third parties; (iv) laboratory supplies; and (v) allocated facilities, depreciation and other expenses, which include direct or allocated expenses for IT, rent and maintenance of facilities. External expenses are recognized based on an evaluation of the progress to completion of specific tasks using information provided to us by our service providers or our estimate of the level of service that has been performed at each reporting date. We track external costs by the stage of program, clinical or preclinical.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Internal expenses include employee-related costs, including salaries, share-based compensation and related benefits for employees engaged in research and development functions. We do not track internal costs by product candidate because these costs are deployed across multiple programs and, as such, are not separately classified.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Research and development costs are expensed as incurred. Payments made prior to the receipt of goods or services to be used in research and development are deferred and recognized as expense in the period in which the related goods are received or services are rendered. Costs to develop our technology capabilities are recorded as research and development.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expect our research and development expenses to increase as we continue to innovate and develop additional products and expand our data management resources. As our services revenue grows, an increasing portion of research and development dollars are expected to be allocated to cost of services for biopharmaceutical service contracts. This expense, though expected to increase in dollars, is expected to decrease as a percentage of revenue in the long term, though it may fluctuate as a percentage of our revenues from period to period due to the timing and extent of these expenses.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Sales, marketing, general and administrative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sales and marketing expenses are expensed as incurred and include costs associated with our sales organization, including our direct sales force and sales management, client services, marketing, public relations, communications and reimbursement, as well as business development personnel who are focused on our biopharmaceutical customers. These expenses consist primarily of salaries, commissions, bonuses, employee benefits, share-based compensation, and travel, as well as marketing and educational activities and allocated overhead expenses. We expect our sales and marketing expenses to increase in dollars as we expand our sales force, increase our presence within the United States, and increase our marketing activities to drive further awareness and adoption of our tests and our future products and services. These expenses, though expected to increase in dollars, are expected to decrease as a percentage of revenue in the long term, though they may fluctuate as a percentage of our revenues from period to period due to the timing and nature of these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general and administrative expenses include costs for our executive, accounting, finance, legal and human resources functions. These expenses consist principally of salaries, bonuses, employee benefits, share-based compensation, and travel, as well as professional services fees such as consulting, audit, tax and legal fees, and general corporate costs and allocated overhead expenses. We expect that our general and administrative expenses will continue to increase in dollars, primarily due to increased headcount and costs associated with operating as a public company, including expenses related to legal, accounting, regulatory, maintaining compliance with exchange listing and requirements of the SEC, director and officer insurance premiums and investor relations. These expenses, though expected to increase in dollars, are expected to decrease as a percentage of revenue in the long term, though they may fluctuate as a percentage from period to period due to the timing and extent of these expenses.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Non-Operating Expenses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Interest Expense and Interest Income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 the three months ended March 31, 2025 interest expense primarily consists of cash and non-cash interest from the Perceptive Term Loan Facility. For the three months ended March 31, 2024, interest expense consists of cash and non-cash interest from the Perceptive Term Loan Facility, contingent consideration, and changes in the fair value of our contingent consideration associated with the passage of time subsequent to the achievement of the gross margin target in the second quarter 2021. Interest income, which is included in ‘Other income, net’ in the statements of operations consists of income earned on our cash and cash equivalents.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sets forth the significant components of our results of operations for the periods presented (in thousands, except percentages):</w:t>
      </w:r>
    </w:p>
    <w:tbl>
      <w:tblPr>
        <w:tblW w:w="9509" w:type="dxa"/>
        <w:jc w:val="left"/>
        <w:tblInd w:w="0" w:type="dxa"/>
        <w:tblLayout w:type="fixed"/>
        <w:tblCellMar>
          <w:top w:w="28" w:type="dxa"/>
          <w:left w:w="28" w:type="dxa"/>
          <w:bottom w:w="28" w:type="dxa"/>
          <w:right w:w="28" w:type="dxa"/>
        </w:tblCellMar>
      </w:tblPr>
      <w:tblGrid>
        <w:gridCol w:w="3906"/>
        <w:gridCol w:w="146"/>
        <w:gridCol w:w="266"/>
        <w:gridCol w:w="931"/>
        <w:gridCol w:w="210"/>
        <w:gridCol w:w="184"/>
        <w:gridCol w:w="266"/>
        <w:gridCol w:w="931"/>
        <w:gridCol w:w="166"/>
        <w:gridCol w:w="146"/>
        <w:gridCol w:w="211"/>
        <w:gridCol w:w="631"/>
        <w:gridCol w:w="166"/>
        <w:gridCol w:w="146"/>
        <w:gridCol w:w="146"/>
        <w:gridCol w:w="481"/>
        <w:gridCol w:w="576"/>
      </w:tblGrid>
      <w:tr>
        <w:trPr/>
        <w:tc>
          <w:tcPr>
            <w:tcW w:w="39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r>
      <w:tr>
        <w:trPr/>
        <w:tc>
          <w:tcPr>
            <w:tcW w:w="39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0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17,958</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14,818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57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0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Direct costs and expenses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3,703</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3,175</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57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9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2,870</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90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Sales, marketing, general and administrative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20,448</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20,556</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57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9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Impairment loss on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0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27,094</w:t>
            </w:r>
          </w:p>
        </w:tc>
        <w:tc>
          <w:tcPr>
            <w:tcW w:w="21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25,839</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1,255</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57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(9,136</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0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income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(1,685</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90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warrant liability, net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57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9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0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expense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(1,965</w:t>
            </w:r>
          </w:p>
        </w:tc>
        <w:tc>
          <w:tcPr>
            <w:tcW w:w="21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(2,593</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57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(11,101</w:t>
            </w:r>
          </w:p>
        </w:tc>
        <w:tc>
          <w:tcPr>
            <w:tcW w:w="2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(13,614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5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0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Share-based compensation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6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Amounts represent share-based compensation expense reported in the Company’s results of operations above.</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Revenues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We generate revenue by providing laboratory testing of our diagnostic tests and services. Our revenues for the periods indicated were as follows (in thousands, except percentages):</w:t>
      </w:r>
    </w:p>
    <w:tbl>
      <w:tblPr>
        <w:tblW w:w="7216" w:type="dxa"/>
        <w:jc w:val="left"/>
        <w:tblInd w:w="0" w:type="dxa"/>
        <w:tblLayout w:type="fixed"/>
        <w:tblCellMar>
          <w:top w:w="28" w:type="dxa"/>
          <w:left w:w="28" w:type="dxa"/>
          <w:bottom w:w="28" w:type="dxa"/>
          <w:right w:w="28" w:type="dxa"/>
        </w:tblCellMar>
      </w:tblPr>
      <w:tblGrid>
        <w:gridCol w:w="2036"/>
        <w:gridCol w:w="146"/>
        <w:gridCol w:w="285"/>
        <w:gridCol w:w="913"/>
        <w:gridCol w:w="197"/>
        <w:gridCol w:w="197"/>
        <w:gridCol w:w="285"/>
        <w:gridCol w:w="913"/>
        <w:gridCol w:w="146"/>
        <w:gridCol w:w="146"/>
        <w:gridCol w:w="211"/>
        <w:gridCol w:w="571"/>
        <w:gridCol w:w="146"/>
        <w:gridCol w:w="146"/>
        <w:gridCol w:w="146"/>
        <w:gridCol w:w="316"/>
        <w:gridCol w:w="416"/>
      </w:tblGrid>
      <w:tr>
        <w:trPr/>
        <w:tc>
          <w:tcPr>
            <w:tcW w:w="2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20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0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Diagnostic Tests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16,316</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0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Development Services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1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1,642</w:t>
            </w:r>
          </w:p>
        </w:tc>
        <w:tc>
          <w:tcPr>
            <w:tcW w:w="19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1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1,022</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41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17,958</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14,818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4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120"/>
        <w:jc w:val="both"/>
        <w:rPr>
          <w:rFonts w:ascii="Times New Roman" w:hAnsi="Times New Roman"/>
          <w:color w:val="000000"/>
          <w:sz w:val="20"/>
        </w:rPr>
      </w:pPr>
      <w:r>
        <w:rPr>
          <w:rFonts w:ascii="Times New Roman" w:hAnsi="Times New Roman"/>
          <w:color w:val="000000"/>
          <w:sz w:val="20"/>
        </w:rPr>
        <w:t>Total revenues increased $3.1 million or 21% for the three months ended March 31, 2025 compared to the same period in 2024.</w:t>
      </w:r>
    </w:p>
    <w:p>
      <w:pPr>
        <w:pStyle w:val="TextBody"/>
        <w:bidi w:val="0"/>
        <w:jc w:val="both"/>
        <w:rPr>
          <w:rFonts w:ascii="Times New Roman" w:hAnsi="Times New Roman"/>
          <w:color w:val="000000"/>
          <w:sz w:val="20"/>
        </w:rPr>
      </w:pPr>
      <w:r>
        <w:rPr>
          <w:rFonts w:ascii="Times New Roman" w:hAnsi="Times New Roman"/>
          <w:color w:val="000000"/>
          <w:sz w:val="20"/>
        </w:rPr>
        <w:t>Diagnostic Tests revenue increased $2.5 million or 18% for the three months ended March 31, 2025 compared to the same period in 2024. This increase is primarily due to an increase of $2.7 million in the Nodify Lung Nodule Risk Assessment testing strategy driven by an increase in tests delivered as our sales efforts continue to focus on Nodify CDT and XL2 tests. The increase in revenue was partially offset by a $0.1 million decrease in the IQLung testing strategy.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Development Services revenue increased $0.6 million or 61% for the three months ended March 31, 2025 compared to the same period in 2024. The increase in revenue was primarily a result of delivering against our expanding book of business and securing new agreements.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Operating Expenses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Direct costs and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Direct costs and expenses related to revenue increased $0.5 million or 17% for the three months ended March 31, 2025 compared to the same period in 2024, primarily driven by the increase in testing volume compared to the same period in 2024, partially offset by the optimization of testing workflows that resulted in improvements in costs per test.</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Research and development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Research and development expenses increased $0.8 million or 41% for the three months ended March 31, 2025 compared to the same period in 2024. The increase in costs was primarily due to an increase in internal expenses associated with compensation and benefit costs resulting from an increase in headcount and an increase in external costs associated with clinical trials and data acquisition costs.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summarizes our external and internal costs for the three months ended March 31, 2025 and 2024 (in thousands, except percentages):</w:t>
      </w:r>
    </w:p>
    <w:tbl>
      <w:tblPr>
        <w:tblW w:w="8929" w:type="dxa"/>
        <w:jc w:val="left"/>
        <w:tblInd w:w="0" w:type="dxa"/>
        <w:tblLayout w:type="fixed"/>
        <w:tblCellMar>
          <w:top w:w="28" w:type="dxa"/>
          <w:left w:w="28" w:type="dxa"/>
          <w:bottom w:w="28" w:type="dxa"/>
          <w:right w:w="28" w:type="dxa"/>
        </w:tblCellMar>
      </w:tblPr>
      <w:tblGrid>
        <w:gridCol w:w="3496"/>
        <w:gridCol w:w="146"/>
        <w:gridCol w:w="317"/>
        <w:gridCol w:w="858"/>
        <w:gridCol w:w="219"/>
        <w:gridCol w:w="219"/>
        <w:gridCol w:w="317"/>
        <w:gridCol w:w="858"/>
        <w:gridCol w:w="146"/>
        <w:gridCol w:w="146"/>
        <w:gridCol w:w="211"/>
        <w:gridCol w:w="421"/>
        <w:gridCol w:w="146"/>
        <w:gridCol w:w="146"/>
        <w:gridCol w:w="146"/>
        <w:gridCol w:w="421"/>
        <w:gridCol w:w="716"/>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External expenses: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75"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75"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71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Clinical trials and associated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49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external costs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w:t>
            </w:r>
          </w:p>
        </w:tc>
        <w:tc>
          <w:tcPr>
            <w:tcW w:w="21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716" w:type="dxa"/>
            <w:tcBorders>
              <w:bottom w:val="single" w:sz="4" w:space="0" w:color="000000"/>
            </w:tcBorders>
            <w:shd w:fill="CCEE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external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1,229</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Internal expenses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1,641</w:t>
            </w:r>
          </w:p>
        </w:tc>
        <w:tc>
          <w:tcPr>
            <w:tcW w:w="21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1,175</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71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2,870</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7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Sales, marketing, general and administrative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Sales, marketing, general and administrative expenses decreased $0.1 million or 1% for the three months ended March 31, 2025 compared to the same period in 2024. The decrease in costs was driven primarily by decreases in employee compensation and benefits associated with a decrease in share-based compensation expenses which was partially offset by increases in non-employee costs associated with increased spending on external legal and administration costs.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Non-operating Expenses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Interest expense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Interest expense decreased $0.8 million or 33% for the three months ended March 31, 2025 compared to the same period in 2024. The interest expense for the three months ended March 31, 2025 is primarily related to interest and amortization of debt issuance costs associated with the Perceptive Term Loan Facility of $1.7 million. The interest expense for the three months ended March 31, 2024 is primarily related to interest and amortization of debt issuance costs associated with the Perceptive Term Loan Facility of $1.8 million and interest associated with the contingent consideration of $0.7 million, which was paid in full on September 30, 2024.</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Change in fair value of warrant liability, net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February 28, 2025, the Company entered into the Fifth Amendment to the Credit Agreement with Perceptive, whereby subject to the terms and conditions of the Fifth Amendment, the Tranche C Loan Commitment Termination Date was extended, providing continued availability to the Tranche C Loan through December 31, 2025. In addition, on the Tranche C Loan Borrowing Date, the Tranche C Warrants, as amended, will become vested and exercisable at an exercise price equal to $0.793, the Company's closing stock price on February 28, 2025. During the three months ended March 31, 2025, the Company recorded a $0.4 million loss as a change in fair value of warrant liability through the condensed statements of operations due to changes in unobservable inputs. This was a result of changes in the probability of our ability to draw on the Tranche C Loan.</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Other income (expense), net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three months ended March 31, 2025, the Company recorded other income, net of $0.1 million primarily related to interest income. During the three months ended March 31, 2024, the Company expensed approximately $0.1 million of deferred offering costs to 'Other (expense) income, net' in the condensed statement of operations as a result of changes in the probability of our ability to fully utilize the LPC Facility prior to the termination date.</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are an emerging growth company and, as such, have yet to generate positive cash flows from operations. We have funded our operations to date principally from net proceeds from the sale of our common stock, the sale of convertible preferred stock, revenue from diagnostic testing and services, and the incurrence of indebtedness.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amended the Indi APA agreement in April 2022 in which all parties agreed to restructure the Milestone Payments whereby the Company would make five quarterly installments of $2.0 million each beginning in April 2022, three quarterly installments of $3.0 million beginning in July 2023, one installment of $5.0 million in April 2024, and one installment of approximately $8.4 million in July 2024. In addition, the Company agreed to an exit fee of approximately $6.1 million in October 2024. Interest accrued on the difference between the payment schedule as agreed in the August 2021 amendment and the April 2022 amended payment schedule, at an aggregate per annum rate equal to 10%, with such interest to be payable quarterly on the following installment payment date. The exit fee was paid on September 30, 2024, and the Company has no remaining obligations to Indi.</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November 21, 2022, the Company entered into a Credit Agreement and Guaranty (the Credit Agreement) with Perceptive Credit Holdings IV, LP (Perceptive) as lender and administrative agent (the Lender) for up to $50.0 million, with funding of $30.0 million and the issuance of warrants exercisable into 3,000,000 shares of the Company’s common stock occurring on November 21, 2022, and two additional contingently issuable tranches of $10.0 million each subject to certain terms and conditions, including revenue milestones. During the three months ended December 31, 2023, the Company met the conditions precedent associated with the Tranche B Loan and, on December 15, 2023, the Company exercised its ability to draw the Tranche B loan for $10.0 million (the Tranche B Loan). The Tranche C loan had a prior commitment date through September 30, 2024 and, as of that date, the Company did not exercise its ability to draw the Tranche C loan (see below for further details related to the Fifth Amendment).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February 29, 2024 (the Third Amendment Effective Date), the Company entered into the Third Amendment to the Credit Agreement (the Third Amendment) with Perceptive, whereby subject to the terms and conditions of the Third Amendment, the Minimum Net Revenue Covenant (as defined in the Credit Agreement) was amended to reduce the relevant threshold as of the last day of each fiscal quarter commencing on the fiscal quarter ended March 31, 2024 through and including the fiscal quarter ending December 31, 2025.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April 9, 2024, the Company closed an underwritten offering of common stock and a concurrent private placement. Collectively, the Company raised net proceeds of approximately $51.3 million.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October 30, 2024 (the Fourth Amendment Effective Date), the Company entered into the Fourth Amendment to the Credit Agreement (the Fourth Amendment) with Perceptive, whereby subject to the terms and conditions of the Fourth Amendment, the Minimum Net Revenue Covenant (as defined in the Credit Agreement) was amended to reduce the relevant threshold as of the last day of each fiscal quarter commencing on the fiscal quarter ending June 30, 2025 through and including the fiscal quarter ending December 31, 2027.</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November 1, 2024, the Company filed a shelf registration statement on Form S-3 and entered into a new sales agreement with a financial institution, pursuant to which the Company may issue and sell, from time to time, shares of its common stock having an aggregate offering price of up to $50.0 million, subject to terms and conditions (the 2024 ATM Program). The shares of common stock offered pursuant to the 2024 ATM Program will be offered and sold by the Company pursuant to its registration statement on Form S-3 which became effective with the SEC on November 12, 2024. Sales of common stock under the 2024 ATM Program, if any, will be made at market prices by methods deemed to be an “at-the-market offering” as defined in Rule 415 promulgated under the Securities Act of 1933, as amended, including sales made directly on the NASDAQ Global Market, or any other existing trading market for our common stock. In connection with establishing the 2024 ATM Program, the Company terminated its prior $50.0 million ATM program established in November 2021, and no additional stock can be issued thereunder. As of March 31, 2025, the Company had remaining available capacity for share issuances of up to $50.0 million under the 2024 ATM Program.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February 28, 2025 (the Fifth Amendment Effective Date), the Company entered into the Fifth Amendment to the Credit Agreement (the Fifth Amendment) with Perceptive, whereby subject to the terms and conditions of the Fifth Amendment, the Tranche C Loan revenue milestone was eliminated and the Commitment Termination Date (as defined in the Credit Agreement) was extended, providing continued availability to the Tranche C Loan in an aggregate amount equal to $10.0 million through December 31, 2025.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March 24, 2025, the Company received written notice from the Listing Qualifications Staff (the Staff) of The Nasdaq Stock Market LLC (Nasdaq) notifying the Company that, for the last 30 consecutive business days, the closing bid price for the Company’s common stock had closed below the minimum $1.00 per share required for continued listing on The Nasdaq Global Market pursuant to Nasdaq Listing Rule 5450(a)(1) (the Minimum Bid Price Requirement). In accordance with Nasdaq rules, the Company has been provided an initial period of 180 calendar days, or until September 22, 2025 (the Compliance Date), to regain compliance with the Minimum Bid Price Requirement. If, at any time before the Compliance Date, the closing bid price for the Company’s common stock is at least $1.00 for a minimum of ten consecutive business days, the Staff will provide the Company written confirmation of compliance with the Minimum Bid Price Requirement and close the matter. The Company may be eligible for an additional 180 calendar day compliance period. The Company intends to monitor the closing bid price of its common stock and will consider various options available to it if its common stock does not trade at a level to regain compliance with the Minimum Bid Price Requirement. These options include effecting a reverse stock split designed to increase the bid price of the Company’s common stock in an amount sufficient to regain compliance with the Minimum Bid Price Requirement.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Cash Flows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following summarizes our cash flows for the periods indicated (in thousands):</w:t>
      </w:r>
    </w:p>
    <w:tbl>
      <w:tblPr>
        <w:tblW w:w="8386" w:type="dxa"/>
        <w:jc w:val="left"/>
        <w:tblInd w:w="0" w:type="dxa"/>
        <w:tblLayout w:type="fixed"/>
        <w:tblCellMar>
          <w:top w:w="28" w:type="dxa"/>
          <w:left w:w="28" w:type="dxa"/>
          <w:bottom w:w="28" w:type="dxa"/>
          <w:right w:w="28" w:type="dxa"/>
        </w:tblCellMar>
      </w:tblPr>
      <w:tblGrid>
        <w:gridCol w:w="5041"/>
        <w:gridCol w:w="146"/>
        <w:gridCol w:w="280"/>
        <w:gridCol w:w="838"/>
        <w:gridCol w:w="220"/>
        <w:gridCol w:w="193"/>
        <w:gridCol w:w="280"/>
        <w:gridCol w:w="977"/>
        <w:gridCol w:w="411"/>
      </w:tblGrid>
      <w:tr>
        <w:trPr/>
        <w:tc>
          <w:tcPr>
            <w:tcW w:w="5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8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4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flows (used in) provided by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118"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257"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(8,602</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(15,311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04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Investing activities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w:t>
            </w:r>
          </w:p>
        </w:tc>
        <w:tc>
          <w:tcPr>
            <w:tcW w:w="41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4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 cash and cash equivalents and restricted cash</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8"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(8,642</w:t>
            </w:r>
          </w:p>
        </w:tc>
        <w:tc>
          <w:tcPr>
            <w:tcW w:w="220"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7"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(14,793</w:t>
            </w:r>
          </w:p>
        </w:tc>
        <w:tc>
          <w:tcPr>
            <w:tcW w:w="4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cash flows resulted in a net decrease in cash and cash equivalents and restricted cash of $8.6 million during the three months ended March 31, 2025 as compared to the net decrease in cash of $14.8 million for the three months ended March 31, 2024. For the three months ended March 31, 2025, net cash used in operating activities totaled $8.6 million, an decrease of approximately $6.7 million compared to the same period in 2024 primarily due to favorable changes in net working capital of $6.2 million, which includes a decrease of $3.4 million in payments made for contingent consideration during the three months ended March 31, 2024. This also includes an improvement in net working capital for the timing of cash receipts from customers and payments to vendors of $2.8 million and a year-over-year decrease in net loss from operations of $2.9 million.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Net cash used in investing activities during the three months ended March 31, 2025 totaled $0.1 million, a decrease of $0.2 million compared to the same period in 2024. The decrease in net cash used in investing activities was primarily due to decreases in purchases of property and equipment and capital expenditures.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Net cash provided by financing activities during the three months ended March 31, 2025 totaled $0.1 million, a decrease of $0.7 million compared to the same period in 2024. The net cash provided by financing activities for the three months ended March 31, 2025 primarily resulted from $0.3 million in net proceeds from our ESPP, partially offset by payments of $0.2 million associated with our finance lease obligations. The net cash provided by financing activities for the three months ended March 31, 2024 primarily resulted from $0.9 million in net proceeds from the issuance of common stock under the ATM facility and the ESPP, partially offset by repayment of financing leases of $0.1 million.</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Contractual Obligations and Commitments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following table summarizes our non-cancelable contractual obligations and commitments as of March 31, 2025 (in thousands):</w:t>
      </w:r>
    </w:p>
    <w:tbl>
      <w:tblPr>
        <w:tblW w:w="8407" w:type="dxa"/>
        <w:jc w:val="left"/>
        <w:tblInd w:w="0" w:type="dxa"/>
        <w:tblLayout w:type="fixed"/>
        <w:tblCellMar>
          <w:top w:w="28" w:type="dxa"/>
          <w:left w:w="28" w:type="dxa"/>
          <w:bottom w:w="28" w:type="dxa"/>
          <w:right w:w="28" w:type="dxa"/>
        </w:tblCellMar>
      </w:tblPr>
      <w:tblGrid>
        <w:gridCol w:w="2356"/>
        <w:gridCol w:w="146"/>
        <w:gridCol w:w="211"/>
        <w:gridCol w:w="676"/>
        <w:gridCol w:w="146"/>
        <w:gridCol w:w="146"/>
        <w:gridCol w:w="214"/>
        <w:gridCol w:w="686"/>
        <w:gridCol w:w="146"/>
        <w:gridCol w:w="146"/>
        <w:gridCol w:w="211"/>
        <w:gridCol w:w="676"/>
        <w:gridCol w:w="146"/>
        <w:gridCol w:w="146"/>
        <w:gridCol w:w="211"/>
        <w:gridCol w:w="571"/>
        <w:gridCol w:w="146"/>
        <w:gridCol w:w="146"/>
        <w:gridCol w:w="235"/>
        <w:gridCol w:w="755"/>
        <w:gridCol w:w="291"/>
      </w:tblGrid>
      <w:tr>
        <w:trPr/>
        <w:tc>
          <w:tcPr>
            <w:tcW w:w="2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14"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 xml:space="preserve">Payments due by period </w:t>
            </w:r>
            <w:r>
              <w:rPr>
                <w:rFonts w:ascii="Times New Roman" w:hAnsi="Times New Roman"/>
                <w:b/>
                <w:color w:val="000000"/>
                <w:sz w:val="13"/>
              </w:rPr>
              <w:t>(1)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Less than</w:t>
              <w:br/>
              <w:t>1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 to 3</w:t>
              <w:b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 to 5</w:t>
              <w:b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More than</w:t>
              <w:br/>
              <w:t>5 years</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5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Borrowings and interest </w:t>
            </w:r>
            <w:r>
              <w:rPr>
                <w:rFonts w:ascii="Times New Roman" w:hAnsi="Times New Roman"/>
                <w:color w:val="000000"/>
                <w:sz w:val="13"/>
              </w:rPr>
              <w:t>(2)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54,448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49,022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22,804</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obligations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1,355</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8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815</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CCEE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99,198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10,172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57,767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8,455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22,804</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both"/>
        <w:rPr>
          <w:rFonts w:ascii="Times New Roman" w:hAnsi="Times New Roman"/>
          <w:color w:val="000000"/>
          <w:sz w:val="18"/>
        </w:rPr>
      </w:pPr>
      <w:r>
        <w:rPr>
          <w:rFonts w:ascii="Times New Roman" w:hAnsi="Times New Roman"/>
          <w:color w:val="000000"/>
          <w:sz w:val="18"/>
        </w:rPr>
        <w:t>Royalty payments that we may owe are not included as the amount and timing of such payments is uncertain.</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40" w:after="283"/>
        <w:jc w:val="both"/>
        <w:rPr>
          <w:rFonts w:ascii="Times New Roman" w:hAnsi="Times New Roman"/>
          <w:color w:val="000000"/>
          <w:sz w:val="18"/>
        </w:rPr>
      </w:pPr>
      <w:r>
        <w:rPr>
          <w:rFonts w:ascii="Times New Roman" w:hAnsi="Times New Roman"/>
          <w:color w:val="000000"/>
          <w:sz w:val="18"/>
        </w:rPr>
        <w:t>Includes the Perceptive Term Loan payments of principal and interest. Interest amounts associated with the Perceptive Term Loan are variable and estimated based on the interest rate in effect on March 31, 2025.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There have been no other significant changes to our future contractual obligations as disclosed in our Annual Report on Form 10-K for the year ended December 31, 2024.</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Off-Balance Sheet Arrangements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March 31, 2025, we have not entered into any off-balance sheet arrangements.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Critical Accounting Policies and Significant Judgments and Estimates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accordance with accounting principles generally accepted in the United States, we are required to make estimates and assumptions that affect the amounts reported in the condensed financial statements and accompanying notes. Certain of these estimates significantly influence the portrayal of our financial condition and results of operations and require us to make difficult, subjective or complex judgments. Our critical accounting policies are described in greater detail below and in Note 2 to our condensed financial statements in Part 1 of this Quarterly Report on Form 10-Q as well as Part II, Item 8 of our Annual Report on Form 10-K for the year ended December 31, 2024, which was filed on March 3,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Revenue Recognition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recognize revenue when our customers obtain control of promised goods or services, in an amount that reflects the consideration which we expect to receive in exchange for our goods or services. To determine revenue recognition for our arrangements with our customers, we perform a five-step process, which includes: (i) identifying the contract(s) with a customer; (ii) identifying the performance obligations in the contract; (iii) determining the transaction price; (iv) allocating the transaction price to the performance obligations in the contract; and (v) recognizing revenue when (or as) we satisfy our performance obligations. The Company generates revenues from (i) Diagnostic Tests and (ii) assay development, testing services, and licensing our technologies (Development Services).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recognizes revenues related to blood-based lung diagnostic billings based on estimates of the amounts ultimately expected to be collected from customers on a portfolio approach. In determining the amount to accrue for a delivered test, the Company considers factors such as test type, payment history, payer coverage, whether there is a reimbursement contract between the payer and the Company, payment as a percentage of agreed upon rate (if applicable), amount paid per test and any current developments or changes that could impact reimbursement. Variable consideration, if any, is estimated based on an analysis of historical experience and adjusted as better estimates become available. These estimates require significant judgment by management.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also provides services to patients with whom the Company does not have contracts as defined in Financial Accounting Standards Board (FASB) Accounting Standards Codification 606 (ASC 606). The Company recognizes revenue for these patients when contracts, as defined in ASC 606, are established at the amount of consideration to which it expects to be entitled, or when the Company receives substantially all of the consideration subsequent to satisfaction and delivery of the performance obligations.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Development Services revenue consists of various types of tests or other scientific services for a purpose as defined by any individual customer, which are often larger biopharmaceutical companies, as defined by a written agreement between the Company and the customer. These services are generally completed upon the delivery of testing results, achievement of contractual milestone(s) as defined in the customer agreements, or over the term of the contract which is generally expected to be completed in one year or less. Customers for these services are typically large biopharmaceutical companies where collectability is reasonably assured and therefore revenue is accrued upon completion of the performance obligations. Revenue for these services is recognized upon delivery of the completed test results, upon completion of the contractual milestone(s), or over the term of the contract.</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Implications of Being an Emerging Growth Company and Smaller Reporting Company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an “emerging growth company” within the meaning of the Jumpstart Our Business Startups Act (JOBS Act). As an emerging growth company, we may take advantage of certain exemptions from various public company reporting requirements, including the requirement that our internal control over financial reporting be audited by our independent registered public accounting firm pursuant to Section 404 of the Sarbanes-Oxley Act of 2002 (the “Sarbanes-Oxley Act”), certain requirements related to the disclosure of executive compensation in our periodic reports and proxy statements, the requirement that we hold a nonbinding advisory vote on executive compensation and any golden parachute payments. We may take advantage of these exemptions until we are no longer an emerging growth company. Section 107 of the JOBS Act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elected to take advantage of the extended transition period to comply with new or revised accounting standards and to adopt certain of the reduced disclosure requirements available to emerging growth companies. As a result of the accounting standards election, we will not be subject to the same implementation timing for new or revised accounting standards as other public companies that are not emerging growth companies, which may make comparison of our financials to those of other public companies more difficult.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will remain an emerging growth company until the earliest to occur of (i) the last day of the fiscal year in which we have more than $1.24 billion in annual revenue; (ii) the date we qualify as a “large accelerated filer,” with at least $700 million of equity securities held by non-affiliates; (iii) the date on which we have issued, in any three-year period, more than $1.0 billion in non-convertible debt securities; and (iv) until December 31, 2025 (the year ended December 31st following the fifth anniversary of our initial public offering).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common shares held by non-affiliates exceeds $250 million as of the end of that year’s second fiscal quarter, or (ii) our annual revenues exceeded $100 million during such completed fiscal year and the market value of our common shares held by non-affiliates exceeds $700 million as of the end of that year’s second fiscal quarter.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color w:val="000000"/>
          <w:sz w:val="20"/>
        </w:rPr>
      </w:pPr>
      <w:bookmarkStart w:id="10" w:name="item_3_quantitative_qualitative_disclosu"/>
      <w:bookmarkEnd w:id="10"/>
      <w:r>
        <w:rPr>
          <w:rFonts w:ascii="Times New Roman" w:hAnsi="Times New Roman"/>
          <w:b/>
          <w:color w:val="000000"/>
          <w:sz w:val="20"/>
        </w:rPr>
        <w:t>Item 3. Quantitative and Qualitative Disclosures About Market Risk.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exposed to market risk in the ordinary course of our business. Market risk represents the risk of loss that may impact our financial position due to adverse changes in financial market prices and rates.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Interest Rate Risk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exposed to market risk for changes in interest rates related primarily to our cash and cash equivalents, marketable securities and our indebtedness, including our outstanding Perceptive Term Loan. As of March 31, 2025, we had $40.0 million outstanding on the Perceptive Term Loan Facility which has an annual rate equal to the greater of (a) forward-looking one-month term SOFR as posted by CME Group Inc. and (b) 3.0% per annum, plus an applicable margin of 9.0%. Historically, we have not entered into derivative agreements such as interest rate caps and swaps to manage our floating interest rate exposure.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Periodically throughout the year, we have maintained balances in various operating accounts in excess of federally insured limits. Our cash and cash equivalents are funds held in checking and bank savings accounts, primarily at one U.S. financial institution. We consider all highly liquid instruments purchased with an original maturity of three months or less to be cash equivalents. We continually monitor our positions with, and the credit quality of, the financial institutions with which we invest.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March 31, 2025, a hypothetical 100 basis point increase in interest rates would have an estimated $0.4 million impact per year on our financial position and results of operations, based on the current Perceptive Term Loan principal remaining outstanding through maturity.</w:t>
      </w:r>
    </w:p>
    <w:p>
      <w:pPr>
        <w:pStyle w:val="TextBody"/>
        <w:bidi w:val="0"/>
        <w:spacing w:before="120" w:after="283"/>
        <w:jc w:val="both"/>
        <w:rPr>
          <w:rFonts w:ascii="Times New Roman" w:hAnsi="Times New Roman"/>
          <w:sz w:val="20"/>
        </w:rPr>
      </w:pPr>
      <w:bookmarkStart w:id="11" w:name="item_4_controls_procedures"/>
      <w:bookmarkEnd w:id="11"/>
      <w:r>
        <w:rPr>
          <w:rFonts w:ascii="Times New Roman" w:hAnsi="Times New Roman"/>
          <w:b/>
          <w:color w:val="000000"/>
          <w:sz w:val="20"/>
        </w:rPr>
        <w:t>Item 4. Controls</w:t>
      </w:r>
      <w:r>
        <w:rPr>
          <w:rFonts w:ascii="Times New Roman" w:hAnsi="Times New Roman"/>
          <w:color w:val="000000"/>
          <w:sz w:val="20"/>
        </w:rPr>
        <w:t xml:space="preserve"> </w:t>
      </w:r>
      <w:r>
        <w:rPr>
          <w:rFonts w:ascii="Times New Roman" w:hAnsi="Times New Roman"/>
          <w:b/>
          <w:color w:val="000000"/>
          <w:sz w:val="20"/>
        </w:rPr>
        <w:t>and Procedures.</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maintain "disclosure controls and procedures," as such term is defined in Rule 13a-15(e) under the Securities Exchange Act of 1934, or Exchange Act, that are designed to ensure that information required to be disclosed by us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 In designing and evaluating our disclosure controls and procedures, management recognized that disclosure controls and procedures, no matter how well conceived and operated, can provide only reasonable, not absolute, assurance that the objectives of the disclosure controls and procedures are met. Our disclosure controls and procedures have been designed to meet reasonable assurance standards. Additionally,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Based on their evaluation as of the end of the period covered by this Quarterly Report on Form 10-Q, our Chief Executive Officer and Chief Financial Officer have concluded that, as of such date, our disclosure controls and procedures were effective at the reasonable assurance level.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There were no changes to our internal control over financial reporting during the three months ended March 31, 2025 that have materially affected, or are reasonable likely to materially effect, our internal controls over financial reporting.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sz w:val="20"/>
        </w:rPr>
      </w:pPr>
      <w:bookmarkStart w:id="12" w:name="part_iior_information"/>
      <w:bookmarkEnd w:id="12"/>
      <w:r>
        <w:rPr>
          <w:rFonts w:ascii="Times New Roman" w:hAnsi="Times New Roman"/>
          <w:b/>
          <w:color w:val="000000"/>
          <w:sz w:val="20"/>
        </w:rPr>
        <w:t>PART II—OTHER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240" w:after="283"/>
        <w:jc w:val="both"/>
        <w:rPr>
          <w:rFonts w:ascii="Times New Roman" w:hAnsi="Times New Roman"/>
          <w:b/>
          <w:color w:val="000000"/>
          <w:sz w:val="20"/>
        </w:rPr>
      </w:pPr>
      <w:bookmarkStart w:id="13" w:name="item_1_legal_proceedings"/>
      <w:bookmarkEnd w:id="13"/>
      <w:r>
        <w:rPr>
          <w:rFonts w:ascii="Times New Roman" w:hAnsi="Times New Roman"/>
          <w:b/>
          <w:color w:val="000000"/>
          <w:sz w:val="20"/>
        </w:rPr>
        <w:t>Item 1. Legal Proceedings.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From time to time, we may become involved in legal proceedings or investigations which could have an adverse impact on our reputation, business and financial condition and divert the attention of our management from the operation of our business. We are not presently a party to any legal proceedings that, if determined adversely to us, would individually or taken together have a material adverse effect on our business, results of operations, financial condition, or cash flows.</w:t>
      </w:r>
    </w:p>
    <w:p>
      <w:pPr>
        <w:pStyle w:val="TextBody"/>
        <w:bidi w:val="0"/>
        <w:spacing w:before="120" w:after="283"/>
        <w:jc w:val="both"/>
        <w:rPr>
          <w:rFonts w:ascii="Times New Roman" w:hAnsi="Times New Roman"/>
          <w:b/>
          <w:color w:val="000000"/>
          <w:sz w:val="20"/>
        </w:rPr>
      </w:pPr>
      <w:bookmarkStart w:id="14" w:name="item_1a_risk_factors"/>
      <w:bookmarkEnd w:id="14"/>
      <w:r>
        <w:rPr>
          <w:rFonts w:ascii="Times New Roman" w:hAnsi="Times New Roman"/>
          <w:b/>
          <w:color w:val="000000"/>
          <w:sz w:val="20"/>
        </w:rPr>
        <w:t>Item 1A. Risk Factors.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Except as set forth below, there have been no material changes to the risk factors as disclosed in “Item 1A. Risk Factors” of our Annual Report on Form 10-K as of and for the year ended December 31, 2024, filed March 3, 2025. These risk factors may not describe every risk facing us. Additional risks and uncertainties not currently known to us or that we currently deem to be immaterial could materially and adversely affect our business, financial condition and results of operations.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There can be no assurance that our common stock will continue to trade on The Nasdaq Stock Market LLC or another national securities exchange.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There can be no assurance that we will be able to continue to meet The Nasdaq Global Market listing standards. If we are unable to maintain compliance with all applicable listing standards, our common stock may no longer be listed on The Nasdaq Global Market or another national securities exchange and the liquidity and market price of our common stock may be adversely affected.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currently out of compliance with the standards and requirements for continued listing on Nasdaq. On March 24, 2025, we received written notice from the Listing Qualifications Staff (the Staff) notifying us that, for the last 30 consecutive business days, the closing bid price for our common stock had closed below the minimum $1.00 per share required for continued listing on The Nasdaq Global Market pursuant to Nasdaq Listing Rule 5450(a)(1) (the Minimum Bid Price Requirement). In accordance with Nasdaq rules, we have been provided an initial period of 180 calendar days, or until September 22, 2025 (the Compliance Date), to regain compliance with the Minimum Bid Price Requirement. If, at any time before the Compliance Date, the closing bid price for our common stock is at least $1.00 for a minimum of ten consecutive business days, the Staff will provide written confirmation of compliance with the Minimum Bid Price Requirement and close the matter. We may also be eligible for an additional 180 calendar day compliance period. We intend to monitor the closing bid price of our common stock and will consider various options available to us if our common stock does not trade at a level to regain compliance with the Minimum Bid Price Requirement. These options include effecting a reverse stock split designed to increase the bid price of our common stock in an amount sufficient to regain compliance with the Minimum Bid Price Requirement.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Nasdaq notification has no effect at this time on the listing of our common stock, but if we fail to meet Nasdaq’s continued listing requirements and Nasdaq delists our common stock from trading on its exchange and we are not able to list our securities on another national securities exchange, we could face significant material adverse consequences, including, without limitation, a substantial reduction in the liquidity of our common stock, which could limit our access to capital markets for any potential future fundraising.</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Enhanced U.S. tariffs, import/export restrictions or other trade barriers may have a negative effect on global economic conditions, financial markets and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There is currently significant uncertainty about the future relationship between the U.S. and various other countries with respect to trade policies, treaties, tariffs and taxes. Current or future tariffs imposed by the U.S. may negatively impact our business. For example, in early 2025, the U.S. presidential administration threatened or imposed tariffs on imports from various countries, including China, Mexico, and Canada. In response, some of these countries threatened or announced tariffs on imports from the U.S. The extent to which these threats will be enacted and the duration for which enacted tariffs will be in place remain uncertain and could lead to economic decline, which could negatively impact our results of operations.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FDA is phasing out its general policy of enforcement discretion and will regulate laboratory developed tests as medical devices.</w:t>
      </w:r>
    </w:p>
    <w:p>
      <w:pPr>
        <w:pStyle w:val="TextBody"/>
        <w:bidi w:val="0"/>
        <w:spacing w:before="120" w:after="160"/>
        <w:jc w:val="both"/>
        <w:rPr>
          <w:rFonts w:ascii="Times New Roman" w:hAnsi="Times New Roman"/>
          <w:color w:val="000000"/>
          <w:sz w:val="20"/>
        </w:rPr>
      </w:pPr>
      <w:r>
        <w:rPr>
          <w:rFonts w:ascii="Times New Roman" w:hAnsi="Times New Roman"/>
          <w:color w:val="000000"/>
          <w:sz w:val="20"/>
        </w:rPr>
        <w:t>The laws and regulations governing the marketing of diagnostic products are evolving, extremely complex and in many instances, there are no significant regulatory or judicial interpretations of these laws and regulations. Pursuant to its authority under the FDCA, the FDA has jurisdiction over medical devices, including in vitro diagnostics and, therefore, potentially our clinical laboratory tests.</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Pursuant to the FDCA and its implementing regulations, the FDA regulates the research, testing, manufacturing, safety, labeling, storage, recordkeeping, premarket clearance or approval, marketing and promotion, and sales and distribution of medical devices in the United States to ensure that medical products distributed domestically are safe and effective for their intended uses. Although the FDA has asserted that it has authority to regulate the development and use of LDTs, such as our and many other laboratories’ tests, as medical devices, it has generally exercised enforcement discretion and is currently not otherwise regulating most tests developed and performed within a single high complexity CLIA-certified laboratory. Pursuant to this enforcement discretion policy, FDA does not require laboratories that furnish LDTs to comply with the agency’s requirements for medical devices (e.g., establishment registration, device listing, quality systems regulations, premarket clearance or premarket approval, and post-market controls).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60"/>
        <w:jc w:val="both"/>
        <w:rPr>
          <w:rFonts w:ascii="Times New Roman" w:hAnsi="Times New Roman"/>
          <w:color w:val="000000"/>
          <w:sz w:val="20"/>
        </w:rPr>
      </w:pPr>
      <w:r>
        <w:rPr>
          <w:rFonts w:ascii="Times New Roman" w:hAnsi="Times New Roman"/>
          <w:color w:val="000000"/>
          <w:sz w:val="20"/>
        </w:rPr>
        <w:t xml:space="preserve">We believe that our tests, as utilized in our clinical laboratory, are and would be considered LDTs and that as a result, the FDA does not require that we obtain regulatory clearances or approvals for our LDTs or their components pursuant to the FDA’s current policies and guidance. </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On September 29, 2023, FDA announced a proposed rule to amend its regulations to explicitly regulate laboratory developed tests (LDTs) as in vitro diagnostic tests in accordance with the agency’s regulatory authority over medical devices. The FDA finalized its rule on May 6, 2024 and announced that the agency will phase-out its LDT enforcement discretion policy in gradual stages over a total period of four years. LDTs that fall within targeted enforcement discretion policies may be exempt from some of these requirements. If the final rule, or a similar policy, were to take effect, our tests that are currently offered as LDTs could become subject to certain statutory and regulatory provisions that are applicable to medical devices, including but not limited to, medical device reporting and correction and removal reporting requirements, quality systems regulations, registration and listing requirements, and premarket review requirements. Under the final rule, laboratories offering “high-risk tests that will be subject to premarket authorization application requirements or licensure under Section 351 of the Public Health Service Act, will need to ensure that the appropriate submission is received by the FDA before November 6, 2027. Laboratories offering “moderate-risk” or “low-risk” tests that will be subject to De Novo authorization or premarket notification submissions will need to ensure that the appropriate submission is received by the FDA before May 6, 2028. Other regulatory requirements will be gradually phased in beginning on May 6, 2025.</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 xml:space="preserve">Failure to comply with applicable requirements under the relevant timeframes could cause us to lose the ability to perform our tests, experience disruptions to our business, or become subject to administrative or judicial enforcement actions, which in turn may have an adverse impact on our business, financial condition, and results of operations. </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Legal challenges have been filed in federal district court over the agency’s authority to regulate LDTs as medical devices. On March 31, 2025, the U.S. District Court for the Eastern District of Texas struck down the FDA’s final rule, concluding that it exceeds FDA’s statutory jurisdiction, authority, or limitations. The final rule was vacated and remanded to FDA for further consideration based on the opinion, with the court stating that “[t]here is no likelihood that FDA can justify its decision on remand, given that the final rule exceeds its authority under the FDCA.” Congress has also considered legislation to establish a new comprehensive regulatory framework that would provide oversight over LDTs.</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Even if the obligations that could be imposed by the final rule do not become applicable to our tests, Congress could take action to amend the law to change the current regulatory framework for in vitro diagnostics and LDTs to require premarket review of LDTs and other regulatory requirements. New requirements, whether imposed through legislation or administratively, could result in delay or additional expense in offering our tests and tests that we may develop in the future. Moreover, failure to comply with applicable requirements under the relevant timeframes could cause us to lose the ability to perform our tests, experience disruptions to our business, or become subject to administrative or judicial enforcement actions, which in turn may have an adverse impact on our business, financial condition, and results of operations.</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Our operations, therefore, are or may become subject to extensive regulation by the FDA in the United States. Government regulations specific to medical devices are wide ranging and govern, among other things:</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 test design, development, manufacture, and release;</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 laboratory and clinical testing, labeling, packaging, storage, and distribution;</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 product safety and efficacy;</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 premarketing clearance or approval;</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 service operations;</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 record keeping;</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 product marketing, promotion and advertising, sales, and distribution;</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 post-marketing surveillance, including reporting of deaths or serious injuries and recalls and correction and removals;</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 post-market approval studies; and</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 product import and export.</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The premarket submission process for medical devices can be expensive, lengthy and unpredictable. The FDA can delay, limit, or deny clearance or approval of a device for many reasons, including:</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 our inability to demonstrate to the satisfaction of the FDA or the applicable regulatory entity or conformity assessment body that the diagnostic tests are safe or effective for their proposed intended uses;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60"/>
        <w:jc w:val="both"/>
        <w:rPr>
          <w:rFonts w:ascii="Times New Roman" w:hAnsi="Times New Roman"/>
          <w:color w:val="000000"/>
          <w:sz w:val="20"/>
        </w:rPr>
      </w:pPr>
      <w:r>
        <w:rPr>
          <w:rFonts w:ascii="Times New Roman" w:hAnsi="Times New Roman"/>
          <w:color w:val="000000"/>
          <w:sz w:val="20"/>
        </w:rPr>
        <w:t> the disagreement of the FDA with the design or implementation of our clinical trials or the interpretation of data from clinical trials;</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 serious and unexpected adverse device effects experienced by participants in our clinical trials;</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 the data from our clinical trials may be insufficient to support clearance or approval, where required;</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 our inability to demonstrate that the clinical and other benefits of the device outweigh the risks;</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 the manufacturing process or facilities we use may not meet applicable requirements; and</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 the potential for approval policies or regulations of the FDA or applicable foreign regulatory bodies to change significantly in a manner rendering our clinical data or regulatory filings insufficient for clearance or approval.</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The FDA and state authorities have broad enforcement powers. Our failure to comply with applicable regulatory requirements could result in enforcement action by any such agency, which may include any of the following sanctions:</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 adverse publicity, warning letters, untitled letters, it has come to our attention letters, fines, injunctions, consent decrees and civil penalties;</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 repair, replacement, refunds, recall or seizure of our diagnostic tests;</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 operating restrictions, partial suspension, or total shutdown of production;</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 denial of our requests for regulatory clearance or premarket approval of new diagnostic tests or services, new intended uses, or modifications to existing diagnostic tests or services;</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 withdrawal of regulatory clearance or premarket approvals that have already been granted; or</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 criminal prosecution.</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As discussed above, we believe that our current line of diagnostic tests and their components are LDTs, which are subject to state licensing requirements and federal regulation by CMS under CLIA, which may cause us to be subject to additional FDA regulations discussed above.</w:t>
      </w:r>
    </w:p>
    <w:p>
      <w:pPr>
        <w:pStyle w:val="TextBody"/>
        <w:bidi w:val="0"/>
        <w:jc w:val="both"/>
        <w:rPr>
          <w:rFonts w:ascii="Times New Roman" w:hAnsi="Times New Roman"/>
          <w:color w:val="000000"/>
          <w:sz w:val="20"/>
        </w:rPr>
      </w:pPr>
      <w:r>
        <w:rPr>
          <w:rFonts w:ascii="Times New Roman" w:hAnsi="Times New Roman"/>
          <w:color w:val="000000"/>
          <w:sz w:val="20"/>
        </w:rPr>
        <w:t>While we believe that we are currently in material compliance with applicable laws and regulations, it is possible that the FDA, or other regulatory agencies, would not agree with our determinations. If our products became become subject to premarket submission and other FDA requirements, we would need to comply with the applicable regulations or face significant civil and criminal penalties. In addition, IVDs and CDx tests are widely considered to be Class III devices, and it is possible that in the future, we may develop tests that fall into this category. CDx tests in particular may require further administrative procedures in the PMA process. Exposure to these additional regulatory requirements would also affect our business, financial condition and results of operations.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Legislative or regulatory reforms may make it more difficult and costly for us to obtain regulatory clearance or approval or certification of any future diagnostic tests and to manufacture, market and distribute our diagnostic tests after clearance or approval is obtained.</w:t>
      </w:r>
    </w:p>
    <w:p>
      <w:pPr>
        <w:pStyle w:val="TextBody"/>
        <w:bidi w:val="0"/>
        <w:spacing w:before="120" w:after="160"/>
        <w:jc w:val="both"/>
        <w:rPr>
          <w:rFonts w:ascii="Times New Roman" w:hAnsi="Times New Roman"/>
          <w:color w:val="000000"/>
          <w:sz w:val="20"/>
        </w:rPr>
      </w:pPr>
      <w:r>
        <w:rPr>
          <w:rFonts w:ascii="Times New Roman" w:hAnsi="Times New Roman"/>
          <w:color w:val="000000"/>
          <w:sz w:val="20"/>
        </w:rPr>
        <w:t>From time to time, legislation is drafted and introduced in Congress that could significantly change the statutory provisions governing the regulatory approval, manufacture and marketing of regulated products or the reimbursement thereof. For example, the Verifying Accurate, Leading-edge IVCT Development (VALID) Act introduced in Congress would codify into law the term “in vitro clinical test” in order to create a new medical product category separate from medical devices that would include products currently regulated as in vitro diagnostics as well as LDTs.</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In addition, FDA regulations and guidance are often revised or reinterpreted by the FDA in ways that may significantly affect our business and our diagnostic tests. For example, on September 29, 2023, FDA announced a proposed rule to amend its regulations to explicitly regulate laboratory developed tests (LDTs) as in vitro diagnostic tests in accordance with the agency’s regulatory authority over medical devices. The FDA finalized its rule on May 6, 2024 and announced that the agency will phase-out its LDT enforcement discretion policy in gradual stages over a total period of four years. LDTs that fall within targeted enforcement discretion policies may be exempt from some of these requirements.</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 xml:space="preserve">Under the final rule, our tests that are currently offered as LDTs could become subject to certain statutory and regulatory provisions that are applicable to medical devices, including but not limited to, medical device reporting and correction and removal reporting requirements, quality systems regulations, registration and listing requirements, and premarket review requirements. Laboratories offering "high-risk" tests that will be subject to premarket authorization application requirements or licensure under Section 351 of the Public Health Service Act, will need to ensure that the appropriate submission is received by the FDA before November 6, 2027. Laboratories offering “moderate-risk” or “low-risk” tests that will be subject to De Novo authorization or premarket notification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60"/>
        <w:jc w:val="both"/>
        <w:rPr>
          <w:rFonts w:ascii="Times New Roman" w:hAnsi="Times New Roman"/>
          <w:color w:val="000000"/>
          <w:sz w:val="20"/>
        </w:rPr>
      </w:pPr>
      <w:r>
        <w:rPr>
          <w:rFonts w:ascii="Times New Roman" w:hAnsi="Times New Roman"/>
          <w:color w:val="000000"/>
          <w:sz w:val="20"/>
        </w:rPr>
        <w:t>submissions will need to ensure that the appropriate submission is received by the FDA before May 6, 2028. Other regulatory requirements will be gradually phased in beginning on May 6, 2025.</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 xml:space="preserve">Failure to comply with applicable requirements under the relevant timeframes could cause us to lose the ability to perform our tests, experience disruptions to our business, or become subject to administrative or judicial enforcement actions, which in turn may have an adverse impact on our business, financial condition, and results of operations. </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Legal challenges have been filed in federal district court over the agency’s authority to regulate LDTs as medical devices. On March 31, 2025, the U.S. District Court for the Eastern District of Texas struck down the FDA’s final rule, concluding that it exceeds FDA’s statutory jurisdiction, authority, or limitations. The final rule was vacated and remanded to FDA for further consideration based on the opinion, with the court stating that “[t]here is no likelihood that FDA can justify its decision on remand, given that the final rule exceeds its authority under the FDCA.” Congress has also considered legislation to establish a new comprehensive regulatory framework that would provide oversight over LDTs. The incoming Trump Administration may also reverse the final rule.</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Any new regulations or revisions or reinterpretations of existing regulations may impose additional costs or lengthen review times of planned or future diagnostic tests. It is impossible to predict whether legislative changes will be enacted or FDA regulations, guidance or interpretations changed, and what the impact of such changes, if any, may be.</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Any change in the laws or regulations that govern the clearance and approval processes relating to our current, planned and future diagnostic tests could make it more difficult and costly to obtain clearance or approval for new diagnostic tests or to produce, market and distribute existing diagnostic tests. Significant delays in receiving clearance or approval or the failure to receive clearance or approval for any new diagnostic tests would have an adverse effect on our ability to expand our business.</w:t>
      </w:r>
    </w:p>
    <w:p>
      <w:pPr>
        <w:pStyle w:val="TextBody"/>
        <w:bidi w:val="0"/>
        <w:jc w:val="both"/>
        <w:rPr>
          <w:rFonts w:ascii="Times New Roman" w:hAnsi="Times New Roman"/>
          <w:b/>
          <w:color w:val="000000"/>
          <w:sz w:val="20"/>
        </w:rPr>
      </w:pPr>
      <w:bookmarkStart w:id="15" w:name="item_2_unregistered_sales_equity_securit"/>
      <w:bookmarkEnd w:id="15"/>
      <w:r>
        <w:rPr>
          <w:rFonts w:ascii="Times New Roman" w:hAnsi="Times New Roman"/>
          <w:b/>
          <w:color w:val="000000"/>
          <w:sz w:val="20"/>
        </w:rPr>
        <w:t>Item 2. Unregistered Sales of Equity Securities and Use of Proceeds.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120" w:after="283"/>
        <w:jc w:val="both"/>
        <w:rPr>
          <w:rFonts w:ascii="Times New Roman" w:hAnsi="Times New Roman"/>
          <w:sz w:val="20"/>
        </w:rPr>
      </w:pPr>
      <w:bookmarkStart w:id="16" w:name="item_3_defaults_upon_senior_securities"/>
      <w:bookmarkEnd w:id="16"/>
      <w:r>
        <w:rPr>
          <w:rFonts w:ascii="Times New Roman" w:hAnsi="Times New Roman"/>
          <w:b/>
          <w:color w:val="000000"/>
          <w:sz w:val="20"/>
        </w:rPr>
        <w:t>Item 3. Defaults Upon</w:t>
      </w:r>
      <w:r>
        <w:rPr>
          <w:rFonts w:ascii="Times New Roman" w:hAnsi="Times New Roman"/>
          <w:color w:val="000000"/>
          <w:sz w:val="20"/>
        </w:rPr>
        <w:t xml:space="preserve"> </w:t>
      </w:r>
      <w:r>
        <w:rPr>
          <w:rFonts w:ascii="Times New Roman" w:hAnsi="Times New Roman"/>
          <w:b/>
          <w:color w:val="000000"/>
          <w:sz w:val="20"/>
        </w:rPr>
        <w:t>Senior Securities.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120" w:after="283"/>
        <w:jc w:val="both"/>
        <w:rPr>
          <w:rFonts w:ascii="Times New Roman" w:hAnsi="Times New Roman"/>
          <w:b/>
          <w:color w:val="000000"/>
          <w:sz w:val="20"/>
        </w:rPr>
      </w:pPr>
      <w:bookmarkStart w:id="17" w:name="item_4_mine_safety_disclosures"/>
      <w:bookmarkEnd w:id="17"/>
      <w:r>
        <w:rPr>
          <w:rFonts w:ascii="Times New Roman" w:hAnsi="Times New Roman"/>
          <w:b/>
          <w:color w:val="000000"/>
          <w:sz w:val="20"/>
        </w:rPr>
        <w:t>Item 4. Mine Safety Disclosures.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Not applicable.</w:t>
      </w:r>
    </w:p>
    <w:p>
      <w:pPr>
        <w:pStyle w:val="TextBody"/>
        <w:bidi w:val="0"/>
        <w:spacing w:before="120" w:after="283"/>
        <w:jc w:val="both"/>
        <w:rPr>
          <w:rFonts w:ascii="Times New Roman" w:hAnsi="Times New Roman"/>
          <w:sz w:val="20"/>
        </w:rPr>
      </w:pPr>
      <w:bookmarkStart w:id="18" w:name="item_5_or_information"/>
      <w:bookmarkEnd w:id="18"/>
      <w:r>
        <w:rPr>
          <w:rFonts w:ascii="Times New Roman" w:hAnsi="Times New Roman"/>
          <w:b/>
          <w:color w:val="000000"/>
          <w:sz w:val="20"/>
        </w:rPr>
        <w:t>Item 5. 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 of our directors or officers adopted, modified, or terminated a Rule 10b5-1 trading arrangement during the quarter ended March 31,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bookmarkStart w:id="19" w:name="item_6_exhibits"/>
      <w:bookmarkEnd w:id="19"/>
      <w:r>
        <w:rPr>
          <w:rFonts w:ascii="Times New Roman" w:hAnsi="Times New Roman"/>
          <w:b/>
          <w:color w:val="000000"/>
          <w:sz w:val="20"/>
        </w:rPr>
        <w:t>Item 6. Exhibits.</w:t>
      </w:r>
    </w:p>
    <w:p>
      <w:pPr>
        <w:pStyle w:val="TextBody"/>
        <w:bidi w:val="0"/>
        <w:spacing w:before="40" w:after="283"/>
        <w:jc w:val="both"/>
        <w:rPr/>
      </w:pPr>
      <w:r>
        <w:rPr/>
        <w:t> </w:t>
      </w:r>
    </w:p>
    <w:tbl>
      <w:tblPr>
        <w:tblW w:w="10205" w:type="dxa"/>
        <w:jc w:val="left"/>
        <w:tblInd w:w="0" w:type="dxa"/>
        <w:tblLayout w:type="fixed"/>
        <w:tblCellMar>
          <w:top w:w="28" w:type="dxa"/>
          <w:left w:w="28" w:type="dxa"/>
          <w:bottom w:w="28" w:type="dxa"/>
          <w:right w:w="28" w:type="dxa"/>
        </w:tblCellMar>
      </w:tblPr>
      <w:tblGrid>
        <w:gridCol w:w="835"/>
        <w:gridCol w:w="146"/>
        <w:gridCol w:w="9032"/>
        <w:gridCol w:w="192"/>
      </w:tblGrid>
      <w:tr>
        <w:trPr/>
        <w:tc>
          <w:tcPr>
            <w:tcW w:w="8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3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835" w:type="dxa"/>
            <w:tcBorders>
              <w:bottom w:val="single" w:sz="4"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8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2"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dsx-ex4_1.htm">
              <w:r>
                <w:rPr>
                  <w:rStyle w:val="InternetLink"/>
                  <w:rFonts w:ascii="Times New Roman" w:hAnsi="Times New Roman"/>
                  <w:color w:val="0000FF"/>
                  <w:sz w:val="20"/>
                  <w:u w:val="single"/>
                </w:rPr>
                <w:t>First Amendment to Warrant Certificate, dated May 12, 2025, issued by the Company to Perceptive Credit Holdings IV, LP.</w:t>
              </w:r>
            </w:hyperlink>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35"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4.2*</w:t>
            </w:r>
          </w:p>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dsx-ex4_2.htm">
              <w:r>
                <w:rPr>
                  <w:rStyle w:val="InternetLink"/>
                  <w:rFonts w:ascii="Times New Roman" w:hAnsi="Times New Roman"/>
                  <w:color w:val="0000FF"/>
                  <w:sz w:val="20"/>
                  <w:u w:val="single"/>
                </w:rPr>
                <w:t>Second Amendment to Warrant Certificate, dated May 12, 2025, issued by the Company to Perceptive Credit Holdings IV, LP.</w:t>
              </w:r>
            </w:hyperlink>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2"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2" w:type="dxa"/>
            <w:tcBorders/>
            <w:shd w:fill="FFFFFF" w:val="clear"/>
            <w:tcMar>
              <w:top w:w="0" w:type="dxa"/>
              <w:left w:w="0" w:type="dxa"/>
              <w:bottom w:w="0" w:type="dxa"/>
              <w:right w:w="0" w:type="dxa"/>
            </w:tcMar>
            <w:vAlign w:val="center"/>
          </w:tcPr>
          <w:p>
            <w:pPr>
              <w:pStyle w:val="TableContents"/>
              <w:bidi w:val="0"/>
              <w:spacing w:before="0" w:after="120"/>
              <w:jc w:val="both"/>
              <w:rPr/>
            </w:pPr>
            <w:hyperlink w:anchor="bdsx-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c>
          <w:tcPr>
            <w:tcW w:w="192" w:type="dxa"/>
            <w:vMerge w:val="restart"/>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8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2" w:type="dxa"/>
            <w:tcBorders/>
            <w:shd w:fill="FFFFFF" w:val="clear"/>
            <w:tcMar>
              <w:top w:w="0" w:type="dxa"/>
              <w:left w:w="0" w:type="dxa"/>
              <w:bottom w:w="0" w:type="dxa"/>
              <w:right w:w="0" w:type="dxa"/>
            </w:tcMar>
            <w:vAlign w:val="center"/>
          </w:tcPr>
          <w:p>
            <w:pPr>
              <w:pStyle w:val="TableContents"/>
              <w:bidi w:val="0"/>
              <w:spacing w:before="0" w:after="120"/>
              <w:jc w:val="both"/>
              <w:rPr/>
            </w:pPr>
            <w:hyperlink w:anchor="bdsx-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c>
          <w:tcPr>
            <w:tcW w:w="192" w:type="dxa"/>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8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8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2" w:type="dxa"/>
            <w:tcBorders/>
            <w:shd w:fill="FFFFFF" w:val="clear"/>
            <w:tcMar>
              <w:top w:w="0" w:type="dxa"/>
              <w:left w:w="0" w:type="dxa"/>
              <w:bottom w:w="0" w:type="dxa"/>
              <w:right w:w="0" w:type="dxa"/>
            </w:tcMar>
            <w:vAlign w:val="center"/>
          </w:tcPr>
          <w:p>
            <w:pPr>
              <w:pStyle w:val="TableContents"/>
              <w:bidi w:val="0"/>
              <w:spacing w:before="0" w:after="120"/>
              <w:jc w:val="both"/>
              <w:rPr/>
            </w:pPr>
            <w:hyperlink w:anchor="bdsx-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c>
          <w:tcPr>
            <w:tcW w:w="192" w:type="dxa"/>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8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8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2" w:type="dxa"/>
            <w:tcBorders/>
            <w:shd w:fill="FFFFFF" w:val="clear"/>
            <w:tcMar>
              <w:top w:w="0" w:type="dxa"/>
              <w:left w:w="0" w:type="dxa"/>
              <w:bottom w:w="0" w:type="dxa"/>
              <w:right w:w="0" w:type="dxa"/>
            </w:tcMar>
            <w:vAlign w:val="center"/>
          </w:tcPr>
          <w:p>
            <w:pPr>
              <w:pStyle w:val="TableContents"/>
              <w:bidi w:val="0"/>
              <w:spacing w:before="0" w:after="120"/>
              <w:jc w:val="both"/>
              <w:rPr/>
            </w:pPr>
            <w:hyperlink w:anchor="bdsx-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c>
          <w:tcPr>
            <w:tcW w:w="192" w:type="dxa"/>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8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8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c>
          <w:tcPr>
            <w:tcW w:w="192" w:type="dxa"/>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8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8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c>
          <w:tcPr>
            <w:tcW w:w="192" w:type="dxa"/>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8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8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c>
          <w:tcPr>
            <w:tcW w:w="192" w:type="dxa"/>
            <w:vMerge w:val="continue"/>
            <w:tcBorders/>
            <w:shd w:fill="FFFFFF" w:val="clear"/>
            <w:tcMar>
              <w:top w:w="0" w:type="dxa"/>
              <w:left w:w="0" w:type="dxa"/>
              <w:bottom w:w="0" w:type="dxa"/>
              <w:right w:w="0" w:type="dxa"/>
            </w:tcMar>
            <w:vAlign w:val="center"/>
          </w:tcPr>
          <w:p>
            <w:pPr>
              <w:pStyle w:val="Normal"/>
              <w:bidi w:val="0"/>
              <w:jc w:val="left"/>
              <w:rPr/>
            </w:pPr>
            <w:r>
              <w:rPr/>
            </w:r>
          </w:p>
        </w:tc>
      </w:tr>
    </w:tbl>
    <w:p>
      <w:pPr>
        <w:pStyle w:val="TextBody"/>
        <w:pBdr>
          <w:bottom w:val="single" w:sz="4" w:space="1" w:color="000000"/>
        </w:pBdr>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Filed herewith.</w:t>
      </w:r>
    </w:p>
    <w:p>
      <w:pPr>
        <w:pStyle w:val="TextBody"/>
        <w:bidi w:val="0"/>
        <w:jc w:val="both"/>
        <w:rPr>
          <w:rFonts w:ascii="Times New Roman" w:hAnsi="Times New Roman"/>
          <w:color w:val="000000"/>
          <w:sz w:val="20"/>
        </w:rPr>
      </w:pPr>
      <w:r>
        <w:rPr>
          <w:rFonts w:ascii="Times New Roman" w:hAnsi="Times New Roman"/>
          <w:color w:val="000000"/>
          <w:sz w:val="20"/>
        </w:rPr>
        <w:t>** Furnished herewith.</w:t>
      </w:r>
    </w:p>
    <w:p>
      <w:pPr>
        <w:pStyle w:val="TextBody"/>
        <w:bidi w:val="0"/>
        <w:jc w:val="both"/>
        <w:rPr>
          <w:rFonts w:ascii="Times New Roman" w:hAnsi="Times New Roman"/>
          <w:color w:val="000000"/>
          <w:sz w:val="20"/>
        </w:rPr>
      </w:pPr>
      <w:r>
        <w:rPr>
          <w:rFonts w:ascii="Times New Roman" w:hAnsi="Times New Roman"/>
          <w:color w:val="000000"/>
          <w:sz w:val="20"/>
        </w:rPr>
        <w:t>*** Previously filed.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0" w:name="signatures"/>
      <w:bookmarkEnd w:id="20"/>
      <w:r>
        <w:rPr>
          <w:rFonts w:ascii="Times New Roman" w:hAnsi="Times New Roman"/>
          <w:b/>
          <w:color w:val="000000"/>
          <w:sz w:val="20"/>
        </w:rPr>
        <w:t>SIGNATURE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5219" w:type="dxa"/>
        <w:jc w:val="left"/>
        <w:tblInd w:w="0" w:type="dxa"/>
        <w:tblLayout w:type="fixed"/>
        <w:tblCellMar>
          <w:top w:w="28" w:type="dxa"/>
          <w:left w:w="28" w:type="dxa"/>
          <w:bottom w:w="28" w:type="dxa"/>
          <w:right w:w="28" w:type="dxa"/>
        </w:tblCellMar>
      </w:tblPr>
      <w:tblGrid>
        <w:gridCol w:w="1786"/>
        <w:gridCol w:w="146"/>
        <w:gridCol w:w="406"/>
        <w:gridCol w:w="2881"/>
      </w:tblGrid>
      <w:tr>
        <w:trPr/>
        <w:tc>
          <w:tcPr>
            <w:tcW w:w="1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Biodesix, Inc.</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Date: May 13, 2025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88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CHRISTOPHER C. VAZQUEZ</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Christopher C. Vazquez</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Chief Accounting Officer</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Accounting Officer)</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spacing w:before="120" w:after="283"/>
        <w:jc w:val="right"/>
        <w:rPr>
          <w:rFonts w:ascii="Times New Roman" w:hAnsi="Times New Roman"/>
          <w:b/>
          <w:color w:val="000000"/>
          <w:sz w:val="20"/>
        </w:rPr>
      </w:pPr>
      <w:bookmarkStart w:id="21" w:name="bdsx-ex4_1.htm"/>
      <w:bookmarkStart w:id="22" w:name="ksbdsxex4_1"/>
      <w:bookmarkEnd w:id="21"/>
      <w:bookmarkEnd w:id="22"/>
      <w:r>
        <w:rPr>
          <w:rFonts w:ascii="Times New Roman" w:hAnsi="Times New Roman"/>
          <w:b/>
          <w:color w:val="000000"/>
          <w:sz w:val="20"/>
        </w:rPr>
        <w:t>Exhibit 4.1</w:t>
      </w:r>
      <w:r>
        <w:br w:type="page"/>
      </w:r>
    </w:p>
    <w:p>
      <w:pPr>
        <w:pStyle w:val="TextBody"/>
        <w:bidi w:val="0"/>
        <w:jc w:val="both"/>
        <w:rPr/>
      </w:pPr>
      <w:r>
        <w:rPr/>
        <w:t> </w:t>
      </w:r>
    </w:p>
    <w:p>
      <w:pPr>
        <w:pStyle w:val="TextBody"/>
        <w:bidi w:val="0"/>
        <w:spacing w:before="0" w:after="280"/>
        <w:jc w:val="center"/>
        <w:rPr>
          <w:rFonts w:ascii="Times New Roman" w:hAnsi="Times New Roman"/>
          <w:smallCaps/>
          <w:color w:val="000000"/>
          <w:sz w:val="23"/>
        </w:rPr>
      </w:pPr>
      <w:r>
        <w:rPr>
          <w:rFonts w:ascii="Times New Roman" w:hAnsi="Times New Roman"/>
          <w:smallCaps/>
          <w:color w:val="000000"/>
          <w:sz w:val="23"/>
        </w:rPr>
        <w:t>First Amendment to Warrant Certificate</w:t>
      </w:r>
    </w:p>
    <w:p>
      <w:pPr>
        <w:pStyle w:val="TextBody"/>
        <w:bidi w:val="0"/>
        <w:spacing w:before="0" w:after="240"/>
        <w:jc w:val="both"/>
        <w:rPr>
          <w:rFonts w:ascii="Times New Roman" w:hAnsi="Times New Roman"/>
          <w:sz w:val="20"/>
        </w:rPr>
      </w:pPr>
      <w:r>
        <w:rPr>
          <w:rFonts w:ascii="Times New Roman" w:hAnsi="Times New Roman"/>
          <w:color w:val="000000"/>
          <w:sz w:val="23"/>
        </w:rPr>
        <w:t xml:space="preserve">This First Amendment to Warrant Certificate, dated as of May 12, 2025 (this </w:t>
      </w:r>
      <w:r>
        <w:rPr>
          <w:rFonts w:ascii="Times New Roman" w:hAnsi="Times New Roman"/>
          <w:color w:val="000000"/>
          <w:sz w:val="20"/>
        </w:rPr>
        <w:t>“</w:t>
      </w:r>
      <w:r>
        <w:rPr>
          <w:rFonts w:ascii="Times New Roman" w:hAnsi="Times New Roman"/>
          <w:i/>
          <w:color w:val="000000"/>
          <w:sz w:val="23"/>
        </w:rPr>
        <w:t>Amendment”</w:t>
      </w:r>
      <w:r>
        <w:rPr>
          <w:rFonts w:ascii="Times New Roman" w:hAnsi="Times New Roman"/>
          <w:color w:val="000000"/>
          <w:sz w:val="23"/>
        </w:rPr>
        <w:t xml:space="preserve">), is entered into by and among </w:t>
      </w:r>
      <w:r>
        <w:rPr>
          <w:rFonts w:ascii="Times New Roman" w:hAnsi="Times New Roman"/>
          <w:smallCaps/>
          <w:color w:val="000000"/>
          <w:sz w:val="23"/>
        </w:rPr>
        <w:t xml:space="preserve">Biodesix, Inc. </w:t>
      </w:r>
      <w:r>
        <w:rPr>
          <w:rFonts w:ascii="Times New Roman" w:hAnsi="Times New Roman"/>
          <w:color w:val="000000"/>
          <w:sz w:val="23"/>
        </w:rPr>
        <w:t>a Delaware corporation (the “</w:t>
      </w:r>
      <w:r>
        <w:rPr>
          <w:rFonts w:ascii="Times New Roman" w:hAnsi="Times New Roman"/>
          <w:i/>
          <w:color w:val="000000"/>
          <w:sz w:val="23"/>
        </w:rPr>
        <w:t>Company</w:t>
      </w:r>
      <w:r>
        <w:rPr>
          <w:rFonts w:ascii="Times New Roman" w:hAnsi="Times New Roman"/>
          <w:color w:val="000000"/>
          <w:sz w:val="20"/>
        </w:rPr>
        <w:t>”</w:t>
      </w:r>
      <w:r>
        <w:rPr>
          <w:rFonts w:ascii="Times New Roman" w:hAnsi="Times New Roman"/>
          <w:color w:val="000000"/>
          <w:sz w:val="23"/>
        </w:rPr>
        <w:t xml:space="preserve">) and </w:t>
      </w:r>
      <w:r>
        <w:rPr>
          <w:rFonts w:ascii="Times New Roman" w:hAnsi="Times New Roman"/>
          <w:smallCaps/>
          <w:color w:val="000000"/>
          <w:sz w:val="23"/>
        </w:rPr>
        <w:t>Perceptive Credit Holdings IV, LP,</w:t>
      </w:r>
      <w:r>
        <w:rPr>
          <w:rFonts w:ascii="Times New Roman" w:hAnsi="Times New Roman"/>
          <w:color w:val="000000"/>
          <w:sz w:val="20"/>
        </w:rPr>
        <w:t xml:space="preserve"> </w:t>
      </w:r>
      <w:r>
        <w:rPr>
          <w:rFonts w:ascii="Times New Roman" w:hAnsi="Times New Roman"/>
          <w:color w:val="000000"/>
          <w:sz w:val="23"/>
        </w:rPr>
        <w:t>a Delaware limited partnership (the “</w:t>
      </w:r>
      <w:r>
        <w:rPr>
          <w:rFonts w:ascii="Times New Roman" w:hAnsi="Times New Roman"/>
          <w:i/>
          <w:color w:val="000000"/>
          <w:sz w:val="23"/>
        </w:rPr>
        <w:t>Holder</w:t>
      </w:r>
      <w:r>
        <w:rPr>
          <w:rFonts w:ascii="Times New Roman" w:hAnsi="Times New Roman"/>
          <w:color w:val="000000"/>
          <w:sz w:val="20"/>
        </w:rPr>
        <w:t>”</w:t>
      </w:r>
      <w:r>
        <w:rPr>
          <w:rFonts w:ascii="Times New Roman" w:hAnsi="Times New Roman"/>
          <w:color w:val="000000"/>
          <w:sz w:val="23"/>
        </w:rPr>
        <w:t>).</w:t>
      </w:r>
      <w:r>
        <w:rPr>
          <w:rFonts w:ascii="Times New Roman" w:hAnsi="Times New Roman"/>
          <w:color w:val="000000"/>
          <w:sz w:val="20"/>
        </w:rPr>
        <w:t xml:space="preserve"> </w:t>
      </w:r>
    </w:p>
    <w:p>
      <w:pPr>
        <w:pStyle w:val="TextBody"/>
        <w:bidi w:val="0"/>
        <w:spacing w:before="0" w:after="280"/>
        <w:jc w:val="center"/>
        <w:rPr>
          <w:rFonts w:ascii="Times New Roman" w:hAnsi="Times New Roman"/>
          <w:smallCaps/>
          <w:color w:val="000000"/>
          <w:sz w:val="23"/>
        </w:rPr>
      </w:pPr>
      <w:r>
        <w:rPr>
          <w:rFonts w:ascii="Times New Roman" w:hAnsi="Times New Roman"/>
          <w:smallCaps/>
          <w:color w:val="000000"/>
          <w:sz w:val="23"/>
        </w:rPr>
        <w:t>Recitals</w:t>
      </w:r>
    </w:p>
    <w:p>
      <w:pPr>
        <w:pStyle w:val="TextBody"/>
        <w:bidi w:val="0"/>
        <w:spacing w:before="0" w:after="240"/>
        <w:jc w:val="both"/>
        <w:rPr>
          <w:rFonts w:ascii="Times New Roman" w:hAnsi="Times New Roman"/>
          <w:sz w:val="20"/>
        </w:rPr>
      </w:pPr>
      <w:r>
        <w:rPr>
          <w:rFonts w:ascii="Times New Roman" w:hAnsi="Times New Roman"/>
          <w:smallCaps/>
          <w:color w:val="000000"/>
          <w:sz w:val="23"/>
        </w:rPr>
        <w:t>Whereas</w:t>
      </w:r>
      <w:r>
        <w:rPr>
          <w:rFonts w:ascii="Times New Roman" w:hAnsi="Times New Roman"/>
          <w:color w:val="000000"/>
          <w:sz w:val="23"/>
        </w:rPr>
        <w:t>, the Company issued to the Holder that certain Warrant Certificate, dated as of May 10, 2023, as amended by this Amendment (the “</w:t>
      </w:r>
      <w:r>
        <w:rPr>
          <w:rFonts w:ascii="Times New Roman" w:hAnsi="Times New Roman"/>
          <w:i/>
          <w:color w:val="000000"/>
          <w:sz w:val="23"/>
        </w:rPr>
        <w:t>Warrant</w:t>
      </w:r>
      <w:r>
        <w:rPr>
          <w:rFonts w:ascii="Times New Roman" w:hAnsi="Times New Roman"/>
          <w:color w:val="000000"/>
          <w:sz w:val="20"/>
        </w:rPr>
        <w:t>”</w:t>
      </w:r>
      <w:r>
        <w:rPr>
          <w:rFonts w:ascii="Times New Roman" w:hAnsi="Times New Roman"/>
          <w:color w:val="000000"/>
          <w:sz w:val="23"/>
        </w:rPr>
        <w:t>). Capitalized terms used herein but not otherwise defined herein shall have the meanings ascribed thereto in the Warrant.</w:t>
      </w:r>
    </w:p>
    <w:p>
      <w:pPr>
        <w:pStyle w:val="TextBody"/>
        <w:bidi w:val="0"/>
        <w:spacing w:before="0" w:after="240"/>
        <w:jc w:val="both"/>
        <w:rPr>
          <w:rFonts w:ascii="Times New Roman" w:hAnsi="Times New Roman"/>
          <w:sz w:val="20"/>
        </w:rPr>
      </w:pPr>
      <w:r>
        <w:rPr>
          <w:rFonts w:ascii="Times New Roman" w:hAnsi="Times New Roman"/>
          <w:smallCaps/>
          <w:color w:val="000000"/>
          <w:sz w:val="23"/>
        </w:rPr>
        <w:t xml:space="preserve">Whereas, </w:t>
      </w:r>
      <w:r>
        <w:rPr>
          <w:rFonts w:ascii="Times New Roman" w:hAnsi="Times New Roman"/>
          <w:color w:val="000000"/>
          <w:sz w:val="24"/>
        </w:rPr>
        <w:t>following that certain Fifth Amendment to Credit Agreement and Guaranty, dated as of February 28, 2025, by and among the Company, as borrower, the lenders party thereto, and Holder, as administrative agent for the lenders, the Company and the Holder have agreed to amend certain provisions of the Warrant.</w:t>
      </w:r>
    </w:p>
    <w:p>
      <w:pPr>
        <w:pStyle w:val="TextBody"/>
        <w:bidi w:val="0"/>
        <w:spacing w:before="0" w:after="240"/>
        <w:jc w:val="both"/>
        <w:rPr>
          <w:rFonts w:ascii="Times New Roman" w:hAnsi="Times New Roman"/>
          <w:sz w:val="20"/>
        </w:rPr>
      </w:pPr>
      <w:r>
        <w:rPr>
          <w:rFonts w:ascii="Times New Roman" w:hAnsi="Times New Roman"/>
          <w:smallCaps/>
          <w:color w:val="000000"/>
          <w:sz w:val="23"/>
        </w:rPr>
        <w:t>Whereas</w:t>
      </w:r>
      <w:r>
        <w:rPr>
          <w:rFonts w:ascii="Times New Roman" w:hAnsi="Times New Roman"/>
          <w:color w:val="000000"/>
          <w:sz w:val="23"/>
        </w:rPr>
        <w:t>, the Company and the Holder are willing to make such amendments to the Warrant as are further described herein, in accordance with and subject to the terms and conditions of this Amendment.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smallCaps/>
          <w:color w:val="000000"/>
          <w:sz w:val="23"/>
        </w:rPr>
        <w:t>Now, Therefore</w:t>
      </w:r>
      <w:r>
        <w:rPr>
          <w:rFonts w:ascii="Times New Roman" w:hAnsi="Times New Roman"/>
          <w:color w:val="000000"/>
          <w:sz w:val="23"/>
        </w:rPr>
        <w:t>, in consideration of the premises and the mutual covenants and the agreements herein set forth, and other good and valuable consideration, the receipt and sufficiency of which are hereby acknowledged, the parties hereto, intending to be legally bound, agree as follows:</w:t>
      </w:r>
    </w:p>
    <w:p>
      <w:pPr>
        <w:pStyle w:val="TextBody"/>
        <w:bidi w:val="0"/>
        <w:spacing w:before="0" w:after="240"/>
        <w:jc w:val="both"/>
        <w:rPr>
          <w:rFonts w:ascii="Times New Roman" w:hAnsi="Times New Roman"/>
          <w:color w:val="000000"/>
          <w:sz w:val="23"/>
        </w:rPr>
      </w:pPr>
      <w:r>
        <w:rPr>
          <w:rFonts w:ascii="Times New Roman" w:hAnsi="Times New Roman"/>
          <w:color w:val="000000"/>
          <w:sz w:val="23"/>
        </w:rPr>
        <w:t>1</w:t>
      </w:r>
    </w:p>
    <w:p>
      <w:pPr>
        <w:pStyle w:val="TextBody"/>
        <w:bidi w:val="0"/>
        <w:spacing w:before="0" w:after="240"/>
        <w:jc w:val="both"/>
        <w:rPr/>
      </w:pPr>
      <w:r>
        <w:rPr>
          <w:rFonts w:ascii="Times New Roman" w:hAnsi="Times New Roman"/>
          <w:b/>
          <w:color w:val="000000"/>
          <w:sz w:val="23"/>
        </w:rPr>
        <w:t>Amendment</w:t>
      </w:r>
      <w:r>
        <w:rPr>
          <w:color w:val="000000"/>
        </w:rPr>
        <w:t xml:space="preserve"> </w:t>
      </w:r>
      <w:r>
        <w:rPr>
          <w:rFonts w:ascii="Times New Roman" w:hAnsi="Times New Roman"/>
          <w:b/>
          <w:color w:val="000000"/>
          <w:sz w:val="23"/>
        </w:rPr>
        <w:t>to Warrant</w:t>
      </w:r>
      <w:r>
        <w:rPr>
          <w:rFonts w:ascii="Times New Roman" w:hAnsi="Times New Roman"/>
          <w:color w:val="000000"/>
          <w:sz w:val="23"/>
        </w:rPr>
        <w:t xml:space="preserve">. </w:t>
      </w:r>
    </w:p>
    <w:p>
      <w:pPr>
        <w:pStyle w:val="TextBody"/>
        <w:bidi w:val="0"/>
        <w:spacing w:before="0" w:after="240"/>
        <w:jc w:val="both"/>
        <w:rPr>
          <w:rFonts w:ascii="Times New Roman" w:hAnsi="Times New Roman"/>
          <w:color w:val="000000"/>
          <w:sz w:val="23"/>
        </w:rPr>
      </w:pPr>
      <w:r>
        <w:rPr>
          <w:rFonts w:ascii="Times New Roman" w:hAnsi="Times New Roman"/>
          <w:color w:val="000000"/>
          <w:sz w:val="23"/>
        </w:rPr>
        <w:t>1.1</w:t>
      </w:r>
    </w:p>
    <w:p>
      <w:pPr>
        <w:pStyle w:val="TextBody"/>
        <w:bidi w:val="0"/>
        <w:spacing w:before="0" w:after="240"/>
        <w:jc w:val="both"/>
        <w:rPr>
          <w:rFonts w:ascii="Times New Roman" w:hAnsi="Times New Roman"/>
          <w:color w:val="000000"/>
          <w:sz w:val="23"/>
        </w:rPr>
      </w:pPr>
      <w:r>
        <w:rPr>
          <w:rFonts w:ascii="Times New Roman" w:hAnsi="Times New Roman"/>
          <w:color w:val="000000"/>
          <w:sz w:val="23"/>
        </w:rPr>
        <w:t xml:space="preserve">The definition of “Exercise Price” set forth in Section 1 of the Warrant is hereby amended to state in its entirety to read as follows: </w:t>
      </w:r>
    </w:p>
    <w:p>
      <w:pPr>
        <w:pStyle w:val="TextBody"/>
        <w:bidi w:val="0"/>
        <w:spacing w:before="0" w:after="240"/>
        <w:jc w:val="both"/>
        <w:rPr>
          <w:color w:val="000000"/>
        </w:rPr>
      </w:pPr>
      <w:r>
        <w:rPr>
          <w:color w:val="000000"/>
        </w:rPr>
        <w:t>“</w:t>
      </w:r>
      <w:r>
        <w:rPr>
          <w:rFonts w:ascii="Times New Roman" w:hAnsi="Times New Roman"/>
          <w:i/>
          <w:color w:val="000000"/>
          <w:sz w:val="24"/>
        </w:rPr>
        <w:t>Exercise Price” means $0.4191.</w:t>
      </w:r>
    </w:p>
    <w:p>
      <w:pPr>
        <w:pStyle w:val="TextBody"/>
        <w:bidi w:val="0"/>
        <w:spacing w:before="0" w:after="240"/>
        <w:jc w:val="both"/>
        <w:rPr>
          <w:rFonts w:ascii="Times New Roman" w:hAnsi="Times New Roman"/>
          <w:color w:val="000000"/>
          <w:sz w:val="23"/>
        </w:rPr>
      </w:pPr>
      <w:r>
        <w:rPr>
          <w:rFonts w:ascii="Times New Roman" w:hAnsi="Times New Roman"/>
          <w:color w:val="000000"/>
          <w:sz w:val="23"/>
        </w:rPr>
        <w:t>2</w:t>
      </w:r>
    </w:p>
    <w:p>
      <w:pPr>
        <w:pStyle w:val="TextBody"/>
        <w:bidi w:val="0"/>
        <w:spacing w:before="0" w:after="240"/>
        <w:jc w:val="both"/>
        <w:rPr/>
      </w:pPr>
      <w:r>
        <w:rPr>
          <w:rFonts w:ascii="Times New Roman" w:hAnsi="Times New Roman"/>
          <w:b/>
          <w:color w:val="000000"/>
          <w:sz w:val="23"/>
        </w:rPr>
        <w:t xml:space="preserve">Effect of Amendment. </w:t>
      </w:r>
      <w:r>
        <w:rPr>
          <w:rFonts w:ascii="Times New Roman" w:hAnsi="Times New Roman"/>
          <w:color w:val="000000"/>
          <w:sz w:val="23"/>
        </w:rPr>
        <w:t>On and after the date hereof, each reference in the Warrant to “this Warrant”, “hereunder”, “hereof”, “herein” or words of like import referring to the Warrant, shall mean and be a reference to the Warrant after giving effect to this Amendment. Except as specifically set forth in this Amendment, the Warrant remains in full force and effect and is hereby ratified and confirmed.</w:t>
      </w:r>
    </w:p>
    <w:p>
      <w:pPr>
        <w:pStyle w:val="TextBody"/>
        <w:bidi w:val="0"/>
        <w:spacing w:before="0" w:after="240"/>
        <w:jc w:val="both"/>
        <w:rPr>
          <w:rFonts w:ascii="Times New Roman" w:hAnsi="Times New Roman"/>
          <w:color w:val="000000"/>
          <w:sz w:val="23"/>
        </w:rPr>
      </w:pPr>
      <w:r>
        <w:rPr>
          <w:rFonts w:ascii="Times New Roman" w:hAnsi="Times New Roman"/>
          <w:color w:val="000000"/>
          <w:sz w:val="23"/>
        </w:rPr>
        <w:t>3</w:t>
      </w:r>
    </w:p>
    <w:p>
      <w:pPr>
        <w:pStyle w:val="TextBody"/>
        <w:bidi w:val="0"/>
        <w:spacing w:before="0" w:after="240"/>
        <w:jc w:val="both"/>
        <w:rPr/>
      </w:pPr>
      <w:r>
        <w:rPr>
          <w:rFonts w:ascii="Times New Roman" w:hAnsi="Times New Roman"/>
          <w:b/>
          <w:color w:val="000000"/>
          <w:sz w:val="23"/>
        </w:rPr>
        <w:t xml:space="preserve">Governing Law. </w:t>
      </w:r>
      <w:r>
        <w:rPr>
          <w:rFonts w:ascii="Times New Roman" w:hAnsi="Times New Roman"/>
          <w:color w:val="000000"/>
          <w:sz w:val="23"/>
        </w:rPr>
        <w:t>This Amendment, and all questions concerning the construction, validity, enforcement and interpretation of the Amendment, shall be governed by and construed and enforced in accordance with the internal laws of the State of New York.</w:t>
      </w:r>
    </w:p>
    <w:p>
      <w:pPr>
        <w:pStyle w:val="TextBody"/>
        <w:bidi w:val="0"/>
        <w:spacing w:before="0" w:after="240"/>
        <w:jc w:val="both"/>
        <w:rPr>
          <w:rFonts w:ascii="Times New Roman" w:hAnsi="Times New Roman"/>
          <w:color w:val="000000"/>
          <w:sz w:val="23"/>
        </w:rPr>
      </w:pPr>
      <w:r>
        <w:rPr>
          <w:rFonts w:ascii="Times New Roman" w:hAnsi="Times New Roman"/>
          <w:color w:val="000000"/>
          <w:sz w:val="23"/>
        </w:rPr>
        <w:t>4</w:t>
      </w:r>
    </w:p>
    <w:p>
      <w:pPr>
        <w:pStyle w:val="TextBody"/>
        <w:bidi w:val="0"/>
        <w:spacing w:before="0" w:after="240"/>
        <w:jc w:val="both"/>
        <w:rPr/>
      </w:pPr>
      <w:r>
        <w:rPr>
          <w:rFonts w:ascii="Times New Roman" w:hAnsi="Times New Roman"/>
          <w:b/>
          <w:color w:val="000000"/>
          <w:sz w:val="23"/>
        </w:rPr>
        <w:t>Counterparts.</w:t>
      </w:r>
      <w:r>
        <w:rPr>
          <w:color w:val="000000"/>
        </w:rPr>
        <w:t xml:space="preserve"> </w:t>
      </w:r>
      <w:r>
        <w:rPr>
          <w:rFonts w:ascii="Times New Roman" w:hAnsi="Times New Roman"/>
          <w:color w:val="000000"/>
          <w:sz w:val="23"/>
        </w:rPr>
        <w:t>This Amendment may be executed in any number of counterparts and by different parties on separate counterparts, each of which, when executed and delivered, shall be deemed to be an original, and all of which, when taken together, shall constitute but one and the same Amendment. Delivery of an executed counterpart of this Amendment by facsimile, DocuSign or a scanned copy by electronic mail shall be equally as effective as delivery of an original executed counterpart of this Amendment.</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3"/>
        </w:rPr>
      </w:pPr>
      <w:r>
        <w:rPr>
          <w:rFonts w:ascii="Times New Roman" w:hAnsi="Times New Roman"/>
          <w:color w:val="000000"/>
          <w:sz w:val="23"/>
        </w:rPr>
        <w:t>5</w:t>
      </w:r>
    </w:p>
    <w:p>
      <w:pPr>
        <w:pStyle w:val="TextBody"/>
        <w:bidi w:val="0"/>
        <w:spacing w:before="0" w:after="240"/>
        <w:jc w:val="both"/>
        <w:rPr/>
      </w:pPr>
      <w:r>
        <w:rPr>
          <w:rFonts w:ascii="Times New Roman" w:hAnsi="Times New Roman"/>
          <w:b/>
          <w:color w:val="000000"/>
          <w:sz w:val="23"/>
        </w:rPr>
        <w:t>Binding Effect.</w:t>
      </w:r>
      <w:r>
        <w:rPr>
          <w:color w:val="000000"/>
        </w:rPr>
        <w:t xml:space="preserve"> </w:t>
      </w:r>
      <w:r>
        <w:rPr>
          <w:rFonts w:ascii="Times New Roman" w:hAnsi="Times New Roman"/>
          <w:color w:val="000000"/>
          <w:sz w:val="23"/>
        </w:rPr>
        <w:t xml:space="preserve">This Amendment will be binding upon and inure to the benefit of and is enforceable by the respective successors and permitted assigns of the parties hereto. </w:t>
      </w:r>
    </w:p>
    <w:p>
      <w:pPr>
        <w:pStyle w:val="TextBody"/>
        <w:bidi w:val="0"/>
        <w:spacing w:before="0" w:after="240"/>
        <w:jc w:val="both"/>
        <w:rPr>
          <w:rFonts w:ascii="Times New Roman" w:hAnsi="Times New Roman"/>
          <w:color w:val="000000"/>
          <w:sz w:val="23"/>
        </w:rPr>
      </w:pPr>
      <w:r>
        <w:rPr>
          <w:rFonts w:ascii="Times New Roman" w:hAnsi="Times New Roman"/>
          <w:color w:val="000000"/>
          <w:sz w:val="23"/>
        </w:rPr>
        <w:t>6</w:t>
      </w:r>
    </w:p>
    <w:p>
      <w:pPr>
        <w:pStyle w:val="TextBody"/>
        <w:bidi w:val="0"/>
        <w:spacing w:before="0" w:after="240"/>
        <w:jc w:val="both"/>
        <w:rPr/>
      </w:pPr>
      <w:r>
        <w:rPr>
          <w:rFonts w:ascii="Times New Roman" w:hAnsi="Times New Roman"/>
          <w:b/>
          <w:color w:val="000000"/>
          <w:sz w:val="23"/>
        </w:rPr>
        <w:t>Incorporation By Reference</w:t>
      </w:r>
      <w:r>
        <w:rPr>
          <w:rFonts w:ascii="Times New Roman" w:hAnsi="Times New Roman"/>
          <w:color w:val="000000"/>
          <w:sz w:val="23"/>
        </w:rPr>
        <w:t xml:space="preserve">. The provisions set forth in Sections 23 (Submission to Jurisdiction) and 24 (Waiver of Jury Trial) of the Warrant shall apply to this Amendment in all respects. </w:t>
      </w:r>
    </w:p>
    <w:p>
      <w:pPr>
        <w:pStyle w:val="TextBody"/>
        <w:bidi w:val="0"/>
        <w:jc w:val="left"/>
        <w:rPr/>
      </w:pPr>
      <w:r>
        <w:rPr/>
        <w:t> </w:t>
      </w:r>
    </w:p>
    <w:p>
      <w:pPr>
        <w:pStyle w:val="TextBody"/>
        <w:bidi w:val="0"/>
        <w:jc w:val="center"/>
        <w:rPr>
          <w:rFonts w:ascii="Times New Roman" w:hAnsi="Times New Roman"/>
          <w:i/>
          <w:color w:val="000000"/>
          <w:sz w:val="23"/>
        </w:rPr>
      </w:pPr>
      <w:r>
        <w:rPr>
          <w:rFonts w:ascii="Times New Roman" w:hAnsi="Times New Roman"/>
          <w:i/>
          <w:color w:val="000000"/>
          <w:sz w:val="23"/>
        </w:rPr>
        <w:t>[Remainder of page intentionally left blank; signatures on following pages]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IN WITNESS WHEREOF, the Company and Holder have duly executed this Amendment as of the date first written above.</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4"/>
        </w:rPr>
        <w:t xml:space="preserve">COMPANY: BIODESIX, INC., </w:t>
      </w:r>
      <w:r>
        <w:rPr>
          <w:rFonts w:ascii="Times New Roman" w:hAnsi="Times New Roman"/>
          <w:color w:val="000000"/>
          <w:sz w:val="24"/>
        </w:rPr>
        <w:t>a Delaware corporation</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tbl>
      <w:tblPr>
        <w:tblW w:w="4203" w:type="dxa"/>
        <w:jc w:val="left"/>
        <w:tblInd w:w="0" w:type="dxa"/>
        <w:tblLayout w:type="fixed"/>
        <w:tblCellMar>
          <w:top w:w="28" w:type="dxa"/>
          <w:left w:w="28" w:type="dxa"/>
          <w:bottom w:w="28" w:type="dxa"/>
          <w:right w:w="28" w:type="dxa"/>
        </w:tblCellMar>
      </w:tblPr>
      <w:tblGrid>
        <w:gridCol w:w="1741"/>
        <w:gridCol w:w="406"/>
        <w:gridCol w:w="2056"/>
      </w:tblGrid>
      <w:tr>
        <w:trPr/>
        <w:tc>
          <w:tcPr>
            <w:tcW w:w="174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13, 2025</w:t>
            </w:r>
          </w:p>
        </w:tc>
        <w:tc>
          <w:tcPr>
            <w:tcW w:w="4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By:</w:t>
            </w:r>
          </w:p>
        </w:tc>
        <w:tc>
          <w:tcPr>
            <w:tcW w:w="20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Robin Harper Cowie</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056" w:type="dxa"/>
            <w:tcBorders>
              <w:top w:val="single" w:sz="8" w:space="0" w:color="000000"/>
            </w:tcBorders>
            <w:tcMar>
              <w:top w:w="4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Robin Harper Cowie</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0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4"/>
        </w:rPr>
        <w:t>HOLDER: PERCEPTIVE CREDIT HOLDINGS IV, LP</w:t>
      </w:r>
      <w:r>
        <w:rPr>
          <w:rFonts w:ascii="Times New Roman" w:hAnsi="Times New Roman"/>
          <w:color w:val="000000"/>
          <w:sz w:val="24"/>
        </w:rPr>
        <w:t>,</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color w:val="000000"/>
          <w:sz w:val="24"/>
        </w:rPr>
        <w:t>a Delaware limited partnership</w:t>
      </w:r>
      <w:r>
        <w:rPr>
          <w:rFonts w:ascii="Times New Roman" w:hAnsi="Times New Roman"/>
          <w:color w:val="000000"/>
          <w:sz w:val="20"/>
        </w:rPr>
        <w:t xml:space="preserve"> </w:t>
      </w:r>
    </w:p>
    <w:p>
      <w:pPr>
        <w:pStyle w:val="TextBody"/>
        <w:bidi w:val="0"/>
        <w:jc w:val="center"/>
        <w:rPr/>
      </w:pPr>
      <w:r>
        <w:rPr/>
        <w:t> </w:t>
      </w:r>
    </w:p>
    <w:p>
      <w:pPr>
        <w:pStyle w:val="TextBody"/>
        <w:bidi w:val="0"/>
        <w:jc w:val="right"/>
        <w:rPr>
          <w:rFonts w:ascii="Times New Roman" w:hAnsi="Times New Roman"/>
          <w:color w:val="000000"/>
          <w:sz w:val="24"/>
        </w:rPr>
      </w:pPr>
      <w:r>
        <w:rPr>
          <w:rFonts w:ascii="Times New Roman" w:hAnsi="Times New Roman"/>
          <w:color w:val="000000"/>
          <w:sz w:val="24"/>
        </w:rPr>
        <w:t>By: Perceptive Credit Opportunities GP, LLC, its general partner</w:t>
      </w:r>
    </w:p>
    <w:p>
      <w:pPr>
        <w:pStyle w:val="TextBody"/>
        <w:bidi w:val="0"/>
        <w:jc w:val="right"/>
        <w:rPr/>
      </w:pPr>
      <w:r>
        <w:rPr/>
        <w:t> </w:t>
      </w:r>
    </w:p>
    <w:p>
      <w:pPr>
        <w:pStyle w:val="TextBody"/>
        <w:bidi w:val="0"/>
        <w:jc w:val="right"/>
        <w:rPr/>
      </w:pPr>
      <w:r>
        <w:rPr/>
        <w:t> </w:t>
      </w:r>
    </w:p>
    <w:tbl>
      <w:tblPr>
        <w:tblW w:w="3903" w:type="dxa"/>
        <w:jc w:val="left"/>
        <w:tblInd w:w="0" w:type="dxa"/>
        <w:tblLayout w:type="fixed"/>
        <w:tblCellMar>
          <w:top w:w="28" w:type="dxa"/>
          <w:left w:w="28" w:type="dxa"/>
          <w:bottom w:w="28" w:type="dxa"/>
          <w:right w:w="28" w:type="dxa"/>
        </w:tblCellMar>
      </w:tblPr>
      <w:tblGrid>
        <w:gridCol w:w="1741"/>
        <w:gridCol w:w="406"/>
        <w:gridCol w:w="1756"/>
      </w:tblGrid>
      <w:tr>
        <w:trPr/>
        <w:tc>
          <w:tcPr>
            <w:tcW w:w="174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756" w:type="dxa"/>
            <w:tcBorders/>
            <w:vAlign w:val="center"/>
          </w:tcPr>
          <w:p>
            <w:pPr>
              <w:pStyle w:val="TableContents"/>
              <w:bidi w:val="0"/>
              <w:spacing w:before="0" w:after="283"/>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13, 2025</w:t>
            </w:r>
          </w:p>
        </w:tc>
        <w:tc>
          <w:tcPr>
            <w:tcW w:w="4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By:</w:t>
            </w:r>
          </w:p>
        </w:tc>
        <w:tc>
          <w:tcPr>
            <w:tcW w:w="17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Sandeep Dixit</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756" w:type="dxa"/>
            <w:tcBorders>
              <w:top w:val="single" w:sz="8" w:space="0" w:color="000000"/>
            </w:tcBorders>
            <w:tcMar>
              <w:top w:w="4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Sandeep Dixit</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7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Credit Officer</w:t>
            </w:r>
          </w:p>
        </w:tc>
      </w:tr>
    </w:tbl>
    <w:p>
      <w:pPr>
        <w:pStyle w:val="TextBody"/>
        <w:bidi w:val="0"/>
        <w:jc w:val="left"/>
        <w:rPr/>
      </w:pPr>
      <w:r>
        <w:rPr/>
        <w:t> </w:t>
      </w:r>
    </w:p>
    <w:tbl>
      <w:tblPr>
        <w:tblW w:w="3783" w:type="dxa"/>
        <w:jc w:val="left"/>
        <w:tblInd w:w="0" w:type="dxa"/>
        <w:tblLayout w:type="fixed"/>
        <w:tblCellMar>
          <w:top w:w="28" w:type="dxa"/>
          <w:left w:w="28" w:type="dxa"/>
          <w:bottom w:w="28" w:type="dxa"/>
          <w:right w:w="28" w:type="dxa"/>
        </w:tblCellMar>
      </w:tblPr>
      <w:tblGrid>
        <w:gridCol w:w="1741"/>
        <w:gridCol w:w="406"/>
        <w:gridCol w:w="1636"/>
      </w:tblGrid>
      <w:tr>
        <w:trPr/>
        <w:tc>
          <w:tcPr>
            <w:tcW w:w="174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13, 2025</w:t>
            </w:r>
          </w:p>
        </w:tc>
        <w:tc>
          <w:tcPr>
            <w:tcW w:w="4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By:</w:t>
            </w:r>
          </w:p>
        </w:tc>
        <w:tc>
          <w:tcPr>
            <w:tcW w:w="16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Sam Chawla</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36" w:type="dxa"/>
            <w:tcBorders>
              <w:top w:val="single" w:sz="8" w:space="0" w:color="000000"/>
            </w:tcBorders>
            <w:tcMar>
              <w:top w:w="4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Sam Chawla</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Portfolio Manager</w:t>
            </w:r>
          </w:p>
        </w:tc>
      </w:tr>
    </w:tbl>
    <w:p>
      <w:pPr>
        <w:pStyle w:val="TextBody"/>
        <w:bidi w:val="0"/>
        <w:jc w:val="left"/>
        <w:rPr/>
      </w:pPr>
      <w:r>
        <w:rPr/>
        <w:t> </w:t>
      </w:r>
    </w:p>
    <w:p>
      <w:pPr>
        <w:pStyle w:val="TextBody"/>
        <w:bidi w:val="0"/>
        <w:jc w:val="right"/>
        <w:rPr/>
      </w:pPr>
      <w:r>
        <w:rPr/>
        <w:t> </w:t>
      </w:r>
    </w:p>
    <w:p>
      <w:pPr>
        <w:pStyle w:val="TextBody"/>
        <w:bidi w:val="0"/>
        <w:jc w:val="righ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i/>
          <w:color w:val="000000"/>
          <w:sz w:val="18"/>
        </w:rPr>
      </w:pPr>
      <w:r>
        <w:rPr>
          <w:rFonts w:ascii="Times New Roman" w:hAnsi="Times New Roman"/>
          <w:b/>
          <w:i/>
          <w:color w:val="000000"/>
          <w:sz w:val="18"/>
        </w:rPr>
        <w:t>[Signature Page to First Amendment to Warrant]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right"/>
        <w:rPr>
          <w:rFonts w:ascii="Times New Roman" w:hAnsi="Times New Roman"/>
          <w:b/>
          <w:color w:val="000000"/>
          <w:sz w:val="20"/>
        </w:rPr>
      </w:pPr>
      <w:bookmarkStart w:id="23" w:name="bdsx-ex4_2.htm"/>
      <w:bookmarkStart w:id="24" w:name="ksbdsxex4_2"/>
      <w:bookmarkEnd w:id="23"/>
      <w:bookmarkEnd w:id="24"/>
      <w:r>
        <w:rPr>
          <w:rFonts w:ascii="Times New Roman" w:hAnsi="Times New Roman"/>
          <w:b/>
          <w:color w:val="000000"/>
          <w:sz w:val="20"/>
        </w:rPr>
        <w:t>Exhibit 4.2</w:t>
      </w:r>
      <w:r>
        <w:br w:type="page"/>
      </w:r>
    </w:p>
    <w:p>
      <w:pPr>
        <w:pStyle w:val="TextBody"/>
        <w:bidi w:val="0"/>
        <w:jc w:val="both"/>
        <w:rPr/>
      </w:pPr>
      <w:r>
        <w:rPr/>
        <w:t> </w:t>
      </w:r>
    </w:p>
    <w:p>
      <w:pPr>
        <w:pStyle w:val="TextBody"/>
        <w:bidi w:val="0"/>
        <w:spacing w:before="0" w:after="280"/>
        <w:jc w:val="center"/>
        <w:rPr>
          <w:rFonts w:ascii="Times New Roman" w:hAnsi="Times New Roman"/>
          <w:smallCaps/>
          <w:color w:val="000000"/>
          <w:sz w:val="24"/>
        </w:rPr>
      </w:pPr>
      <w:r>
        <w:rPr>
          <w:rFonts w:ascii="Times New Roman" w:hAnsi="Times New Roman"/>
          <w:smallCaps/>
          <w:color w:val="000000"/>
          <w:sz w:val="24"/>
        </w:rPr>
        <w:t>Second Amendment to Warrant Certificate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This Second Amendment to Warrant Certificate, dated as of May 12, 2025 (this </w:t>
      </w:r>
      <w:r>
        <w:rPr>
          <w:rFonts w:ascii="Times New Roman" w:hAnsi="Times New Roman"/>
          <w:color w:val="000000"/>
          <w:sz w:val="20"/>
        </w:rPr>
        <w:t>“</w:t>
      </w:r>
      <w:r>
        <w:rPr>
          <w:rFonts w:ascii="Times New Roman" w:hAnsi="Times New Roman"/>
          <w:i/>
          <w:color w:val="000000"/>
          <w:sz w:val="24"/>
        </w:rPr>
        <w:t>Amendment”</w:t>
      </w:r>
      <w:r>
        <w:rPr>
          <w:rFonts w:ascii="Times New Roman" w:hAnsi="Times New Roman"/>
          <w:color w:val="000000"/>
          <w:sz w:val="24"/>
        </w:rPr>
        <w:t xml:space="preserve">), is entered into by and among </w:t>
      </w:r>
      <w:r>
        <w:rPr>
          <w:rFonts w:ascii="Times New Roman" w:hAnsi="Times New Roman"/>
          <w:smallCaps/>
          <w:color w:val="000000"/>
          <w:sz w:val="24"/>
        </w:rPr>
        <w:t xml:space="preserve">Biodesix, Inc. </w:t>
      </w:r>
      <w:r>
        <w:rPr>
          <w:rFonts w:ascii="Times New Roman" w:hAnsi="Times New Roman"/>
          <w:color w:val="000000"/>
          <w:sz w:val="24"/>
        </w:rPr>
        <w:t>a Delaware corporation (the “</w:t>
      </w:r>
      <w:r>
        <w:rPr>
          <w:rFonts w:ascii="Times New Roman" w:hAnsi="Times New Roman"/>
          <w:i/>
          <w:color w:val="000000"/>
          <w:sz w:val="24"/>
        </w:rPr>
        <w:t>Company</w:t>
      </w:r>
      <w:r>
        <w:rPr>
          <w:rFonts w:ascii="Times New Roman" w:hAnsi="Times New Roman"/>
          <w:color w:val="000000"/>
          <w:sz w:val="20"/>
        </w:rPr>
        <w:t>”</w:t>
      </w:r>
      <w:r>
        <w:rPr>
          <w:rFonts w:ascii="Times New Roman" w:hAnsi="Times New Roman"/>
          <w:color w:val="000000"/>
          <w:sz w:val="24"/>
        </w:rPr>
        <w:t xml:space="preserve">) and </w:t>
      </w:r>
      <w:r>
        <w:rPr>
          <w:rFonts w:ascii="Times New Roman" w:hAnsi="Times New Roman"/>
          <w:smallCaps/>
          <w:color w:val="000000"/>
          <w:sz w:val="24"/>
        </w:rPr>
        <w:t>Perceptive Credit Holdings IV, LP,</w:t>
      </w:r>
      <w:r>
        <w:rPr>
          <w:rFonts w:ascii="Times New Roman" w:hAnsi="Times New Roman"/>
          <w:color w:val="000000"/>
          <w:sz w:val="20"/>
        </w:rPr>
        <w:t xml:space="preserve"> </w:t>
      </w:r>
      <w:r>
        <w:rPr>
          <w:rFonts w:ascii="Times New Roman" w:hAnsi="Times New Roman"/>
          <w:color w:val="000000"/>
          <w:sz w:val="24"/>
        </w:rPr>
        <w:t>a Delaware limited partnership (the “</w:t>
      </w:r>
      <w:r>
        <w:rPr>
          <w:rFonts w:ascii="Times New Roman" w:hAnsi="Times New Roman"/>
          <w:i/>
          <w:color w:val="000000"/>
          <w:sz w:val="24"/>
        </w:rPr>
        <w:t>Holder</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80"/>
        <w:jc w:val="center"/>
        <w:rPr>
          <w:rFonts w:ascii="Times New Roman" w:hAnsi="Times New Roman"/>
          <w:smallCaps/>
          <w:color w:val="000000"/>
          <w:sz w:val="24"/>
        </w:rPr>
      </w:pPr>
      <w:r>
        <w:rPr>
          <w:rFonts w:ascii="Times New Roman" w:hAnsi="Times New Roman"/>
          <w:smallCaps/>
          <w:color w:val="000000"/>
          <w:sz w:val="24"/>
        </w:rPr>
        <w:t>Recitals</w:t>
      </w:r>
    </w:p>
    <w:p>
      <w:pPr>
        <w:pStyle w:val="TextBody"/>
        <w:bidi w:val="0"/>
        <w:spacing w:before="0" w:after="240"/>
        <w:jc w:val="both"/>
        <w:rPr>
          <w:rFonts w:ascii="Times New Roman" w:hAnsi="Times New Roman"/>
          <w:sz w:val="20"/>
        </w:rPr>
      </w:pPr>
      <w:r>
        <w:rPr>
          <w:rFonts w:ascii="Times New Roman" w:hAnsi="Times New Roman"/>
          <w:smallCaps/>
          <w:color w:val="000000"/>
          <w:sz w:val="24"/>
        </w:rPr>
        <w:t>Whereas</w:t>
      </w:r>
      <w:r>
        <w:rPr>
          <w:rFonts w:ascii="Times New Roman" w:hAnsi="Times New Roman"/>
          <w:color w:val="000000"/>
          <w:sz w:val="24"/>
        </w:rPr>
        <w:t>, the Company issued to the Holder that certain Warrant Certificate, dated as of November 21, 2022, as amended by that certain First Amendment to Warrant Certificate, dated February 28, 2025,</w:t>
      </w:r>
      <w:r>
        <w:rPr>
          <w:rFonts w:ascii="Times New Roman" w:hAnsi="Times New Roman"/>
          <w:color w:val="000000"/>
          <w:sz w:val="20"/>
        </w:rPr>
        <w:t xml:space="preserve"> </w:t>
      </w:r>
      <w:r>
        <w:rPr>
          <w:rFonts w:ascii="Times New Roman" w:hAnsi="Times New Roman"/>
          <w:color w:val="000000"/>
          <w:sz w:val="24"/>
        </w:rPr>
        <w:t>and this Amendment (the “</w:t>
      </w:r>
      <w:r>
        <w:rPr>
          <w:rFonts w:ascii="Times New Roman" w:hAnsi="Times New Roman"/>
          <w:i/>
          <w:color w:val="000000"/>
          <w:sz w:val="24"/>
        </w:rPr>
        <w:t>Warrant</w:t>
      </w:r>
      <w:r>
        <w:rPr>
          <w:rFonts w:ascii="Times New Roman" w:hAnsi="Times New Roman"/>
          <w:color w:val="000000"/>
          <w:sz w:val="20"/>
        </w:rPr>
        <w:t>”</w:t>
      </w:r>
      <w:r>
        <w:rPr>
          <w:rFonts w:ascii="Times New Roman" w:hAnsi="Times New Roman"/>
          <w:color w:val="000000"/>
          <w:sz w:val="24"/>
        </w:rPr>
        <w:t>). Capitalized terms used herein but not otherwise defined herein shall have the meanings ascribed thereto in the Warrant.</w:t>
      </w:r>
    </w:p>
    <w:p>
      <w:pPr>
        <w:pStyle w:val="TextBody"/>
        <w:bidi w:val="0"/>
        <w:spacing w:before="0" w:after="240"/>
        <w:jc w:val="both"/>
        <w:rPr>
          <w:rFonts w:ascii="Times New Roman" w:hAnsi="Times New Roman"/>
          <w:sz w:val="20"/>
        </w:rPr>
      </w:pPr>
      <w:r>
        <w:rPr>
          <w:rFonts w:ascii="Times New Roman" w:hAnsi="Times New Roman"/>
          <w:smallCaps/>
          <w:color w:val="000000"/>
          <w:sz w:val="24"/>
        </w:rPr>
        <w:t xml:space="preserve">Whereas, </w:t>
      </w:r>
      <w:r>
        <w:rPr>
          <w:rFonts w:ascii="Times New Roman" w:hAnsi="Times New Roman"/>
          <w:color w:val="000000"/>
          <w:sz w:val="24"/>
        </w:rPr>
        <w:t>following that certain Fifth Amendment to Credit Agreement and Guaranty, dated as of February 28, 2025, by and among the Company, as borrower, the lenders party thereto, and Holder, as administrative agent for the lenders, the Company and the Holder have agreed to amend certain provisions of the Warrant.</w:t>
      </w:r>
    </w:p>
    <w:p>
      <w:pPr>
        <w:pStyle w:val="TextBody"/>
        <w:bidi w:val="0"/>
        <w:spacing w:before="0" w:after="240"/>
        <w:jc w:val="both"/>
        <w:rPr>
          <w:rFonts w:ascii="Times New Roman" w:hAnsi="Times New Roman"/>
          <w:sz w:val="20"/>
        </w:rPr>
      </w:pPr>
      <w:r>
        <w:rPr>
          <w:rFonts w:ascii="Times New Roman" w:hAnsi="Times New Roman"/>
          <w:smallCaps/>
          <w:color w:val="000000"/>
          <w:sz w:val="24"/>
        </w:rPr>
        <w:t>Whereas</w:t>
      </w:r>
      <w:r>
        <w:rPr>
          <w:rFonts w:ascii="Times New Roman" w:hAnsi="Times New Roman"/>
          <w:color w:val="000000"/>
          <w:sz w:val="24"/>
        </w:rPr>
        <w:t>, the Company and the Holder are willing to make such amendments to the Warrant as are further described herein, in accordance with and subject to the terms and conditions of this Amendment.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smallCaps/>
          <w:color w:val="000000"/>
          <w:sz w:val="24"/>
        </w:rPr>
        <w:t>Now, Therefore</w:t>
      </w:r>
      <w:r>
        <w:rPr>
          <w:rFonts w:ascii="Times New Roman" w:hAnsi="Times New Roman"/>
          <w:color w:val="000000"/>
          <w:sz w:val="24"/>
        </w:rPr>
        <w:t>, in consideration of the premises and the mutual covenants and the agreements herein set forth, and other good and valuable consideration, the receipt and sufficiency of which are hereby acknowledged, the parties hereto, intending to be legally bound, agree as follows: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w:t>
      </w:r>
    </w:p>
    <w:p>
      <w:pPr>
        <w:pStyle w:val="TextBody"/>
        <w:bidi w:val="0"/>
        <w:spacing w:before="0" w:after="240"/>
        <w:jc w:val="both"/>
        <w:rPr/>
      </w:pPr>
      <w:r>
        <w:rPr>
          <w:rFonts w:ascii="Times New Roman" w:hAnsi="Times New Roman"/>
          <w:b/>
          <w:color w:val="000000"/>
          <w:sz w:val="24"/>
        </w:rPr>
        <w:t>Amendment</w:t>
      </w:r>
      <w:r>
        <w:rPr>
          <w:color w:val="000000"/>
        </w:rPr>
        <w:t xml:space="preserve"> </w:t>
      </w:r>
      <w:r>
        <w:rPr>
          <w:rFonts w:ascii="Times New Roman" w:hAnsi="Times New Roman"/>
          <w:b/>
          <w:color w:val="000000"/>
          <w:sz w:val="24"/>
        </w:rPr>
        <w:t>to Warrant</w:t>
      </w:r>
      <w:r>
        <w:rPr>
          <w:rFonts w:ascii="Times New Roman" w:hAnsi="Times New Roman"/>
          <w:color w:val="000000"/>
          <w:sz w:val="24"/>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Section 2(a)(i) of the Warrant is hereby amended to state in its entirety to read as follows: </w:t>
      </w:r>
    </w:p>
    <w:p>
      <w:pPr>
        <w:pStyle w:val="TextBody"/>
        <w:bidi w:val="0"/>
        <w:spacing w:before="0" w:after="240"/>
        <w:jc w:val="both"/>
        <w:rPr>
          <w:rFonts w:ascii="Times New Roman" w:hAnsi="Times New Roman"/>
          <w:sz w:val="20"/>
        </w:rPr>
      </w:pPr>
      <w:r>
        <w:rPr>
          <w:rFonts w:ascii="Times New Roman" w:hAnsi="Times New Roman"/>
          <w:color w:val="000000"/>
          <w:sz w:val="24"/>
        </w:rPr>
        <w:t>(i) On the date hereof (the “</w:t>
      </w:r>
      <w:r>
        <w:rPr>
          <w:rFonts w:ascii="Times New Roman" w:hAnsi="Times New Roman"/>
          <w:b/>
          <w:color w:val="000000"/>
          <w:sz w:val="24"/>
        </w:rPr>
        <w:t>Initial Vesting Date</w:t>
      </w:r>
      <w:r>
        <w:rPr>
          <w:rFonts w:ascii="Times New Roman" w:hAnsi="Times New Roman"/>
          <w:color w:val="000000"/>
          <w:sz w:val="20"/>
        </w:rPr>
        <w:t>”</w:t>
      </w:r>
      <w:r>
        <w:rPr>
          <w:rFonts w:ascii="Times New Roman" w:hAnsi="Times New Roman"/>
          <w:color w:val="000000"/>
          <w:sz w:val="24"/>
        </w:rPr>
        <w:t>), 3,000,000 Warrant Shares shall become vested and exercisable (such Warrant Shares, the “</w:t>
      </w:r>
      <w:r>
        <w:rPr>
          <w:rFonts w:ascii="Times New Roman" w:hAnsi="Times New Roman"/>
          <w:b/>
          <w:color w:val="000000"/>
          <w:sz w:val="24"/>
        </w:rPr>
        <w:t>Initial Warrant Shares</w:t>
      </w:r>
      <w:r>
        <w:rPr>
          <w:rFonts w:ascii="Times New Roman" w:hAnsi="Times New Roman"/>
          <w:color w:val="000000"/>
          <w:sz w:val="20"/>
        </w:rPr>
        <w:t>”</w:t>
      </w:r>
      <w:r>
        <w:rPr>
          <w:rFonts w:ascii="Times New Roman" w:hAnsi="Times New Roman"/>
          <w:color w:val="000000"/>
          <w:sz w:val="24"/>
        </w:rPr>
        <w:t>) and shall be exercisable at an Exercise Price equal to $0.4191 (the “</w:t>
      </w:r>
      <w:r>
        <w:rPr>
          <w:rFonts w:ascii="Times New Roman" w:hAnsi="Times New Roman"/>
          <w:b/>
          <w:color w:val="000000"/>
          <w:sz w:val="24"/>
        </w:rPr>
        <w:t>Initial Warrant Exercise Price</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1.2</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Section 2(a)(ii) of the Warrant is hereby amended to state in its entirety to read as follows: </w:t>
      </w:r>
    </w:p>
    <w:p>
      <w:pPr>
        <w:pStyle w:val="TextBody"/>
        <w:bidi w:val="0"/>
        <w:spacing w:before="0" w:after="240"/>
        <w:jc w:val="both"/>
        <w:rPr>
          <w:rFonts w:ascii="Times New Roman" w:hAnsi="Times New Roman"/>
          <w:sz w:val="20"/>
        </w:rPr>
      </w:pPr>
      <w:r>
        <w:rPr>
          <w:rFonts w:ascii="Times New Roman" w:hAnsi="Times New Roman"/>
          <w:color w:val="000000"/>
          <w:sz w:val="24"/>
        </w:rPr>
        <w:t>(ii) On the Tranche B Loan Borrowing Date (as defined in the Credit Agreement) (the “</w:t>
      </w:r>
      <w:r>
        <w:rPr>
          <w:rFonts w:ascii="Times New Roman" w:hAnsi="Times New Roman"/>
          <w:b/>
          <w:color w:val="000000"/>
          <w:sz w:val="24"/>
        </w:rPr>
        <w:t>Second Tranche Vesting Date</w:t>
      </w:r>
      <w:r>
        <w:rPr>
          <w:rFonts w:ascii="Times New Roman" w:hAnsi="Times New Roman"/>
          <w:color w:val="000000"/>
          <w:sz w:val="20"/>
        </w:rPr>
        <w:t>”</w:t>
      </w:r>
      <w:r>
        <w:rPr>
          <w:rFonts w:ascii="Times New Roman" w:hAnsi="Times New Roman"/>
          <w:color w:val="000000"/>
          <w:sz w:val="24"/>
        </w:rPr>
        <w:t>), an additional 1,000,000 Warrant Shares shall become vested and exercisable (such Warrant Shares, the “</w:t>
      </w:r>
      <w:r>
        <w:rPr>
          <w:rFonts w:ascii="Times New Roman" w:hAnsi="Times New Roman"/>
          <w:b/>
          <w:color w:val="000000"/>
          <w:sz w:val="24"/>
        </w:rPr>
        <w:t>Second Tranche Warrant Shares</w:t>
      </w:r>
      <w:r>
        <w:rPr>
          <w:rFonts w:ascii="Times New Roman" w:hAnsi="Times New Roman"/>
          <w:color w:val="000000"/>
          <w:sz w:val="20"/>
        </w:rPr>
        <w:t>”</w:t>
      </w:r>
      <w:r>
        <w:rPr>
          <w:rFonts w:ascii="Times New Roman" w:hAnsi="Times New Roman"/>
          <w:color w:val="000000"/>
          <w:sz w:val="24"/>
        </w:rPr>
        <w:t>) and shall be exercisable at an Exercise Price equal to $0.4191 (the “</w:t>
      </w:r>
      <w:r>
        <w:rPr>
          <w:rFonts w:ascii="Times New Roman" w:hAnsi="Times New Roman"/>
          <w:b/>
          <w:color w:val="000000"/>
          <w:sz w:val="24"/>
        </w:rPr>
        <w:t>Second Tranche Exercise Price</w:t>
      </w:r>
      <w:r>
        <w:rPr>
          <w:rFonts w:ascii="Times New Roman" w:hAnsi="Times New Roman"/>
          <w:color w:val="000000"/>
          <w:sz w:val="20"/>
        </w:rPr>
        <w:t>”</w:t>
      </w:r>
      <w:r>
        <w:rPr>
          <w:rFonts w:ascii="Times New Roman" w:hAnsi="Times New Roman"/>
          <w:color w:val="000000"/>
          <w:sz w:val="24"/>
        </w:rPr>
        <w:t>).</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1.3</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Section 2(a)(iii) of the Warrant is hereby amended to state in its entirety to read as follows: </w:t>
      </w:r>
    </w:p>
    <w:p>
      <w:pPr>
        <w:pStyle w:val="TextBody"/>
        <w:bidi w:val="0"/>
        <w:spacing w:before="0" w:after="240"/>
        <w:jc w:val="both"/>
        <w:rPr>
          <w:rFonts w:ascii="Times New Roman" w:hAnsi="Times New Roman"/>
          <w:sz w:val="20"/>
        </w:rPr>
      </w:pPr>
      <w:r>
        <w:rPr>
          <w:rFonts w:ascii="Times New Roman" w:hAnsi="Times New Roman"/>
          <w:color w:val="000000"/>
          <w:sz w:val="24"/>
        </w:rPr>
        <w:t>(iii) On the Tranche C Loan Borrowing Date (as defined in the Credit Agreement) (the “</w:t>
      </w:r>
      <w:r>
        <w:rPr>
          <w:rFonts w:ascii="Times New Roman" w:hAnsi="Times New Roman"/>
          <w:b/>
          <w:color w:val="000000"/>
          <w:sz w:val="24"/>
        </w:rPr>
        <w:t>Third Tranche Vesting Date</w:t>
      </w:r>
      <w:r>
        <w:rPr>
          <w:rFonts w:ascii="Times New Roman" w:hAnsi="Times New Roman"/>
          <w:color w:val="000000"/>
          <w:sz w:val="20"/>
        </w:rPr>
        <w:t>”</w:t>
      </w:r>
      <w:r>
        <w:rPr>
          <w:rFonts w:ascii="Times New Roman" w:hAnsi="Times New Roman"/>
          <w:color w:val="000000"/>
          <w:sz w:val="24"/>
        </w:rPr>
        <w:t>), an additional 1,000,000 Warrant Shares shall become vested and exercisable (such Warrant Shares, the “</w:t>
      </w:r>
      <w:r>
        <w:rPr>
          <w:rFonts w:ascii="Times New Roman" w:hAnsi="Times New Roman"/>
          <w:b/>
          <w:color w:val="000000"/>
          <w:sz w:val="24"/>
        </w:rPr>
        <w:t>Third Tranche Warrant Shares</w:t>
      </w:r>
      <w:r>
        <w:rPr>
          <w:rFonts w:ascii="Times New Roman" w:hAnsi="Times New Roman"/>
          <w:color w:val="000000"/>
          <w:sz w:val="20"/>
        </w:rPr>
        <w:t>”</w:t>
      </w:r>
      <w:r>
        <w:rPr>
          <w:rFonts w:ascii="Times New Roman" w:hAnsi="Times New Roman"/>
          <w:color w:val="000000"/>
          <w:sz w:val="24"/>
        </w:rPr>
        <w:t>) and shall be exercisable at an Exercise Price equal to $0.4191 (the “</w:t>
      </w:r>
      <w:r>
        <w:rPr>
          <w:rFonts w:ascii="Times New Roman" w:hAnsi="Times New Roman"/>
          <w:b/>
          <w:color w:val="000000"/>
          <w:sz w:val="24"/>
        </w:rPr>
        <w:t>Third Tranche Exercise Price</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w:t>
      </w:r>
    </w:p>
    <w:p>
      <w:pPr>
        <w:pStyle w:val="TextBody"/>
        <w:bidi w:val="0"/>
        <w:spacing w:before="0" w:after="240"/>
        <w:jc w:val="both"/>
        <w:rPr/>
      </w:pPr>
      <w:r>
        <w:rPr>
          <w:rFonts w:ascii="Times New Roman" w:hAnsi="Times New Roman"/>
          <w:b/>
          <w:color w:val="000000"/>
          <w:sz w:val="24"/>
        </w:rPr>
        <w:t xml:space="preserve">Effect of Amendment. </w:t>
      </w:r>
      <w:r>
        <w:rPr>
          <w:rFonts w:ascii="Times New Roman" w:hAnsi="Times New Roman"/>
          <w:color w:val="000000"/>
          <w:sz w:val="24"/>
        </w:rPr>
        <w:t>On and after the date hereof, each reference in the Warrant to “this Warrant”, “hereunder”, “hereof”, “herein” or words of like import referring to the Warrant, shall mean and be a reference to the Warrant after giving effect to this Amendment. Except as specifically set forth in this Amendment, the Warrant remains in full force and effect and is hereby ratified and confirmed.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w:t>
      </w:r>
    </w:p>
    <w:p>
      <w:pPr>
        <w:pStyle w:val="TextBody"/>
        <w:bidi w:val="0"/>
        <w:spacing w:before="0" w:after="240"/>
        <w:jc w:val="both"/>
        <w:rPr/>
      </w:pPr>
      <w:r>
        <w:rPr>
          <w:rFonts w:ascii="Times New Roman" w:hAnsi="Times New Roman"/>
          <w:b/>
          <w:color w:val="000000"/>
          <w:sz w:val="24"/>
        </w:rPr>
        <w:t xml:space="preserve">Governing Law. </w:t>
      </w:r>
      <w:r>
        <w:rPr>
          <w:rFonts w:ascii="Times New Roman" w:hAnsi="Times New Roman"/>
          <w:color w:val="000000"/>
          <w:sz w:val="24"/>
        </w:rPr>
        <w:t>This Amendment, and all questions concerning the construction, validity, enforcement and interpretation of the Amendment, shall be governed by and construed and enforced in accordance with the internal laws of the State of New York.</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w:t>
      </w:r>
    </w:p>
    <w:p>
      <w:pPr>
        <w:pStyle w:val="TextBody"/>
        <w:bidi w:val="0"/>
        <w:spacing w:before="0" w:after="240"/>
        <w:jc w:val="both"/>
        <w:rPr/>
      </w:pPr>
      <w:r>
        <w:rPr>
          <w:rFonts w:ascii="Times New Roman" w:hAnsi="Times New Roman"/>
          <w:b/>
          <w:color w:val="000000"/>
          <w:sz w:val="24"/>
        </w:rPr>
        <w:t>Counterparts.</w:t>
      </w:r>
      <w:r>
        <w:rPr>
          <w:color w:val="000000"/>
        </w:rPr>
        <w:t xml:space="preserve"> </w:t>
      </w:r>
      <w:r>
        <w:rPr>
          <w:rFonts w:ascii="Times New Roman" w:hAnsi="Times New Roman"/>
          <w:color w:val="000000"/>
          <w:sz w:val="24"/>
        </w:rPr>
        <w:t>This Amendment may be executed in any number of counterparts and by different parties on separate counterparts, each of which, when executed and delivered, shall be deemed to be an original, and all of which, when taken together, shall constitute but one and the same Amendment. Delivery of an executed counterpart of this Amendment by facsimile, DocuSign or a scanned copy by electronic mail shall be equally as effective as delivery of an original executed counterpart of this Amendment.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w:t>
      </w:r>
    </w:p>
    <w:p>
      <w:pPr>
        <w:pStyle w:val="TextBody"/>
        <w:bidi w:val="0"/>
        <w:spacing w:before="0" w:after="240"/>
        <w:jc w:val="both"/>
        <w:rPr/>
      </w:pPr>
      <w:r>
        <w:rPr>
          <w:rFonts w:ascii="Times New Roman" w:hAnsi="Times New Roman"/>
          <w:b/>
          <w:color w:val="000000"/>
          <w:sz w:val="24"/>
        </w:rPr>
        <w:t>Binding Effect.</w:t>
      </w:r>
      <w:r>
        <w:rPr>
          <w:color w:val="000000"/>
        </w:rPr>
        <w:t xml:space="preserve"> </w:t>
      </w:r>
      <w:r>
        <w:rPr>
          <w:rFonts w:ascii="Times New Roman" w:hAnsi="Times New Roman"/>
          <w:color w:val="000000"/>
          <w:sz w:val="24"/>
        </w:rPr>
        <w:t xml:space="preserve">This Amendment will be binding upon and inure to the benefit of and is enforceable by the respective successors and permitted assigns of the parties hereto.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6</w:t>
      </w:r>
    </w:p>
    <w:p>
      <w:pPr>
        <w:pStyle w:val="TextBody"/>
        <w:bidi w:val="0"/>
        <w:spacing w:before="0" w:after="240"/>
        <w:jc w:val="both"/>
        <w:rPr/>
      </w:pPr>
      <w:r>
        <w:rPr>
          <w:rFonts w:ascii="Times New Roman" w:hAnsi="Times New Roman"/>
          <w:b/>
          <w:color w:val="000000"/>
          <w:sz w:val="24"/>
        </w:rPr>
        <w:t>Incorporation By Reference</w:t>
      </w:r>
      <w:r>
        <w:rPr>
          <w:rFonts w:ascii="Times New Roman" w:hAnsi="Times New Roman"/>
          <w:color w:val="000000"/>
          <w:sz w:val="24"/>
        </w:rPr>
        <w:t xml:space="preserve">. The provisions set forth in Sections 23 (Submission to Jurisdiction) and 24 (Waiver of Jury Trial) of the Warrant shall apply to this Amendment in all respects. </w:t>
      </w:r>
    </w:p>
    <w:p>
      <w:pPr>
        <w:pStyle w:val="TextBody"/>
        <w:bidi w:val="0"/>
        <w:jc w:val="left"/>
        <w:rPr/>
      </w:pPr>
      <w:r>
        <w:rPr/>
        <w:t> </w:t>
      </w:r>
    </w:p>
    <w:p>
      <w:pPr>
        <w:pStyle w:val="TextBody"/>
        <w:bidi w:val="0"/>
        <w:jc w:val="center"/>
        <w:rPr>
          <w:rFonts w:ascii="Times New Roman" w:hAnsi="Times New Roman"/>
          <w:i/>
          <w:color w:val="000000"/>
          <w:sz w:val="24"/>
        </w:rPr>
      </w:pPr>
      <w:r>
        <w:rPr>
          <w:rFonts w:ascii="Times New Roman" w:hAnsi="Times New Roman"/>
          <w:i/>
          <w:color w:val="000000"/>
          <w:sz w:val="24"/>
        </w:rPr>
        <w:t>[Remainder of page intentionally left blank; signatures on following pages]</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IN WITNESS WHEREOF, the Company and Holder have duly executed this Amendment as of the date first written above.</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4"/>
        </w:rPr>
        <w:t xml:space="preserve">COMPANY: BIODESIX, INC., </w:t>
      </w:r>
      <w:r>
        <w:rPr>
          <w:rFonts w:ascii="Times New Roman" w:hAnsi="Times New Roman"/>
          <w:color w:val="000000"/>
          <w:sz w:val="24"/>
        </w:rPr>
        <w:t>a Delaware corporation</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tbl>
      <w:tblPr>
        <w:tblW w:w="4203" w:type="dxa"/>
        <w:jc w:val="left"/>
        <w:tblInd w:w="0" w:type="dxa"/>
        <w:tblLayout w:type="fixed"/>
        <w:tblCellMar>
          <w:top w:w="28" w:type="dxa"/>
          <w:left w:w="28" w:type="dxa"/>
          <w:bottom w:w="28" w:type="dxa"/>
          <w:right w:w="28" w:type="dxa"/>
        </w:tblCellMar>
      </w:tblPr>
      <w:tblGrid>
        <w:gridCol w:w="1741"/>
        <w:gridCol w:w="406"/>
        <w:gridCol w:w="2056"/>
      </w:tblGrid>
      <w:tr>
        <w:trPr/>
        <w:tc>
          <w:tcPr>
            <w:tcW w:w="174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13, 2025</w:t>
            </w:r>
          </w:p>
        </w:tc>
        <w:tc>
          <w:tcPr>
            <w:tcW w:w="4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By:</w:t>
            </w:r>
          </w:p>
        </w:tc>
        <w:tc>
          <w:tcPr>
            <w:tcW w:w="20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Robin Harper Cowie</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056" w:type="dxa"/>
            <w:tcBorders>
              <w:top w:val="single" w:sz="8" w:space="0" w:color="000000"/>
            </w:tcBorders>
            <w:tcMar>
              <w:top w:w="4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Robin Harper Cowie</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0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4"/>
        </w:rPr>
        <w:t>HOLDER: PERCEPTIVE CREDIT HOLDINGS IV, LP</w:t>
      </w:r>
      <w:r>
        <w:rPr>
          <w:rFonts w:ascii="Times New Roman" w:hAnsi="Times New Roman"/>
          <w:color w:val="000000"/>
          <w:sz w:val="24"/>
        </w:rPr>
        <w:t>,</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color w:val="000000"/>
          <w:sz w:val="24"/>
        </w:rPr>
        <w:t>a Delaware limited partnership</w:t>
      </w:r>
      <w:r>
        <w:rPr>
          <w:rFonts w:ascii="Times New Roman" w:hAnsi="Times New Roman"/>
          <w:color w:val="000000"/>
          <w:sz w:val="20"/>
        </w:rPr>
        <w:t xml:space="preserve"> </w:t>
      </w:r>
    </w:p>
    <w:p>
      <w:pPr>
        <w:pStyle w:val="TextBody"/>
        <w:bidi w:val="0"/>
        <w:jc w:val="right"/>
        <w:rPr/>
      </w:pPr>
      <w:r>
        <w:rPr/>
        <w:t> </w:t>
      </w:r>
    </w:p>
    <w:p>
      <w:pPr>
        <w:pStyle w:val="TextBody"/>
        <w:bidi w:val="0"/>
        <w:jc w:val="right"/>
        <w:rPr>
          <w:rFonts w:ascii="Times New Roman" w:hAnsi="Times New Roman"/>
          <w:color w:val="000000"/>
          <w:sz w:val="24"/>
        </w:rPr>
      </w:pPr>
      <w:r>
        <w:rPr>
          <w:rFonts w:ascii="Times New Roman" w:hAnsi="Times New Roman"/>
          <w:color w:val="000000"/>
          <w:sz w:val="24"/>
        </w:rPr>
        <w:t>By: Perceptive Credit Opportunities GP, LLC, its general partner</w:t>
      </w:r>
    </w:p>
    <w:p>
      <w:pPr>
        <w:pStyle w:val="TextBody"/>
        <w:bidi w:val="0"/>
        <w:jc w:val="right"/>
        <w:rPr/>
      </w:pPr>
      <w:r>
        <w:rPr/>
        <w:t> </w:t>
      </w:r>
    </w:p>
    <w:p>
      <w:pPr>
        <w:pStyle w:val="TextBody"/>
        <w:bidi w:val="0"/>
        <w:jc w:val="right"/>
        <w:rPr/>
      </w:pPr>
      <w:r>
        <w:rPr/>
        <w:t> </w:t>
      </w:r>
    </w:p>
    <w:tbl>
      <w:tblPr>
        <w:tblW w:w="3903" w:type="dxa"/>
        <w:jc w:val="left"/>
        <w:tblInd w:w="0" w:type="dxa"/>
        <w:tblLayout w:type="fixed"/>
        <w:tblCellMar>
          <w:top w:w="28" w:type="dxa"/>
          <w:left w:w="28" w:type="dxa"/>
          <w:bottom w:w="28" w:type="dxa"/>
          <w:right w:w="28" w:type="dxa"/>
        </w:tblCellMar>
      </w:tblPr>
      <w:tblGrid>
        <w:gridCol w:w="1741"/>
        <w:gridCol w:w="406"/>
        <w:gridCol w:w="1756"/>
      </w:tblGrid>
      <w:tr>
        <w:trPr/>
        <w:tc>
          <w:tcPr>
            <w:tcW w:w="174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756" w:type="dxa"/>
            <w:tcBorders/>
            <w:vAlign w:val="center"/>
          </w:tcPr>
          <w:p>
            <w:pPr>
              <w:pStyle w:val="TableContents"/>
              <w:bidi w:val="0"/>
              <w:spacing w:before="0" w:after="283"/>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13, 2025</w:t>
            </w:r>
          </w:p>
        </w:tc>
        <w:tc>
          <w:tcPr>
            <w:tcW w:w="4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By:</w:t>
            </w:r>
          </w:p>
        </w:tc>
        <w:tc>
          <w:tcPr>
            <w:tcW w:w="17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Sandeep Dixit</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756" w:type="dxa"/>
            <w:tcBorders>
              <w:top w:val="single" w:sz="8" w:space="0" w:color="000000"/>
            </w:tcBorders>
            <w:tcMar>
              <w:top w:w="4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Sandeep Dixit</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7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Credit Officer</w:t>
            </w:r>
          </w:p>
        </w:tc>
      </w:tr>
    </w:tbl>
    <w:p>
      <w:pPr>
        <w:pStyle w:val="TextBody"/>
        <w:bidi w:val="0"/>
        <w:jc w:val="both"/>
        <w:rPr/>
      </w:pPr>
      <w:r>
        <w:rPr/>
        <w:t> </w:t>
      </w:r>
    </w:p>
    <w:tbl>
      <w:tblPr>
        <w:tblW w:w="3783" w:type="dxa"/>
        <w:jc w:val="left"/>
        <w:tblInd w:w="0" w:type="dxa"/>
        <w:tblLayout w:type="fixed"/>
        <w:tblCellMar>
          <w:top w:w="28" w:type="dxa"/>
          <w:left w:w="28" w:type="dxa"/>
          <w:bottom w:w="28" w:type="dxa"/>
          <w:right w:w="28" w:type="dxa"/>
        </w:tblCellMar>
      </w:tblPr>
      <w:tblGrid>
        <w:gridCol w:w="1741"/>
        <w:gridCol w:w="406"/>
        <w:gridCol w:w="1636"/>
      </w:tblGrid>
      <w:tr>
        <w:trPr/>
        <w:tc>
          <w:tcPr>
            <w:tcW w:w="174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13, 2025</w:t>
            </w:r>
          </w:p>
        </w:tc>
        <w:tc>
          <w:tcPr>
            <w:tcW w:w="4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By:</w:t>
            </w:r>
          </w:p>
        </w:tc>
        <w:tc>
          <w:tcPr>
            <w:tcW w:w="16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Sam Chawla</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36" w:type="dxa"/>
            <w:tcBorders>
              <w:top w:val="single" w:sz="8" w:space="0" w:color="000000"/>
            </w:tcBorders>
            <w:tcMar>
              <w:top w:w="4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Sam Chawla</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Portfolio Manager</w:t>
            </w:r>
          </w:p>
        </w:tc>
      </w:tr>
    </w:tbl>
    <w:p>
      <w:pPr>
        <w:pStyle w:val="TextBody"/>
        <w:bidi w:val="0"/>
        <w:jc w:val="both"/>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i/>
          <w:color w:val="000000"/>
          <w:sz w:val="18"/>
        </w:rPr>
      </w:pPr>
      <w:r>
        <w:rPr>
          <w:rFonts w:ascii="Times New Roman" w:hAnsi="Times New Roman"/>
          <w:b/>
          <w:i/>
          <w:color w:val="000000"/>
          <w:sz w:val="18"/>
        </w:rPr>
        <w:t>[Signature Page to Second Amendment to Warrant]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right"/>
        <w:rPr>
          <w:rFonts w:ascii="Times New Roman" w:hAnsi="Times New Roman"/>
          <w:b/>
          <w:color w:val="000000"/>
          <w:sz w:val="20"/>
        </w:rPr>
      </w:pPr>
      <w:bookmarkStart w:id="25" w:name="bdsx-ex31_1.htm"/>
      <w:bookmarkStart w:id="26" w:name="ksbdsxex31_1"/>
      <w:bookmarkEnd w:id="25"/>
      <w:bookmarkEnd w:id="26"/>
      <w:r>
        <w:rPr>
          <w:rFonts w:ascii="Times New Roman" w:hAnsi="Times New Roman"/>
          <w:b/>
          <w:color w:val="000000"/>
          <w:sz w:val="20"/>
        </w:rPr>
        <w:t>Exhibit 31.1</w:t>
      </w:r>
      <w:r>
        <w:br w:type="page"/>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SECTION 302 CERTIFICATION</w:t>
      </w:r>
      <w:r>
        <w:rPr>
          <w:rFonts w:ascii="Times New Roman" w:hAnsi="Times New Roman"/>
          <w:color w:val="000000"/>
          <w:sz w:val="20"/>
        </w:rPr>
        <w:t xml:space="preserve"> </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I, Scott Hutton, certify that: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 have reviewed this Quarterly Report on Form 10-Q of Biodesix, Inc.;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3.</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4.</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5.</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(b)</w:t>
      </w:r>
    </w:p>
    <w:p>
      <w:pPr>
        <w:pStyle w:val="TextBody"/>
        <w:bidi w:val="0"/>
        <w:jc w:val="both"/>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218" w:type="dxa"/>
        <w:jc w:val="left"/>
        <w:tblInd w:w="0" w:type="dxa"/>
        <w:tblLayout w:type="fixed"/>
        <w:tblCellMar>
          <w:top w:w="28" w:type="dxa"/>
          <w:left w:w="28" w:type="dxa"/>
          <w:bottom w:w="28" w:type="dxa"/>
          <w:right w:w="28" w:type="dxa"/>
        </w:tblCellMar>
      </w:tblPr>
      <w:tblGrid>
        <w:gridCol w:w="1741"/>
        <w:gridCol w:w="406"/>
        <w:gridCol w:w="2071"/>
      </w:tblGrid>
      <w:tr>
        <w:trPr/>
        <w:tc>
          <w:tcPr>
            <w:tcW w:w="174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13, 2025</w:t>
            </w:r>
          </w:p>
        </w:tc>
        <w:tc>
          <w:tcPr>
            <w:tcW w:w="4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By:</w:t>
            </w:r>
          </w:p>
        </w:tc>
        <w:tc>
          <w:tcPr>
            <w:tcW w:w="20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Scott Hutton</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071" w:type="dxa"/>
            <w:tcBorders>
              <w:top w:val="single" w:sz="8" w:space="0" w:color="000000"/>
            </w:tcBorders>
            <w:tcMar>
              <w:top w:w="4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Scott Hutton</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0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right"/>
        <w:rPr>
          <w:rFonts w:ascii="Times New Roman" w:hAnsi="Times New Roman"/>
          <w:b/>
          <w:color w:val="000000"/>
          <w:sz w:val="20"/>
        </w:rPr>
      </w:pPr>
      <w:bookmarkStart w:id="27" w:name="bdsx-ex31_2.htm"/>
      <w:bookmarkStart w:id="28" w:name="ksbdsxex31_2"/>
      <w:bookmarkEnd w:id="27"/>
      <w:bookmarkEnd w:id="28"/>
      <w:r>
        <w:rPr>
          <w:rFonts w:ascii="Times New Roman" w:hAnsi="Times New Roman"/>
          <w:b/>
          <w:color w:val="000000"/>
          <w:sz w:val="20"/>
        </w:rPr>
        <w:t>Exhibit 31.2</w:t>
      </w:r>
      <w:r>
        <w:br w:type="page"/>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SECTION 302 CERTIFICATION</w:t>
      </w:r>
      <w:r>
        <w:rPr>
          <w:rFonts w:ascii="Times New Roman" w:hAnsi="Times New Roman"/>
          <w:color w:val="000000"/>
          <w:sz w:val="20"/>
        </w:rPr>
        <w:t xml:space="preserve"> </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I, Robin Harper Cowie, certify that: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 have reviewed this Quarterly Report on Form 10-Q of Biodesix, Inc.;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3.</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4.</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5.</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(b)</w:t>
      </w:r>
    </w:p>
    <w:p>
      <w:pPr>
        <w:pStyle w:val="TextBody"/>
        <w:bidi w:val="0"/>
        <w:jc w:val="both"/>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203" w:type="dxa"/>
        <w:jc w:val="left"/>
        <w:tblInd w:w="0" w:type="dxa"/>
        <w:tblLayout w:type="fixed"/>
        <w:tblCellMar>
          <w:top w:w="28" w:type="dxa"/>
          <w:left w:w="28" w:type="dxa"/>
          <w:bottom w:w="28" w:type="dxa"/>
          <w:right w:w="28" w:type="dxa"/>
        </w:tblCellMar>
      </w:tblPr>
      <w:tblGrid>
        <w:gridCol w:w="1741"/>
        <w:gridCol w:w="406"/>
        <w:gridCol w:w="2056"/>
      </w:tblGrid>
      <w:tr>
        <w:trPr/>
        <w:tc>
          <w:tcPr>
            <w:tcW w:w="174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13, 2025</w:t>
            </w:r>
          </w:p>
        </w:tc>
        <w:tc>
          <w:tcPr>
            <w:tcW w:w="4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By:</w:t>
            </w:r>
          </w:p>
        </w:tc>
        <w:tc>
          <w:tcPr>
            <w:tcW w:w="20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Robin Harper Cowie</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056" w:type="dxa"/>
            <w:tcBorders>
              <w:top w:val="single" w:sz="8" w:space="0" w:color="000000"/>
            </w:tcBorders>
            <w:tcMar>
              <w:top w:w="4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Robin Harper Cowie</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0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right"/>
        <w:rPr>
          <w:rFonts w:ascii="Times New Roman" w:hAnsi="Times New Roman"/>
          <w:b/>
          <w:color w:val="000000"/>
          <w:sz w:val="20"/>
        </w:rPr>
      </w:pPr>
      <w:bookmarkStart w:id="29" w:name="bdsx-ex32_1.htm"/>
      <w:bookmarkStart w:id="30" w:name="ksbdsxex32_1"/>
      <w:bookmarkEnd w:id="29"/>
      <w:bookmarkEnd w:id="30"/>
      <w:r>
        <w:rPr>
          <w:rFonts w:ascii="Times New Roman" w:hAnsi="Times New Roman"/>
          <w:b/>
          <w:color w:val="000000"/>
          <w:sz w:val="20"/>
        </w:rPr>
        <w:t>Exhibit 32.1</w:t>
      </w:r>
      <w:r>
        <w:br w:type="page"/>
      </w:r>
    </w:p>
    <w:p>
      <w:pPr>
        <w:pStyle w:val="TextBody"/>
        <w:bidi w:val="0"/>
        <w:jc w:val="left"/>
        <w:rPr/>
      </w:pPr>
      <w:r>
        <w:rPr/>
        <w:t> </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connection with the Quarterly Report of Biodesix, Inc. (the “Company”) on Form 10-Q for the period ending March 31, 2025 as filed with the Securities and Exchange Commission on the date hereof (the “Report”), I certify, pursuant to 18 U.S.C. § 1350, as adopted pursuant to § 906 of the Sarbanes-Oxley Act of 2002, that, to my knowledge: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 The Report fully complies with the requirements of section 13(a) or 15(d) of the Securities Exchange Act of 1934;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 The information contained in the Report fairly presents, in all material respects, the financial condition and results of operations of the Company.</w:t>
      </w:r>
    </w:p>
    <w:p>
      <w:pPr>
        <w:pStyle w:val="TextBody"/>
        <w:bidi w:val="0"/>
        <w:spacing w:before="0" w:after="240"/>
        <w:jc w:val="both"/>
        <w:rPr/>
      </w:pPr>
      <w:r>
        <w:rPr/>
        <w:t> </w:t>
      </w:r>
    </w:p>
    <w:tbl>
      <w:tblPr>
        <w:tblW w:w="4364" w:type="dxa"/>
        <w:jc w:val="left"/>
        <w:tblInd w:w="0" w:type="dxa"/>
        <w:tblLayout w:type="fixed"/>
        <w:tblCellMar>
          <w:top w:w="28" w:type="dxa"/>
          <w:left w:w="28" w:type="dxa"/>
          <w:bottom w:w="28" w:type="dxa"/>
          <w:right w:w="28" w:type="dxa"/>
        </w:tblCellMar>
      </w:tblPr>
      <w:tblGrid>
        <w:gridCol w:w="1741"/>
        <w:gridCol w:w="146"/>
        <w:gridCol w:w="406"/>
        <w:gridCol w:w="2071"/>
      </w:tblGrid>
      <w:tr>
        <w:trPr/>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13, 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0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Scott Hutton</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top w:val="single" w:sz="8" w:space="0" w:color="000000"/>
            </w:tcBorders>
            <w:tcMar>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Scott Hutton</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right"/>
        <w:rPr>
          <w:rFonts w:ascii="Times New Roman" w:hAnsi="Times New Roman"/>
          <w:b/>
          <w:color w:val="000000"/>
          <w:sz w:val="20"/>
        </w:rPr>
      </w:pPr>
      <w:bookmarkStart w:id="31" w:name="bdsx-ex32_2.htm"/>
      <w:bookmarkStart w:id="32" w:name="ksbdsxex32_2"/>
      <w:bookmarkEnd w:id="31"/>
      <w:bookmarkEnd w:id="32"/>
      <w:r>
        <w:rPr>
          <w:rFonts w:ascii="Times New Roman" w:hAnsi="Times New Roman"/>
          <w:b/>
          <w:color w:val="000000"/>
          <w:sz w:val="20"/>
        </w:rPr>
        <w:t>Exhibit 32.2</w:t>
      </w:r>
      <w:r>
        <w:br w:type="page"/>
      </w:r>
    </w:p>
    <w:p>
      <w:pPr>
        <w:pStyle w:val="TextBody"/>
        <w:bidi w:val="0"/>
        <w:jc w:val="both"/>
        <w:rPr/>
      </w:pPr>
      <w:r>
        <w:rPr/>
        <w:t> </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connection with the Quarterly Report of Biodesix, Inc. (the “Company”) on Form 10-Q for the period ending March 31, 2025 as filed with the Securities and Exchange Commission on the date hereof (the “Report”), I certify, pursuant to 18 U.S.C. § 1350, as adopted pursuant to § 906 of the Sarbanes-Oxley Act of 2002, that, to my knowledge: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 The Report fully complies with the requirements of section 13(a) or 15(d) of the Securities Exchange Act of 1934;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 The information contained in the Report fairly presents, in all material respects, the financial condition and results of operations of the Company.</w:t>
      </w:r>
    </w:p>
    <w:p>
      <w:pPr>
        <w:pStyle w:val="TextBody"/>
        <w:bidi w:val="0"/>
        <w:spacing w:before="0" w:after="240"/>
        <w:jc w:val="both"/>
        <w:rPr/>
      </w:pPr>
      <w:r>
        <w:rPr/>
        <w:t> </w:t>
      </w:r>
    </w:p>
    <w:tbl>
      <w:tblPr>
        <w:tblW w:w="4349" w:type="dxa"/>
        <w:jc w:val="left"/>
        <w:tblInd w:w="0" w:type="dxa"/>
        <w:tblLayout w:type="fixed"/>
        <w:tblCellMar>
          <w:top w:w="28" w:type="dxa"/>
          <w:left w:w="28" w:type="dxa"/>
          <w:bottom w:w="28" w:type="dxa"/>
          <w:right w:w="28" w:type="dxa"/>
        </w:tblCellMar>
      </w:tblPr>
      <w:tblGrid>
        <w:gridCol w:w="1741"/>
        <w:gridCol w:w="146"/>
        <w:gridCol w:w="406"/>
        <w:gridCol w:w="2056"/>
      </w:tblGrid>
      <w:tr>
        <w:trPr/>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Date: May 13, 2025</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0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By:</w:t>
            </w:r>
          </w:p>
        </w:tc>
        <w:tc>
          <w:tcPr>
            <w:tcW w:w="20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Robin Harper Cowie</w:t>
            </w:r>
          </w:p>
        </w:tc>
      </w:tr>
      <w:tr>
        <w:trPr/>
        <w:tc>
          <w:tcPr>
            <w:tcW w:w="174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06" w:type="dxa"/>
            <w:tcBorders/>
            <w:tcMar>
              <w:top w:w="0" w:type="dxa"/>
              <w:left w:w="0" w:type="dxa"/>
              <w:bottom w:w="0" w:type="dxa"/>
              <w:right w:w="0" w:type="dxa"/>
            </w:tcMar>
            <w:vAlign w:val="center"/>
          </w:tcPr>
          <w:p>
            <w:pPr>
              <w:pStyle w:val="TableContents"/>
              <w:bidi w:val="0"/>
              <w:spacing w:before="0" w:after="283"/>
              <w:jc w:val="both"/>
              <w:rPr/>
            </w:pPr>
            <w:r>
              <w:rPr/>
              <w:t> </w:t>
            </w:r>
          </w:p>
        </w:tc>
        <w:tc>
          <w:tcPr>
            <w:tcW w:w="2056" w:type="dxa"/>
            <w:tcBorders>
              <w:top w:val="single" w:sz="8" w:space="0" w:color="000000"/>
            </w:tcBorders>
            <w:tcMar>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Robin Harper Cowie</w:t>
            </w:r>
          </w:p>
        </w:tc>
      </w:tr>
      <w:tr>
        <w:trPr/>
        <w:tc>
          <w:tcPr>
            <w:tcW w:w="174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06" w:type="dxa"/>
            <w:tcBorders/>
            <w:tcMar>
              <w:top w:w="0" w:type="dxa"/>
              <w:left w:w="0" w:type="dxa"/>
              <w:bottom w:w="0" w:type="dxa"/>
              <w:right w:w="0" w:type="dxa"/>
            </w:tcMar>
            <w:vAlign w:val="center"/>
          </w:tcPr>
          <w:p>
            <w:pPr>
              <w:pStyle w:val="TableContents"/>
              <w:bidi w:val="0"/>
              <w:spacing w:before="0" w:after="283"/>
              <w:jc w:val="both"/>
              <w:rPr/>
            </w:pPr>
            <w:r>
              <w:rPr/>
              <w:t> </w:t>
            </w:r>
          </w:p>
        </w:tc>
        <w:tc>
          <w:tcPr>
            <w:tcW w:w="20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both"/>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27611</Words>
  <Characters>151431</Characters>
  <CharactersWithSpaces>179406</CharactersWithSpaces>
  <Paragraphs>4320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