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60331.htm"/>
      <w:bookmarkStart w:id="1" w:name="ksbdsx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April 29, 2026, the Registrant had 10,108,580</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7"/>
        <w:gridCol w:w="8816"/>
        <w:gridCol w:w="512"/>
      </w:tblGrid>
      <w:tr>
        <w:trPr/>
        <w:tc>
          <w:tcPr>
            <w:tcW w:w="877" w:type="dxa"/>
            <w:tcBorders/>
            <w:vAlign w:val="center"/>
          </w:tcPr>
          <w:p>
            <w:pPr>
              <w:pStyle w:val="TableContents"/>
              <w:bidi w:val="0"/>
              <w:spacing w:before="0" w:after="283"/>
              <w:jc w:val="left"/>
              <w:rPr>
                <w:sz w:val="4"/>
                <w:szCs w:val="4"/>
              </w:rPr>
            </w:pPr>
            <w:r>
              <w:rPr>
                <w:sz w:val="4"/>
                <w:szCs w:val="4"/>
              </w:rPr>
            </w:r>
          </w:p>
        </w:tc>
        <w:tc>
          <w:tcPr>
            <w:tcW w:w="88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March 31,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6"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statements_changes_in_converti">
              <w:r>
                <w:rPr>
                  <w:rStyle w:val="InternetLink"/>
                  <w:rFonts w:ascii="Times New Roman" w:hAnsi="Times New Roman"/>
                  <w:color w:val="0000FF"/>
                  <w:sz w:val="20"/>
                  <w:u w:val="single"/>
                </w:rPr>
                <w:t>Condensed Statements of Stockholders' Equity (Deficit)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2025, which was filed on February 26, 2026.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2025,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which make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assurance that our common stock will maintain compliance with the minimum bid price requirement or other applicable listing standards of The Nasdaq Stock Market LLC (Nasdaq) or another national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other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66"/>
        <w:gridCol w:w="146"/>
        <w:gridCol w:w="283"/>
        <w:gridCol w:w="1128"/>
        <w:gridCol w:w="166"/>
        <w:gridCol w:w="146"/>
        <w:gridCol w:w="336"/>
        <w:gridCol w:w="1340"/>
        <w:gridCol w:w="594"/>
      </w:tblGrid>
      <w:tr>
        <w:trPr/>
        <w:tc>
          <w:tcPr>
            <w:tcW w:w="6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$71 and $62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(2026 and 2025)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Common stock, $0.001 par value, 200,000,000 authorized; </w:t>
              <w:br/>
              <w:t>   10,107,219 (2026) and 8,253,053 (2025) shares issued and outstanding</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w:t>
              <w:noBreakHyphen/>
              <w:t>in capital</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 All share information, Common stock balances, and Additional paid-in capital balances have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8146" w:type="dxa"/>
        <w:jc w:val="left"/>
        <w:tblInd w:w="0" w:type="dxa"/>
        <w:tblLayout w:type="fixed"/>
        <w:tblCellMar>
          <w:top w:w="28" w:type="dxa"/>
          <w:left w:w="28" w:type="dxa"/>
          <w:bottom w:w="28" w:type="dxa"/>
          <w:right w:w="28" w:type="dxa"/>
        </w:tblCellMar>
      </w:tblPr>
      <w:tblGrid>
        <w:gridCol w:w="4801"/>
        <w:gridCol w:w="146"/>
        <w:gridCol w:w="274"/>
        <w:gridCol w:w="879"/>
        <w:gridCol w:w="215"/>
        <w:gridCol w:w="189"/>
        <w:gridCol w:w="274"/>
        <w:gridCol w:w="957"/>
        <w:gridCol w:w="4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per share, basic and diluted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basic and diluted</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share and per share information have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146"/>
        <w:gridCol w:w="146"/>
        <w:gridCol w:w="676"/>
        <w:gridCol w:w="146"/>
        <w:gridCol w:w="146"/>
        <w:gridCol w:w="295"/>
        <w:gridCol w:w="486"/>
        <w:gridCol w:w="146"/>
        <w:gridCol w:w="146"/>
        <w:gridCol w:w="269"/>
        <w:gridCol w:w="1005"/>
        <w:gridCol w:w="146"/>
        <w:gridCol w:w="146"/>
        <w:gridCol w:w="243"/>
        <w:gridCol w:w="973"/>
        <w:gridCol w:w="166"/>
        <w:gridCol w:w="146"/>
        <w:gridCol w:w="405"/>
        <w:gridCol w:w="1304"/>
        <w:gridCol w:w="214"/>
      </w:tblGrid>
      <w:tr>
        <w:trPr/>
        <w:tc>
          <w:tcPr>
            <w:tcW w:w="2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Equity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Sixth Amendment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514,677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(505,555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0"/>
        <w:gridCol w:w="146"/>
        <w:gridCol w:w="146"/>
        <w:gridCol w:w="571"/>
        <w:gridCol w:w="146"/>
        <w:gridCol w:w="146"/>
        <w:gridCol w:w="295"/>
        <w:gridCol w:w="486"/>
        <w:gridCol w:w="146"/>
        <w:gridCol w:w="146"/>
        <w:gridCol w:w="280"/>
        <w:gridCol w:w="1044"/>
        <w:gridCol w:w="146"/>
        <w:gridCol w:w="146"/>
        <w:gridCol w:w="243"/>
        <w:gridCol w:w="973"/>
        <w:gridCol w:w="166"/>
        <w:gridCol w:w="146"/>
        <w:gridCol w:w="326"/>
        <w:gridCol w:w="1143"/>
        <w:gridCol w:w="214"/>
      </w:tblGrid>
      <w:tr>
        <w:trPr/>
        <w:tc>
          <w:tcPr>
            <w:tcW w:w="3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Common stock share and related dollar information as well as Additional paid-in capital have been adjusted</w:t>
      </w:r>
      <w:r>
        <w:rPr>
          <w:rFonts w:ascii="Times New Roman" w:hAnsi="Times New Roman"/>
          <w:color w:val="000000"/>
          <w:sz w:val="20"/>
        </w:rPr>
        <w:t xml:space="preserve"> </w:t>
      </w:r>
      <w:r>
        <w:rPr>
          <w:rFonts w:ascii="Times New Roman" w:hAnsi="Times New Roman"/>
          <w:color w:val="000000"/>
          <w:sz w:val="16"/>
        </w:rPr>
        <w:t>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181" w:type="dxa"/>
        <w:jc w:val="left"/>
        <w:tblInd w:w="0" w:type="dxa"/>
        <w:tblLayout w:type="fixed"/>
        <w:tblCellMar>
          <w:top w:w="28" w:type="dxa"/>
          <w:left w:w="28" w:type="dxa"/>
          <w:bottom w:w="28" w:type="dxa"/>
          <w:right w:w="28" w:type="dxa"/>
        </w:tblCellMar>
      </w:tblPr>
      <w:tblGrid>
        <w:gridCol w:w="6636"/>
        <w:gridCol w:w="146"/>
        <w:gridCol w:w="266"/>
        <w:gridCol w:w="931"/>
        <w:gridCol w:w="210"/>
        <w:gridCol w:w="184"/>
        <w:gridCol w:w="266"/>
        <w:gridCol w:w="931"/>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17,690</w:t>
            </w:r>
          </w:p>
        </w:tc>
        <w:tc>
          <w:tcPr>
            <w:tcW w:w="6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9816" w:type="dxa"/>
        <w:jc w:val="left"/>
        <w:tblInd w:w="0" w:type="dxa"/>
        <w:tblLayout w:type="fixed"/>
        <w:tblCellMar>
          <w:top w:w="28" w:type="dxa"/>
          <w:left w:w="28" w:type="dxa"/>
          <w:bottom w:w="28" w:type="dxa"/>
          <w:right w:w="28" w:type="dxa"/>
        </w:tblCellMar>
      </w:tblPr>
      <w:tblGrid>
        <w:gridCol w:w="6691"/>
        <w:gridCol w:w="146"/>
        <w:gridCol w:w="317"/>
        <w:gridCol w:w="858"/>
        <w:gridCol w:w="219"/>
        <w:gridCol w:w="219"/>
        <w:gridCol w:w="317"/>
        <w:gridCol w:w="858"/>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Sixth Amendment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with five on-market blood-based tests and (ii) Biodesix Development Services (Development Services) providing diagnostic testing services to biopharmaceutical, life sciences, and diagnostic companies.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 and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2025.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March 31, 2026 was derived from the audited financial statements. Certain information and footnote disclosures for prior periods have been included and reclassified to conform to the current period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15, 2025, we effected a 1-for-20 reverse stock split, which reduced the number of our shares of common stock outstanding on that date from 155,958,071 shares to 7,797,830 shares. The number of authorized shares of our common stock and preferred stock remained unchanged at 200.0 million and 5.0 million, respectively. The number of shares of common stock issuable upon settlement of outstanding restricted stock units, exercise of stock options, and exercise of warrants was reduced proportionately as a result of the reverse stock split. Additionally, the exercise price of all outstanding options and warrants, the number of shares of common stock issuable upon exercise of all outstanding options and warrants, and the number of shares reserved for future issuance pursuant to our equity incentive plans were all adjusted proportionately as a result of the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stock share data share-based calculations and exercise prices set forth in this report have been adjusted to reflect our 1-for-20 reverse stock split, which was effective September 15, 2025, on a retroactive basis for the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U.S. and various other countries with respect to trade policies, treaties, tariffs and taxes. Current or future tariffs imposed by the U.S. may negatively impact our business. The extent to which these threats will be enacted and the duration for which enacted tariffs will be in place remain uncertain and could negatively affect our results of operations. The Company is currently evaluating its vendor relationships and assessing the overall impact of these trade policies; however, we do not expect a material impact to the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March 31, 2026 and December 31, 2025,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For both periods ended March 31, 2026 and December 31, 2025, the Company had $0.1 million restricted cash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assembly and testing services and charged to ‘Direct costs and expenses’. Inventory is stated at cost and reported within ‘Other current assets’ in the condensed balance sheets and was $1.5 million and $1.3 million as of March 31, 2026 and December 31, 2025, respectively. The Company recorded an insignificant reserve for excess inventory as of March 31, 2026 and December 31, 2025, respectively. During both the three months ended March 31, 2026 and 2025, the Company recorded an insignificant amount to the condensed statements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hAnsi="Times New Roman"/>
          <w:i/>
          <w:color w:val="000000"/>
          <w:sz w:val="20"/>
        </w:rPr>
        <w:t>Leases</w:t>
      </w:r>
      <w:r>
        <w:rPr>
          <w:rFonts w:ascii="Times New Roman" w:hAnsi="Times New Roman"/>
          <w:color w:val="000000"/>
          <w:sz w:val="20"/>
        </w:rPr>
        <w:t>). As of March 31, 2026 and December 31, 2025, the $5.0 million refundable deposit is reported within 'Other long-term assets' in the condensed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March 31, 2026 and December 31, 2025, the Company had $2.7 million and $3.0 million recorded as net finance lease ROU assets within 'Other long-term assets' in the balance sheets.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7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defined contribution retirement plan in which all employees are eligible to participate. The plan is intended to qualify under Section 401(k) of the Internal Revenue Code. Employees may elect to have a percentage of their compensation contributed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plan, subject to certain guidelines issued by the Internal Revenue Service. Beginning in 2025, the Company began making discretionary employer matching contributions. During the three months ended March 31, 2026 and 2025, the Company's total contributions to the plan were $0.4 million and $0.3 million,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Recently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became effective for the Company and, therefore, we adopted ASU 2023-09 for the annual period beginning on January 1, 2025. We applied the new disclosure requirements retrospectively to the prior periods.</w:t>
      </w:r>
    </w:p>
    <w:p>
      <w:pPr>
        <w:pStyle w:val="TextBody"/>
        <w:bidi w:val="0"/>
        <w:spacing w:before="120" w:after="283"/>
        <w:jc w:val="both"/>
        <w:rPr>
          <w:rFonts w:ascii="Times New Roman" w:hAnsi="Times New Roman"/>
          <w:sz w:val="20"/>
        </w:rPr>
      </w:pPr>
      <w:r>
        <w:rPr>
          <w:rFonts w:ascii="Times New Roman" w:hAnsi="Times New Roman"/>
          <w:color w:val="000000"/>
          <w:sz w:val="20"/>
        </w:rPr>
        <w:t>On July 2025, the FASB issued ASU 2025</w:t>
        <w:noBreakHyphen/>
        <w:t xml:space="preserve">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ASU provides a practical expedient for entities estimating expected credit losses on current trade receivables and contract assets arising from revenue transactions accounted for under Topic 606. The practical expedient allows entities to assume that current economic conditions as of the balance sheet date do not change for the remaining life of the current accounts receivable and current contract assets. Therefore, an entity will not need to develop reasonable and supportable forecasts of future economic conditions. The practical expedient applies only to current accounts receivable and current contract assets. Entities electing to apply the practical expedient must do so consistently across all current accounts receivable and current contract assets arising from transactions accounted for under Topic 606. The Company adopted this guidance, effective for the annual period beginning January 1, 2026, including interim periods. This guidance is required to be applied prospectively. The Company evaluated the available elections under the new standard and determined the adoption of ASU 2025</w:t>
        <w:noBreakHyphen/>
        <w:t>05 does not have a material impact on our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This ASU clarifies the interim reporting requirements by improving navigability of Topic 270 and more clearly specifying what disclosures are required in an interim reporting period. It is not intended to significantly change interim reporting or expand or reduce interim disclosure requirements. This guidance will become effective for the Company for the interim periods beginning after December 15, 2027, with early adoption permitted. The Company is currently evaluating this guidance and assessing the overall impact on its financial statements. However, based on our preliminary assessment, we do not expect the adoption of ASU 2025</w:t>
        <w:noBreakHyphen/>
        <w:t>11 to have a material impact on our interim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Our borrowing instruments are recorded at their carrying values in the condensed balance sheets, which may differ from their respective fair values. The fair value of borrowings as of March 31, 2026 and December 31, 2025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March 31, 2026 and December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contingent value rights granted to certain holders of our previously converted Series F Preferred Stock, which were accounted for as liabilities and remeasured through our condensed statements of operations and, prior to 2026,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fair values of these financial liabilities are classified as Level 3 in the fair value hierarchy, however, as of March 31, 2026 and December 31, 2025, there are no liability balances associated with contingent value rights or warrant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three months ended March 31, 2025 (in thousands):</w:t>
      </w:r>
    </w:p>
    <w:tbl>
      <w:tblPr>
        <w:tblW w:w="4448" w:type="dxa"/>
        <w:jc w:val="left"/>
        <w:tblInd w:w="0" w:type="dxa"/>
        <w:tblLayout w:type="fixed"/>
        <w:tblCellMar>
          <w:top w:w="28" w:type="dxa"/>
          <w:left w:w="28" w:type="dxa"/>
          <w:bottom w:w="28" w:type="dxa"/>
          <w:right w:w="28" w:type="dxa"/>
        </w:tblCellMar>
      </w:tblPr>
      <w:tblGrid>
        <w:gridCol w:w="2341"/>
        <w:gridCol w:w="146"/>
        <w:gridCol w:w="589"/>
        <w:gridCol w:w="118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250,000 shares of the Company's common stock (the Perceptive Warrant), including the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6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$15.86, the Company's closing stock price on February 28,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under the Perceptive Term Loan Facility for $10.0 million (the Tranche C Loan) pursuant to the Credit Agreement. As consideration for drawing the Tranche C Loan, the Company agreed to modify the previously agreed upon per share exercise price of $15.86 for the Tranche C Warrants to a new per share exercise price of $8.382, which was equal to the 10-day volume weighted average price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 Company recorded no change in fair value through the condensed statements of operations. During the three months ended March 31, 2025, the Company recorded $0.4 million as a change in fair value through the condensed statement of operations due to changes in unobservable inputs. This is a result of changes in the probability of our ability to draw on the Tranche C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14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CVR holders equal to 15% of net proceeds, as defined. During the three months ended March 31, 2026 and 2025, the Company recorded no change in fair value due to the remote probability of receiving net proceeds in excess of our initial co-development costs.</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6910" w:type="dxa"/>
        <w:jc w:val="left"/>
        <w:tblInd w:w="0" w:type="dxa"/>
        <w:tblLayout w:type="fixed"/>
        <w:tblCellMar>
          <w:top w:w="28" w:type="dxa"/>
          <w:left w:w="28" w:type="dxa"/>
          <w:bottom w:w="28" w:type="dxa"/>
          <w:right w:w="28" w:type="dxa"/>
        </w:tblCellMar>
      </w:tblPr>
      <w:tblGrid>
        <w:gridCol w:w="3076"/>
        <w:gridCol w:w="146"/>
        <w:gridCol w:w="321"/>
        <w:gridCol w:w="1119"/>
        <w:gridCol w:w="166"/>
        <w:gridCol w:w="146"/>
        <w:gridCol w:w="384"/>
        <w:gridCol w:w="134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$0.9 million for both the three months ended March 31, 2026 and 2025,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related to definite-lived intangible assets was $0.5 million for both the three months ended March 31, 2026 and 2025,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673" w:type="dxa"/>
        <w:jc w:val="left"/>
        <w:tblInd w:w="0" w:type="dxa"/>
        <w:tblLayout w:type="fixed"/>
        <w:tblCellMar>
          <w:top w:w="28" w:type="dxa"/>
          <w:left w:w="28" w:type="dxa"/>
          <w:bottom w:w="28" w:type="dxa"/>
          <w:right w:w="28" w:type="dxa"/>
        </w:tblCellMar>
      </w:tblPr>
      <w:tblGrid>
        <w:gridCol w:w="1696"/>
        <w:gridCol w:w="146"/>
        <w:gridCol w:w="388"/>
        <w:gridCol w:w="105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405" w:type="dxa"/>
        <w:jc w:val="left"/>
        <w:tblInd w:w="0" w:type="dxa"/>
        <w:tblLayout w:type="fixed"/>
        <w:tblCellMar>
          <w:top w:w="28" w:type="dxa"/>
          <w:left w:w="28" w:type="dxa"/>
          <w:bottom w:w="28" w:type="dxa"/>
          <w:right w:w="28" w:type="dxa"/>
        </w:tblCellMar>
      </w:tblPr>
      <w:tblGrid>
        <w:gridCol w:w="2611"/>
        <w:gridCol w:w="146"/>
        <w:gridCol w:w="388"/>
        <w:gridCol w:w="1052"/>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8095" w:type="dxa"/>
        <w:jc w:val="left"/>
        <w:tblInd w:w="0" w:type="dxa"/>
        <w:tblLayout w:type="fixed"/>
        <w:tblCellMar>
          <w:top w:w="28" w:type="dxa"/>
          <w:left w:w="28" w:type="dxa"/>
          <w:bottom w:w="28" w:type="dxa"/>
          <w:right w:w="28" w:type="dxa"/>
        </w:tblCellMar>
      </w:tblPr>
      <w:tblGrid>
        <w:gridCol w:w="4261"/>
        <w:gridCol w:w="146"/>
        <w:gridCol w:w="342"/>
        <w:gridCol w:w="1098"/>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On May 8, 2025, the Company exercised its ability to draw the Tranche C loan for $10.0 million. The Perceptive Term Loan Facility had an original maturity date of November 21, 2027, and on February 25, 2026 (the Sixth Amendment Effective Date), the Company entered into the Sixth Amendment to the Credit Agreement (the Sixth Amendment) with the Lender, whereby subject to the terms and conditions of the Sixth Amendment, the Perceptive Term Loan Facility Maturity Date was extended to November 21, 2028 (the Extended Maturity Date). The Perceptive Term Loan Facility continues to provide an interest-only period through the Extended Maturity 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March 31, 2026, the stated interest rate was approximately 12.67%.</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Extended Maturity Date, the Company is required to pay the Lender the aggregate outstanding principal amount underlying the Perceptive Term Loan Facility and any accrued and unpaid interest thereon. Prior to the Extended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on the Funding Date, the Company issued the Perceptive Warrant to purchase up to 250,000 shares of the Company's common stock, including the Initial Warrants which are equity classified at a per share exercise price which was equal to $21.296, the 10-day VWAP of the Company’s common stock, on the business day immediately prior to the Closing Date of the Tranche A Loan. In connection with the Tranche B borrowing, additional warrants became exercisable into 50,000 shares of common stock which had a per share exercise price equal to $21.296, which was equal to the Initial Warrant exercise price (the Tranche B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Warrants and Tranche B Warrants, additional warrants became exercisable into 50,000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As consideration for drawing the Tranche C Loan in May 2025, the Company agreed to modify the previously agreed upon per share exercise price of $21.296 for the Perceptive Warrant and per share exercise price of $32.508 for the First Amendment Warrants, to purchase up to 275,000 shares of the Company's common stock, at a new per share exercise price of $8.382, which is equal to the 10-day VWAP of the Company’s common stock on May 9, 2025, the business day immediately preceding the Tranche C Loan borrowing date. The modification of the per share exercise price resulted in an increase in the fair value of the Tranche A Warrants, Tranche B Warrants,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consideration for the Sixth Amendment, the Company agreed to issue to Perceptive a warrant to purchase up to 100,000 shares of the Company’s common stock (the Sixth Amendment Warrants), which are equity classified and immediately vested and exercisable, at a per share exercise price equal to $12.93, the Company’s closing stock price on the Sixth Amendment Effective Date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ended March 31, 2023, meet certain minimum net revenue threshold amounts agreed to between the Company and Perceptive.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Sixth Amendment and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March 31, 2026,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Closing Date, the Initial Warrants and Tranche B and C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 of $5.2 million. The First Amendment Warrants were valued at $0.7 million using the Black-Scholes option-pricing model which was recognized as a discount on the Perceptive Term Loan Facility. The Sixth Amendment Warrants were valued at $1.3 million using the Black-Scholes option-pricing model which was recognized as a discount on the Perceptive Term Loan Facility. The Company recorded the debt discount as a reduction to the principal amount of the debt and is amortized as interest expense over the remaining term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658" w:type="dxa"/>
        <w:jc w:val="left"/>
        <w:tblInd w:w="0" w:type="dxa"/>
        <w:tblLayout w:type="fixed"/>
        <w:tblCellMar>
          <w:top w:w="28" w:type="dxa"/>
          <w:left w:w="28" w:type="dxa"/>
          <w:bottom w:w="28" w:type="dxa"/>
          <w:right w:w="28" w:type="dxa"/>
        </w:tblCellMar>
      </w:tblPr>
      <w:tblGrid>
        <w:gridCol w:w="1681"/>
        <w:gridCol w:w="146"/>
        <w:gridCol w:w="342"/>
        <w:gridCol w:w="1098"/>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The Company leases its corporate headquarters and laboratory facilities in Louisville, Colorado and additional laboratory and office space in De Soto, Kansas, both of which are under non-cancelable lease agreements. On July 1, 2025, the Company amended the De Soto lease agreement to extend the term from October 2026 to June 2030.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March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for both the three months ended March 31, 2026 and 2025, respectively. As of March 31, 2026, the weighted-average remaining lease term and discount rate associated with our operating leases were 8.8 years and 11.5%,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378" w:type="dxa"/>
        <w:jc w:val="left"/>
        <w:tblInd w:w="0" w:type="dxa"/>
        <w:tblLayout w:type="fixed"/>
        <w:tblCellMar>
          <w:top w:w="28" w:type="dxa"/>
          <w:left w:w="28" w:type="dxa"/>
          <w:bottom w:w="28" w:type="dxa"/>
          <w:right w:w="28" w:type="dxa"/>
        </w:tblCellMar>
      </w:tblPr>
      <w:tblGrid>
        <w:gridCol w:w="3381"/>
        <w:gridCol w:w="146"/>
        <w:gridCol w:w="321"/>
        <w:gridCol w:w="1119"/>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25,121</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During the three months ended March 31, 2026, the Company raised approximately $17.2 million ($16.7 million after deducting underwriting discounts and commissions and offering expenses payable), in gross proceeds from the sale of 1,771,103 common shares at a weighted average price per share of $9.72. The Company had remaining available capacity for share issuances of up to $25.5 million under the 2024 ATM Program as of March 31,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Series G warrants to purchase shares of convertible preferred stock in conjunction with the sale of certain convertible preferred shares and issuance of debt. The Series G warrants were immediately exercisable upon issuance and expire on February 23, 2028. Through the effective date of the Company’s initial public offering (IPO) in October 2020, the Series G warrants were remeasured to an estimate of fair value using a Black-Scholes option-pricing model. As a result of the Company’s IPO, the Series G warrants were automatically converted to warrants to purchase 5,166 shares of common stock with a weighted average exercise price of $89.04 and were also transferred to additional paid-in capital. All common stock warrants remain outstanding as of March 31,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Company issued the Perceptive Warrant to purchase up to 250,000 shares of the Company's common stock, including the Initial Warrants. The per share exercise price for the Initial Warrants was equal to $21.296.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10, 2023, as consideration for the first amendment to the Credit Agreement, the Company agreed to issue to Perceptive a warrant to purchase up to 25,000 shares of the Company’s common stock (the First Amendment Warrants). The per share exercise price was equal to $32.508.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March 31,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was equal to $21.296.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Warrants, Tranche B Warrants,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(see Note 6 – </w:t>
      </w:r>
      <w:r>
        <w:rPr>
          <w:rFonts w:ascii="Times New Roman" w:hAnsi="Times New Roman"/>
          <w:i/>
          <w:color w:val="000000"/>
          <w:sz w:val="20"/>
        </w:rPr>
        <w:t>Debt</w:t>
      </w:r>
      <w:r>
        <w:rPr>
          <w:rFonts w:ascii="Times New Roman" w:hAnsi="Times New Roman"/>
          <w:color w:val="000000"/>
          <w:sz w:val="20"/>
        </w:rPr>
        <w:t xml:space="preserve">).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$8.382. The Tranche C Warrants are now equity classified and immediately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March 31,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25, 2026, as consideration for the Sixth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100,000 shares of the Company’s common stock (the Sixth Amendment Warrants). The per share exercise price was equal to $12.93. The Sixth Amendment Warrants are equity classified and immediately exercisable upon issuance and expire on February 25, 2036. The Sixth Amendment Warrants were valued at $1.3 million using the Black-Scholes option-pricing model assuming an expected term of 10 years, a volatility of 129.8%, a dividend yield of 0% and a risk-free interest rate of 4.01%. All Sixth Amendment Warrants remain outstanding as of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the contract.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5263" w:type="dxa"/>
        <w:jc w:val="left"/>
        <w:tblInd w:w="0" w:type="dxa"/>
        <w:tblLayout w:type="fixed"/>
        <w:tblCellMar>
          <w:top w:w="28" w:type="dxa"/>
          <w:left w:w="28" w:type="dxa"/>
          <w:bottom w:w="28" w:type="dxa"/>
          <w:right w:w="28" w:type="dxa"/>
        </w:tblCellMar>
      </w:tblPr>
      <w:tblGrid>
        <w:gridCol w:w="1936"/>
        <w:gridCol w:w="146"/>
        <w:gridCol w:w="285"/>
        <w:gridCol w:w="913"/>
        <w:gridCol w:w="197"/>
        <w:gridCol w:w="197"/>
        <w:gridCol w:w="285"/>
        <w:gridCol w:w="913"/>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or to be received in advance of delivery. As test results are delivered, the Company recognizes the deferred revenue in ‘Revenues’ in the condensed statements of operations. The Company had $1.0 million in ‘Deferred revenue’ recorded in the condensed balance sheet as of December 31, 2025, and $0.1 million was added throughout 2026 to ‘Deferred revenue’ for up-front cash payments while $0.9 million was recognized in revenues during the three months ended March 31, 2026. The ‘Deferred revenue’ of $0.2 million recorded in the condensed balance sheet as of March 31, 2026 is expected to be recognized in revenues over the next twelve months as test results are delivered and services are performed. As of March 31, 2026 and December 31, 2025, the Company had $0.1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collect reimbursement on behalf of customers covered by Medicare, which accounted for 32% of the Company’s total revenue for the three months ended March 31, 2026 compared to 36% for the three months ended March 31, 2025. No other customers were in excess of 10% of revenue for the three months ended March 31,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4930" w:type="dxa"/>
        <w:jc w:val="left"/>
        <w:tblInd w:w="0" w:type="dxa"/>
        <w:tblLayout w:type="fixed"/>
        <w:tblCellMar>
          <w:top w:w="28" w:type="dxa"/>
          <w:left w:w="28" w:type="dxa"/>
          <w:bottom w:w="28" w:type="dxa"/>
          <w:right w:w="28" w:type="dxa"/>
        </w:tblCellMar>
      </w:tblPr>
      <w:tblGrid>
        <w:gridCol w:w="886"/>
        <w:gridCol w:w="146"/>
        <w:gridCol w:w="454"/>
        <w:gridCol w:w="986"/>
        <w:gridCol w:w="271"/>
        <w:gridCol w:w="146"/>
        <w:gridCol w:w="544"/>
        <w:gridCol w:w="1181"/>
        <w:gridCol w:w="3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March 31, 2026, 92,864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7031" w:type="dxa"/>
        <w:jc w:val="left"/>
        <w:tblInd w:w="0" w:type="dxa"/>
        <w:tblLayout w:type="fixed"/>
        <w:tblCellMar>
          <w:top w:w="28" w:type="dxa"/>
          <w:left w:w="28" w:type="dxa"/>
          <w:bottom w:w="28" w:type="dxa"/>
          <w:right w:w="28" w:type="dxa"/>
        </w:tblCellMar>
      </w:tblPr>
      <w:tblGrid>
        <w:gridCol w:w="3706"/>
        <w:gridCol w:w="146"/>
        <w:gridCol w:w="345"/>
        <w:gridCol w:w="934"/>
        <w:gridCol w:w="238"/>
        <w:gridCol w:w="238"/>
        <w:gridCol w:w="345"/>
        <w:gridCol w:w="688"/>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2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$4.7 million as of March 31, 2026, and is expected to be amortized to expense over the next 2.4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three months ended March 31, 2026 was (in thousands, except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57"/>
        <w:gridCol w:w="748"/>
        <w:gridCol w:w="166"/>
        <w:gridCol w:w="146"/>
        <w:gridCol w:w="453"/>
        <w:gridCol w:w="1227"/>
        <w:gridCol w:w="146"/>
        <w:gridCol w:w="146"/>
        <w:gridCol w:w="483"/>
        <w:gridCol w:w="1197"/>
        <w:gridCol w:w="146"/>
        <w:gridCol w:w="146"/>
        <w:gridCol w:w="267"/>
        <w:gridCol w:w="72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fair value of the stock options to purchase common stock granted during the three months ended March 31, 2026 and 2025 was $6.10 and $13.15,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three months ended March 31, 2026 was (in thousands, except weighted average grant date fair value per share):</w:t>
      </w:r>
    </w:p>
    <w:tbl>
      <w:tblPr>
        <w:tblW w:w="8050" w:type="dxa"/>
        <w:jc w:val="left"/>
        <w:tblInd w:w="0" w:type="dxa"/>
        <w:tblLayout w:type="fixed"/>
        <w:tblCellMar>
          <w:top w:w="28" w:type="dxa"/>
          <w:left w:w="28" w:type="dxa"/>
          <w:bottom w:w="28" w:type="dxa"/>
          <w:right w:w="28" w:type="dxa"/>
        </w:tblCellMar>
      </w:tblPr>
      <w:tblGrid>
        <w:gridCol w:w="2686"/>
        <w:gridCol w:w="146"/>
        <w:gridCol w:w="415"/>
        <w:gridCol w:w="1205"/>
        <w:gridCol w:w="166"/>
        <w:gridCol w:w="146"/>
        <w:gridCol w:w="780"/>
        <w:gridCol w:w="2115"/>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three months ended March 31, 2026 and 2025, 48,083 shares and 23,244 shares were issued under the ESPP, respectively. The total number of shares available for grant under the ESPP as of March 31, 2026 was 84,090.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as of the dates indicated below were (in thousands, except per share amounts):</w:t>
      </w:r>
    </w:p>
    <w:tbl>
      <w:tblPr>
        <w:tblW w:w="7786" w:type="dxa"/>
        <w:jc w:val="left"/>
        <w:tblInd w:w="0" w:type="dxa"/>
        <w:tblLayout w:type="fixed"/>
        <w:tblCellMar>
          <w:top w:w="28" w:type="dxa"/>
          <w:left w:w="28" w:type="dxa"/>
          <w:bottom w:w="28" w:type="dxa"/>
          <w:right w:w="28" w:type="dxa"/>
        </w:tblCellMar>
      </w:tblPr>
      <w:tblGrid>
        <w:gridCol w:w="4461"/>
        <w:gridCol w:w="146"/>
        <w:gridCol w:w="280"/>
        <w:gridCol w:w="838"/>
        <w:gridCol w:w="220"/>
        <w:gridCol w:w="193"/>
        <w:gridCol w:w="280"/>
        <w:gridCol w:w="977"/>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6296" w:type="dxa"/>
        <w:jc w:val="left"/>
        <w:tblInd w:w="0" w:type="dxa"/>
        <w:tblLayout w:type="fixed"/>
        <w:tblCellMar>
          <w:top w:w="28" w:type="dxa"/>
          <w:left w:w="28" w:type="dxa"/>
          <w:bottom w:w="28" w:type="dxa"/>
          <w:right w:w="28" w:type="dxa"/>
        </w:tblCellMar>
      </w:tblPr>
      <w:tblGrid>
        <w:gridCol w:w="2971"/>
        <w:gridCol w:w="146"/>
        <w:gridCol w:w="258"/>
        <w:gridCol w:w="1011"/>
        <w:gridCol w:w="258"/>
        <w:gridCol w:w="258"/>
        <w:gridCol w:w="258"/>
        <w:gridCol w:w="745"/>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the Company has incurred net taxable losses, and accordingly, no provision for income taxes has been recorded. There was no cash paid for income taxes during the three months ended March 31,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the Company’s revenue and all long-lived assets were derived or are located in the United States for the three months ended March 31, 2026 and 2025.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6973"/>
        <w:gridCol w:w="146"/>
        <w:gridCol w:w="264"/>
        <w:gridCol w:w="849"/>
        <w:gridCol w:w="207"/>
        <w:gridCol w:w="182"/>
        <w:gridCol w:w="264"/>
        <w:gridCol w:w="924"/>
        <w:gridCol w:w="396"/>
      </w:tblGrid>
      <w:tr>
        <w:trPr/>
        <w:tc>
          <w:tcPr>
            <w:tcW w:w="6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2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3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was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2020, the Company exercised its opt-out right with AVEO for the payment of 50% of development and regulatory costs for ficlatuzumab effective December 2, 2020 (the AVEO Effective Date). Following the AVEO Effective Date, the Company is entitled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On January 19, 2023, LG Chem, Ltd. (LG Chem) announced the acquisition of AVEO which would become the US foundation for LG Chem Life Sciences' Oncology Division. In January 2024, LG Chem announced the initiation of the Phase 3 clinical trial for ficlatuzumab and, if approved by the FDA, LG Chem plans to launch the ficlatuzumab product in the global market, including the United States, by 2028. There were no royalties received related to this agreement for the three months ended March 31,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the Company entered into a non-exclusive license agreement with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In May 2024, the Company amended the agreement to extend the Bio-Rad License from August 2024 to August 2026. In August 2019, the Company also agreed to purchase all the necessary supplies and reagents for such testing exclusively from Bio-Rad, pursuant to 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for both the three months ended March 31,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$0.4 million for both the three months ended March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March 31, 2026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2025 (Form 10-K) and the Condensed Financial Statements as of March 31, 2026 and for the three months ended March 31, 2026 and 2025,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2025, which was filed on February 26,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March 31, 2026 and 2025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months ended March 31, 2026 and 2025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(Nodify Lung® tests) that assess the risk of cancer in lung nodules and three tests (IQLung®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xml:space="preserve">® tests, marketed as Nodify Lung® Nodule Risk Assessment, assess a suspicious lung nodule's risk of lung cancer to help identify the most appropriate treatment pathway.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w:t>
      </w:r>
      <w:r>
        <w:rPr>
          <w:rFonts w:ascii="Times New Roman" w:hAnsi="Times New Roman"/>
          <w:b/>
          <w:i/>
          <w:color w:val="000000"/>
          <w:sz w:val="20"/>
        </w:rPr>
        <w:t>the only company</w:t>
      </w:r>
      <w:r>
        <w:rPr>
          <w:color w:val="000000"/>
        </w:rPr>
        <w:t xml:space="preserve"> </w:t>
      </w:r>
      <w:r>
        <w:rPr>
          <w:rFonts w:ascii="Times New Roman" w:hAnsi="Times New Roman"/>
          <w:color w:val="000000"/>
          <w:sz w:val="20"/>
        </w:rPr>
        <w:t>to offer two Medicare covered commercial blood-based tests to help physicians 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 xml:space="preserve">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actionable mutations in lung cancer. The test is covered independent of cancer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business lines. Customer mix stemming from our two business lines has the potential to significantly impact our results of operations, as the average selling price for biopharmaceutical sample testing is currently significantly higher than our average selling price for clinical tests since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payers who were previously either not covering or paying a reduced rate for the tests may decide in the future to start or restart reimbursing for one or more of our tests. In the three months ended September 30, 2025, a major third party commercial payer who had previously stopped reimbursing us for certain of our tests began reimbursing claims for use of the tests. While we currently expect this trend to continue, there is no guarantee of future reimbursement performance from this particular payer or any other payer.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the end of 2026. The participant data will be monitored, and sites will be closed accordingly throughout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 Patient enrollment requirements were reached in July 2025. All study participants are in two-year follow-up.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 Through March 31, 2026, the study has accrued over 1,700 patients.</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over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Development Services including biopharmaceutical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Development Services including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 Item 1A. “Risk Factors”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First Quarter 2026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March 31, 2026 as compared to the same period in 2025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Testing revenue was $22.3 million in the first quarter, representing 37% year-over-year growth, driven by a 29% increase in test volumes to 17,800 and higher average revenue per test. The improvement in average revenue per test was primarily attributable to expanded payer coverage and enhancements to revenue cycle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of $3.3 million in the first quarter 2026, representing a 99% increase year over year, driven by continued execution on existing contracts and the addition of new Development Services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of $25.6 million in the first quarter 2026, an increase of 42%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was 84% in the first quarter, including a one</w:t>
        <w:noBreakHyphen/>
        <w:t>time recovery of $0.4 million related to previously paid sales and use taxes. Excluding this one</w:t>
        <w:noBreakHyphen/>
        <w:t>time item, gross margin was 82%, representing a 300</w:t>
        <w:noBreakHyphen/>
        <w:t>basis</w:t>
        <w:noBreakHyphen/>
        <w:t>point improvement over the prior</w:t>
        <w:noBreakHyphen/>
        <w:t>year period. Margin expansion was driven by higher Diagnostic Testing volumes, improved average revenue per test, and continued optimization of laboratory workflows, resulting in a lower cost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$27.6 million for the first quarter 2026, an increase of 18% over the respective prior year comparable period. Sales, marketing, and general administrative investment increased 19% to support the 42% revenue growth delivered in the first quarter. The Company expects continued operating leverage as our expanded sales team advances along the productivity curve and converts growing experience into sustained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$1.1 million during the first quarter 2026, an increase of 15%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$7.8 million for the first quarter 2026, an improvement of 30%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of $25.6 million, an increase of 35% over the period ending December 31, 2025. Change in cash included $16.8 million of at-the-market net proceeds, partially offset by the planned cash outflows that occur annually during the first quarter of the year.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 is generated from the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which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projects with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2026 and 2025 interest expense primarily consists of cash and non-cash interest from the Perceptive Term Loan Facility. Interest income, which is included in ‘Other income, net’ in the condensed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9389" w:type="dxa"/>
        <w:jc w:val="left"/>
        <w:tblInd w:w="0" w:type="dxa"/>
        <w:tblLayout w:type="fixed"/>
        <w:tblCellMar>
          <w:top w:w="28" w:type="dxa"/>
          <w:left w:w="28" w:type="dxa"/>
          <w:bottom w:w="28" w:type="dxa"/>
          <w:right w:w="28" w:type="dxa"/>
        </w:tblCellMar>
      </w:tblPr>
      <w:tblGrid>
        <w:gridCol w:w="3906"/>
        <w:gridCol w:w="146"/>
        <w:gridCol w:w="274"/>
        <w:gridCol w:w="879"/>
        <w:gridCol w:w="215"/>
        <w:gridCol w:w="189"/>
        <w:gridCol w:w="274"/>
        <w:gridCol w:w="957"/>
        <w:gridCol w:w="166"/>
        <w:gridCol w:w="146"/>
        <w:gridCol w:w="211"/>
        <w:gridCol w:w="571"/>
        <w:gridCol w:w="166"/>
        <w:gridCol w:w="146"/>
        <w:gridCol w:w="146"/>
        <w:gridCol w:w="421"/>
        <w:gridCol w:w="576"/>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31,756</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7216" w:type="dxa"/>
        <w:jc w:val="left"/>
        <w:tblInd w:w="0" w:type="dxa"/>
        <w:tblLayout w:type="fixed"/>
        <w:tblCellMar>
          <w:top w:w="28" w:type="dxa"/>
          <w:left w:w="28" w:type="dxa"/>
          <w:bottom w:w="28" w:type="dxa"/>
          <w:right w:w="28" w:type="dxa"/>
        </w:tblCellMar>
      </w:tblPr>
      <w:tblGrid>
        <w:gridCol w:w="2036"/>
        <w:gridCol w:w="146"/>
        <w:gridCol w:w="285"/>
        <w:gridCol w:w="913"/>
        <w:gridCol w:w="197"/>
        <w:gridCol w:w="197"/>
        <w:gridCol w:w="285"/>
        <w:gridCol w:w="913"/>
        <w:gridCol w:w="146"/>
        <w:gridCol w:w="146"/>
        <w:gridCol w:w="211"/>
        <w:gridCol w:w="571"/>
        <w:gridCol w:w="146"/>
        <w:gridCol w:w="146"/>
        <w:gridCol w:w="146"/>
        <w:gridCol w:w="316"/>
        <w:gridCol w:w="416"/>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revenues increased $7.6 million, or 42%, for the three months ended March 31, 2026 compared to the same period in 2025.</w:t>
      </w:r>
    </w:p>
    <w:p>
      <w:pPr>
        <w:pStyle w:val="TextBody"/>
        <w:bidi w:val="0"/>
        <w:jc w:val="both"/>
        <w:rPr>
          <w:rFonts w:ascii="Times New Roman" w:hAnsi="Times New Roman"/>
          <w:color w:val="000000"/>
          <w:sz w:val="20"/>
        </w:rPr>
      </w:pPr>
      <w:r>
        <w:rPr>
          <w:rFonts w:ascii="Times New Roman" w:hAnsi="Times New Roman"/>
          <w:color w:val="000000"/>
          <w:sz w:val="20"/>
        </w:rPr>
        <w:t>Diagnostic Tests revenue increased $6.0 million, or 37%, for the three months ended March 31, 2026 compared to the same period in 2025. The increase is primarily due to an increase of $6.1 million in the Nodify Lung Nodule Risk Assessment testing strategy driven by increases in tests delivered and improvements in average revenue per test as our sales efforts continue to focus on Nodify CDT and XL2 tests. This increase in revenue was partially offset by a $0.1 million decrease in the IQLung testing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increased $1.6 million, or 99%, for the three months ended March 31, 2026 compared to the same period in 2025. The increase in revenue was primarily a result of delivering against our expanding book of business and securing new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$0.5 million, or 14%, for the three months ended March 31, 2026 compared to the same period in 2025, primarily driven by the increase in testing volume. Additionally, during the three months ended March 31, 2026, the Company recognized a one-time recovery of previously paid sales and use taxes, which were recorded in Direct costs and expenses in prior periods. The recovery of $0.4 million was recorded as a reduction to Direct costs and expenses in the current period. This item is non-recurring and is not expected to continue in future periods. Excluding this one-time recovery, Direct costs and expenses would have increased $0.9 million, or 25%, compared to the same period in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$0.4 million, or 14%, for the three months ended March 31, 2026 compared to the same period in 2025. The increase in costs was primarily due to an increase in internal expenses associated with employee compensation and benefit costs resulting from an increase in headcount and variable compensation as well as an increase in external costs associated with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months ended March 31, 2026 and 2025 (in thousands, except percentages):</w:t>
      </w:r>
    </w:p>
    <w:tbl>
      <w:tblPr>
        <w:tblW w:w="8824" w:type="dxa"/>
        <w:jc w:val="left"/>
        <w:tblInd w:w="0" w:type="dxa"/>
        <w:tblLayout w:type="fixed"/>
        <w:tblCellMar>
          <w:top w:w="28" w:type="dxa"/>
          <w:left w:w="28" w:type="dxa"/>
          <w:bottom w:w="28" w:type="dxa"/>
          <w:right w:w="28" w:type="dxa"/>
        </w:tblCellMar>
      </w:tblPr>
      <w:tblGrid>
        <w:gridCol w:w="3496"/>
        <w:gridCol w:w="146"/>
        <w:gridCol w:w="317"/>
        <w:gridCol w:w="858"/>
        <w:gridCol w:w="219"/>
        <w:gridCol w:w="219"/>
        <w:gridCol w:w="317"/>
        <w:gridCol w:w="858"/>
        <w:gridCol w:w="146"/>
        <w:gridCol w:w="146"/>
        <w:gridCol w:w="211"/>
        <w:gridCol w:w="421"/>
        <w:gridCol w:w="146"/>
        <w:gridCol w:w="146"/>
        <w:gridCol w:w="146"/>
        <w:gridCol w:w="316"/>
        <w:gridCol w:w="7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increased $3.8 million, or 19%, for the three months ended March 31, 2026 compared to the same period in 2025. The increase in costs was primarily due to an increase in internal expenses associated with employee compensation and benefit costs resulting from an increase in headcount and variable compensation as well as an increase in external costs associated with sales and marketing educational and event expenses. These increases are due to the planned expansion of the sales team to support Lung Diagnostic sales growth, as well as to enhance Biodesix awareness and drive product adoption.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increased $0.3 million, or 17%, for the three months ended March 31, 2026 compared to the same period in 2025. The interest expense for the three months ended March 31, 2026 is primarily related to interest and amortization of debt issuance costs associated with the Perceptive Term Loan Facility of $2.0 million compared to $1.7 million for the three months ended March 31, 2025. The increase is due to the Company drawing the Tranche C loan of $10.0 million in May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$15.86, the Company's closing stock price on February 28, 2025. During the three months ended March 31, 2025, the Company recorded a $0.4 million loss as a change in fair value of warrant liability through the condensed statements of operations due to changes in unobservable inputs. This was a result of changes in the probability of our ability to draw on the Tranche C Loan. The Tranche C Warrants were subsequently reclassified to equity during the three months ended June 30, 2025 in connection with the draw of the Tranche C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the Company recorded no change in fair value of warrant liability through the condensed statements of operations.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 Company recorded other income, net of $0.4 million primarily related to interest and other income. During the three months ended March 31, 2025, the Company recorded other income, net of $0.1 million primarily related to interest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Thus far in our operating history, we have yet to generate annual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150,000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On May 8, 2025, the Company exercised its ability to draw the Tranche C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25, 2026 (the Sixth Amendment Effective Date), the Company entered into the Sixth Amendment to the Credit Agreement (the Sixth Amendment) with Perceptive, whereby subject to the terms and conditions of the Sixth Amendment, the Perceptive Term Loan Facility Maturity Date was extended to November 21, 2028 (the Extended Maturity Date).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The Perceptive Term Loan Facility continues to provide for an interest-only period through the Extended Maturity Date at an annual rate equal to the greater of (a) forward-looking one-month term SOFR as posted by CME Group Inc. and (b) 3.0% per annum, plus an applicable margin of 9.0%.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During the three months ended March 31, 2026, the Company raised approximately $17.2 million ($16.7 million after deducting underwriting discounts and commissions and offering expenses payable), in gross proceeds from the sale of 1,771,103 common shares at a weighted average price per share of $9.72. The Company had remaining available capacity for share issuances of up to $25.5 million under the 2024 ATM Program.</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9211" w:type="dxa"/>
        <w:jc w:val="left"/>
        <w:tblInd w:w="0" w:type="dxa"/>
        <w:tblLayout w:type="fixed"/>
        <w:tblCellMar>
          <w:top w:w="28" w:type="dxa"/>
          <w:left w:w="28" w:type="dxa"/>
          <w:bottom w:w="28" w:type="dxa"/>
          <w:right w:w="28" w:type="dxa"/>
        </w:tblCellMar>
      </w:tblPr>
      <w:tblGrid>
        <w:gridCol w:w="5866"/>
        <w:gridCol w:w="146"/>
        <w:gridCol w:w="280"/>
        <w:gridCol w:w="977"/>
        <w:gridCol w:w="220"/>
        <w:gridCol w:w="193"/>
        <w:gridCol w:w="280"/>
        <w:gridCol w:w="838"/>
        <w:gridCol w:w="4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resulted in a net increase in cash and cash equivalents and restricted cash of $6.6 million during the three months ended March 31, 2026 as compared to a net decrease in cash of $8.6 million for the three months ended March 31, 2025. For the three months ended March 31, 2026, net cash used in operating activities totaled $10.2 million, an increase of approximately $1.6 million compared to the same period in 2025 primarily due to unfavorable changes in net working capital of $4.5 million resulting from the timing of cash receipts from customers and payments to vendors, partially offset by a year-over-year decrease in net loss from operations of $3.3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three months ended March 31, 2026 totaled $0.1 million, an insignificant increase compared to the same period in 2025. The increase in net cash used in investing activities was primarily due to increases in purchases of property and equipment and capital expenditures.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three months ended March 31, 2026 totaled $16.9 million, an increase of $16.8 million compared to the same period in 2025. The net cash provided by financing activities for the three months ended March 31, 2026 primarily resulted from $17.2 million in gross proceeds from the issuance of common stock under our 2024 ATM Program and $0.4 million in net proceeds from our ESPP, partially offset by payments of $0.5 million in equity financing costs and $0.2 million associated with our finance lease obligations. The net cash provided by financing activities for the three months ended March 31, 2025 primarily resulted from $0.3 million in net proceeds from our ESPP, partially offset by payments of $0.2 million associated with our finance lease obligations.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March 31, 2026 (in thousands):</w:t>
      </w:r>
    </w:p>
    <w:tbl>
      <w:tblPr>
        <w:tblW w:w="8512"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2025, which was filed on February 26,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March 31, 2026,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a hypothetical 100 basis point increase in interest rates would have an estimated $0.5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March 31, 2026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there have been no material changes to the risk factors as disclosed in “Item 1A. Risk Factors” of our Annual Report on Form 10-K as of and for the year ended December 31, 2025, filed February 26, 2026.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payer reimbursement policies, claims review practices and broader healthcare policy and enforcement priorities may affect coverage, reimbursement rates, and the timing and amount of payment for our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payer reimbursement policies, claims review practices and broader healthcare policy and enforcement priorities, including initiatives focused on fraud and abuse such as the Trump Administration’s CMS Request for Information for a potential forthcoming “CRUSH” rule focused on strengthening program integrity across federal healthcare programs, may affect coverage, reimbursement rates and the timing and amount of payment for our tests. Such changes may also increase administrative burdens and lead to additional denials, payment delays, recoupments or refund requests, any of which could adversely affect our revenue and results of operations. Because payer policies and enforcement priorities can change rapidly and vary across jurisdictions and payers, the ultimate impact of these developments on our business and financial performance remains uncertain.</w:t>
      </w:r>
    </w:p>
    <w:p>
      <w:pPr>
        <w:pStyle w:val="TextBody"/>
        <w:bidi w:val="0"/>
        <w:spacing w:before="12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35"/>
        <w:gridCol w:w="146"/>
        <w:gridCol w:w="9032"/>
        <w:gridCol w:w="192"/>
      </w:tblGrid>
      <w:tr>
        <w:trPr/>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1681"/>
        <w:gridCol w:w="146"/>
        <w:gridCol w:w="406"/>
        <w:gridCol w:w="288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4, 2026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1" w:name="bdsx-ex31_1.htm"/>
      <w:bookmarkStart w:id="22" w:name="ksbds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13" w:type="dxa"/>
        <w:jc w:val="left"/>
        <w:tblInd w:w="0" w:type="dxa"/>
        <w:tblLayout w:type="fixed"/>
        <w:tblCellMar>
          <w:top w:w="28" w:type="dxa"/>
          <w:left w:w="28" w:type="dxa"/>
          <w:bottom w:w="28" w:type="dxa"/>
          <w:right w:w="28" w:type="dxa"/>
        </w:tblCellMar>
      </w:tblPr>
      <w:tblGrid>
        <w:gridCol w:w="163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31_2.htm"/>
      <w:bookmarkStart w:id="24" w:name="ksbdsx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98" w:type="dxa"/>
        <w:jc w:val="left"/>
        <w:tblInd w:w="0" w:type="dxa"/>
        <w:tblLayout w:type="fixed"/>
        <w:tblCellMar>
          <w:top w:w="28" w:type="dxa"/>
          <w:left w:w="28" w:type="dxa"/>
          <w:bottom w:w="28" w:type="dxa"/>
          <w:right w:w="28" w:type="dxa"/>
        </w:tblCellMar>
      </w:tblPr>
      <w:tblGrid>
        <w:gridCol w:w="1636"/>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2_1.htm"/>
      <w:bookmarkStart w:id="26" w:name="ksbdsxex32_1"/>
      <w:bookmarkEnd w:id="25"/>
      <w:bookmarkEnd w:id="26"/>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259" w:type="dxa"/>
        <w:jc w:val="left"/>
        <w:tblInd w:w="0" w:type="dxa"/>
        <w:tblLayout w:type="fixed"/>
        <w:tblCellMar>
          <w:top w:w="28" w:type="dxa"/>
          <w:left w:w="28" w:type="dxa"/>
          <w:bottom w:w="28" w:type="dxa"/>
          <w:right w:w="28" w:type="dxa"/>
        </w:tblCellMar>
      </w:tblPr>
      <w:tblGrid>
        <w:gridCol w:w="1636"/>
        <w:gridCol w:w="14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2_2.htm"/>
      <w:bookmarkStart w:id="28" w:name="ksbdsxex32_2"/>
      <w:bookmarkEnd w:id="27"/>
      <w:bookmarkEnd w:id="28"/>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244" w:type="dxa"/>
        <w:jc w:val="left"/>
        <w:tblInd w:w="0" w:type="dxa"/>
        <w:tblLayout w:type="fixed"/>
        <w:tblCellMar>
          <w:top w:w="28" w:type="dxa"/>
          <w:left w:w="28" w:type="dxa"/>
          <w:bottom w:w="28" w:type="dxa"/>
          <w:right w:w="28" w:type="dxa"/>
        </w:tblCellMar>
      </w:tblPr>
      <w:tblGrid>
        <w:gridCol w:w="1636"/>
        <w:gridCol w:w="146"/>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22002</Words>
  <Characters>121272</Characters>
  <CharactersWithSpaces>143670</CharactersWithSpaces>
  <Paragraphs>3846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