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1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2"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29"/>
          <w:szCs w:val="29"/>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001-39659</w:t>
      </w:r>
    </w:p>
    <w:p>
      <w:pPr>
        <w:sectPr>
          <w:pgSz w:w="11900" w:h="16838" w:orient="portrait"/>
          <w:cols w:equalWidth="0" w:num="1">
            <w:col w:w="11240"/>
          </w:cols>
          <w:pgMar w:left="320" w:top="656" w:right="339" w:bottom="1440" w:gutter="0" w:footer="0" w:header="0"/>
        </w:sectPr>
      </w:pPr>
    </w:p>
    <w:p>
      <w:pPr>
        <w:spacing w:after="0" w:line="184" w:lineRule="exact"/>
        <w:rPr>
          <w:sz w:val="24"/>
          <w:szCs w:val="24"/>
          <w:color w:val="auto"/>
        </w:rPr>
      </w:pPr>
    </w:p>
    <w:p>
      <w:pPr>
        <w:jc w:val="center"/>
        <w:ind w:left="3600"/>
        <w:spacing w:after="0"/>
        <w:rPr>
          <w:sz w:val="20"/>
          <w:szCs w:val="20"/>
          <w:color w:val="auto"/>
        </w:rPr>
      </w:pPr>
      <w:r>
        <w:rPr>
          <w:rFonts w:ascii="Arial" w:cs="Arial" w:eastAsia="Arial" w:hAnsi="Arial"/>
          <w:sz w:val="40"/>
          <w:szCs w:val="40"/>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-283210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7"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ind w:left="2020"/>
        <w:spacing w:after="0" w:line="188" w:lineRule="auto"/>
        <w:rPr>
          <w:sz w:val="20"/>
          <w:szCs w:val="20"/>
          <w:color w:val="auto"/>
        </w:rPr>
      </w:pPr>
      <w:r>
        <w:rPr>
          <w:rFonts w:ascii="Arial" w:cs="Arial" w:eastAsia="Arial" w:hAnsi="Arial"/>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20-3986492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141" w:lineRule="exact"/>
        <w:rPr>
          <w:sz w:val="24"/>
          <w:szCs w:val="24"/>
          <w:color w:val="auto"/>
        </w:rPr>
      </w:pPr>
    </w:p>
    <w:p>
      <w:pPr>
        <w:sectPr>
          <w:pgSz w:w="11900" w:h="16838" w:orient="portrait"/>
          <w:cols w:equalWidth="0" w:num="2">
            <w:col w:w="7640" w:space="300"/>
            <w:col w:w="3300"/>
          </w:cols>
          <w:pgMar w:left="320" w:top="656" w:right="339" w:bottom="1440" w:gutter="0" w:footer="0" w:header="0"/>
          <w:type w:val="continuous"/>
        </w:sectPr>
      </w:pPr>
    </w:p>
    <w:tbl>
      <w:tblPr>
        <w:tblLayout w:type="fixed"/>
        <w:tblInd w:w="1560" w:type="dxa"/>
        <w:tblCellMar>
          <w:top w:w="0" w:type="dxa"/>
          <w:left w:w="0" w:type="dxa"/>
          <w:bottom w:w="0" w:type="dxa"/>
          <w:right w:w="0" w:type="dxa"/>
        </w:tblCellMar>
      </w:tblPr>
      <w:tr>
        <w:trPr>
          <w:trHeight w:val="207"/>
        </w:trPr>
        <w:tc>
          <w:tcPr>
            <w:tcW w:w="4540" w:type="dxa"/>
            <w:vAlign w:val="bottom"/>
          </w:tcPr>
          <w:p>
            <w:pPr>
              <w:jc w:val="center"/>
              <w:ind w:right="1939"/>
              <w:spacing w:after="0"/>
              <w:rPr>
                <w:sz w:val="20"/>
                <w:szCs w:val="20"/>
                <w:color w:val="auto"/>
              </w:rPr>
            </w:pPr>
            <w:r>
              <w:rPr>
                <w:rFonts w:ascii="Arial" w:cs="Arial" w:eastAsia="Arial" w:hAnsi="Arial"/>
                <w:sz w:val="18"/>
                <w:szCs w:val="18"/>
                <w:b w:val="1"/>
                <w:bCs w:val="1"/>
                <w:color w:val="auto"/>
                <w:w w:val="89"/>
              </w:rPr>
              <w:t>2970 Wilderness Place, Suite 100</w:t>
            </w:r>
          </w:p>
        </w:tc>
        <w:tc>
          <w:tcPr>
            <w:tcW w:w="2620" w:type="dxa"/>
            <w:vAlign w:val="bottom"/>
          </w:tcPr>
          <w:p>
            <w:pPr>
              <w:spacing w:after="0"/>
              <w:rPr>
                <w:sz w:val="17"/>
                <w:szCs w:val="17"/>
                <w:color w:val="auto"/>
              </w:rPr>
            </w:pPr>
          </w:p>
        </w:tc>
      </w:tr>
      <w:tr>
        <w:trPr>
          <w:trHeight w:val="211"/>
        </w:trPr>
        <w:tc>
          <w:tcPr>
            <w:tcW w:w="4540" w:type="dxa"/>
            <w:vAlign w:val="bottom"/>
          </w:tcPr>
          <w:p>
            <w:pPr>
              <w:jc w:val="center"/>
              <w:ind w:right="1959"/>
              <w:spacing w:after="0"/>
              <w:rPr>
                <w:sz w:val="20"/>
                <w:szCs w:val="20"/>
                <w:color w:val="auto"/>
              </w:rPr>
            </w:pPr>
            <w:r>
              <w:rPr>
                <w:rFonts w:ascii="Arial" w:cs="Arial" w:eastAsia="Arial" w:hAnsi="Arial"/>
                <w:sz w:val="18"/>
                <w:szCs w:val="18"/>
                <w:b w:val="1"/>
                <w:bCs w:val="1"/>
                <w:color w:val="auto"/>
                <w:w w:val="93"/>
              </w:rPr>
              <w:t>Boulder, CO</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80301</w:t>
            </w:r>
          </w:p>
        </w:tc>
      </w:tr>
      <w:tr>
        <w:trPr>
          <w:trHeight w:val="164"/>
        </w:trPr>
        <w:tc>
          <w:tcPr>
            <w:tcW w:w="4540" w:type="dxa"/>
            <w:vAlign w:val="bottom"/>
          </w:tcPr>
          <w:p>
            <w:pPr>
              <w:jc w:val="center"/>
              <w:ind w:right="193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20" w:type="dxa"/>
            <w:vAlign w:val="bottom"/>
          </w:tcPr>
          <w:p>
            <w:pPr>
              <w:jc w:val="center"/>
              <w:ind w:left="1964"/>
              <w:spacing w:after="0"/>
              <w:rPr>
                <w:sz w:val="20"/>
                <w:szCs w:val="20"/>
                <w:color w:val="auto"/>
              </w:rPr>
            </w:pPr>
            <w:r>
              <w:rPr>
                <w:rFonts w:ascii="Arial" w:cs="Arial" w:eastAsia="Arial" w:hAnsi="Arial"/>
                <w:sz w:val="13"/>
                <w:szCs w:val="13"/>
                <w:b w:val="1"/>
                <w:bCs w:val="1"/>
                <w:color w:val="auto"/>
                <w:w w:val="90"/>
              </w:rPr>
              <w:t>(Zip Code)</w:t>
            </w:r>
          </w:p>
        </w:tc>
      </w:tr>
    </w:tbl>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(303) 417-0500</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50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Trading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48"/>
        </w:trPr>
        <w:tc>
          <w:tcPr>
            <w:tcW w:w="4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Symbol(s)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BDSX</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Global Market</w:t>
            </w:r>
          </w:p>
        </w:tc>
        <w:tc>
          <w:tcPr>
            <w:tcW w:w="0" w:type="dxa"/>
            <w:vAlign w:val="bottom"/>
          </w:tcPr>
          <w:p>
            <w:pPr>
              <w:spacing w:after="0"/>
              <w:rPr>
                <w:sz w:val="1"/>
                <w:szCs w:val="1"/>
                <w:color w:val="auto"/>
              </w:rPr>
            </w:pPr>
          </w:p>
        </w:tc>
      </w:tr>
    </w:tbl>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26" w:lineRule="exact"/>
        <w:rPr>
          <w:sz w:val="24"/>
          <w:szCs w:val="24"/>
          <w:color w:val="auto"/>
        </w:rPr>
      </w:pPr>
    </w:p>
    <w:p>
      <w:pPr>
        <w:ind w:right="2580"/>
        <w:spacing w:after="0" w:line="23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32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36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27" w:lineRule="exact"/>
        <w:rPr>
          <w:sz w:val="24"/>
          <w:szCs w:val="24"/>
          <w:color w:val="auto"/>
        </w:rPr>
      </w:pPr>
    </w:p>
    <w:p>
      <w:pPr>
        <w:ind w:right="58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5"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right="320"/>
        <w:spacing w:after="0"/>
        <w:rPr>
          <w:sz w:val="20"/>
          <w:szCs w:val="20"/>
          <w:color w:val="auto"/>
        </w:rPr>
      </w:pPr>
      <w:r>
        <w:rPr>
          <w:rFonts w:ascii="Arial" w:cs="Arial" w:eastAsia="Arial" w:hAnsi="Arial"/>
          <w:sz w:val="16"/>
          <w:szCs w:val="16"/>
          <w:color w:val="auto"/>
        </w:rPr>
        <w:t>As of June 30, 2021, the aggregate market value of common stock held by non-affiliates of the Registrant was $196.5 million, based on the closing price of the common stock as reported on the Nasdaq Global Select Market for that date.</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9, 2022 was 31,307,853.</w:t>
      </w:r>
    </w:p>
    <w:p>
      <w:pPr>
        <w:spacing w:after="0" w:line="46"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DOCUMENTS INCORPORATED BY REFERENCE</w:t>
      </w:r>
    </w:p>
    <w:p>
      <w:pPr>
        <w:spacing w:after="0" w:line="73" w:lineRule="exact"/>
        <w:rPr>
          <w:sz w:val="24"/>
          <w:szCs w:val="24"/>
          <w:color w:val="auto"/>
        </w:rPr>
      </w:pPr>
    </w:p>
    <w:p>
      <w:pPr>
        <w:ind w:right="100"/>
        <w:spacing w:after="0" w:line="258" w:lineRule="auto"/>
        <w:rPr>
          <w:sz w:val="20"/>
          <w:szCs w:val="20"/>
          <w:color w:val="auto"/>
        </w:rPr>
      </w:pPr>
      <w:r>
        <w:rPr>
          <w:rFonts w:ascii="Arial" w:cs="Arial" w:eastAsia="Arial" w:hAnsi="Arial"/>
          <w:sz w:val="16"/>
          <w:szCs w:val="16"/>
          <w:color w:val="auto"/>
        </w:rPr>
        <w:t>Portions of the Company’s definitive Proxy Statement for its 2022 Annual Meeting of Shareholders are to be incorporated by reference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8"/>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380" w:type="dxa"/>
            <w:vAlign w:val="bottom"/>
            <w:gridSpan w:val="19"/>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Unresolved</w:t>
              </w:r>
            </w:hyperlink>
          </w:p>
        </w:tc>
        <w:tc>
          <w:tcPr>
            <w:tcW w:w="8380" w:type="dxa"/>
            <w:vAlign w:val="bottom"/>
            <w:gridSpan w:val="19"/>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Staff Comments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w:anchor="page86">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11"/>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3.</w:t>
            </w:r>
          </w:p>
        </w:tc>
        <w:tc>
          <w:tcPr>
            <w:tcW w:w="9320" w:type="dxa"/>
            <w:vAlign w:val="bottom"/>
            <w:gridSpan w:val="26"/>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Legal Proceedings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20" w:type="dxa"/>
            <w:vAlign w:val="bottom"/>
            <w:gridSpan w:val="26"/>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Mine Safety Disclosures</w:t>
              </w:r>
            </w:hyperlink>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20" w:type="dxa"/>
            <w:vAlign w:val="bottom"/>
            <w:gridSpan w:val="26"/>
          </w:tcPr>
          <w:p>
            <w:pPr>
              <w:spacing w:after="0" w:line="190" w:lineRule="exact"/>
              <w:rPr>
                <w:rFonts w:ascii="Arial" w:cs="Arial" w:eastAsia="Arial" w:hAnsi="Arial"/>
                <w:sz w:val="18"/>
                <w:szCs w:val="18"/>
                <w:color w:val="0000FF"/>
              </w:rPr>
            </w:pPr>
            <w:hyperlink w:anchor="page87">
              <w:r>
                <w:rPr>
                  <w:rFonts w:ascii="Arial" w:cs="Arial" w:eastAsia="Arial" w:hAnsi="Arial"/>
                  <w:sz w:val="18"/>
                  <w:szCs w:val="18"/>
                  <w:color w:val="0000FF"/>
                </w:rPr>
                <w:t>Market for Registrant’s Common Equity, Related Stockholder Matters and Issuer Purchases of Equity Securities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20"/>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w:t>
            </w:r>
          </w:p>
        </w:tc>
        <w:tc>
          <w:tcPr>
            <w:tcW w:w="9320" w:type="dxa"/>
            <w:vAlign w:val="bottom"/>
            <w:gridSpan w:val="26"/>
          </w:tcPr>
          <w:p>
            <w:pPr>
              <w:spacing w:after="0" w:line="169" w:lineRule="exact"/>
              <w:rPr>
                <w:rFonts w:ascii="Arial" w:cs="Arial" w:eastAsia="Arial" w:hAnsi="Arial"/>
                <w:sz w:val="18"/>
                <w:szCs w:val="18"/>
                <w:color w:val="0000FF"/>
              </w:rPr>
            </w:pPr>
            <w:hyperlink w:anchor="page88">
              <w:r>
                <w:rPr>
                  <w:rFonts w:ascii="Arial" w:cs="Arial" w:eastAsia="Arial" w:hAnsi="Arial"/>
                  <w:sz w:val="18"/>
                  <w:szCs w:val="18"/>
                  <w:color w:val="0000FF"/>
                </w:rPr>
                <w:t>Management’s Discussion and Analysis of Financial Condition and Results of Operations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100">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7"/>
          </w:tcPr>
          <w:p>
            <w:pPr>
              <w:spacing w:after="0" w:line="169" w:lineRule="exact"/>
              <w:rPr>
                <w:rFonts w:ascii="Arial" w:cs="Arial" w:eastAsia="Arial" w:hAnsi="Arial"/>
                <w:sz w:val="18"/>
                <w:szCs w:val="18"/>
                <w:color w:val="0000FF"/>
                <w:w w:val="89"/>
              </w:rPr>
            </w:pPr>
            <w:hyperlink w:anchor="page100">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2"/>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w:t>
            </w:r>
          </w:p>
        </w:tc>
        <w:tc>
          <w:tcPr>
            <w:tcW w:w="3360" w:type="dxa"/>
            <w:vAlign w:val="bottom"/>
            <w:gridSpan w:val="18"/>
          </w:tcPr>
          <w:p>
            <w:pPr>
              <w:spacing w:after="0" w:line="169" w:lineRule="exact"/>
              <w:rPr>
                <w:rFonts w:ascii="Arial" w:cs="Arial" w:eastAsia="Arial" w:hAnsi="Arial"/>
                <w:sz w:val="18"/>
                <w:szCs w:val="18"/>
                <w:color w:val="0000FF"/>
                <w:w w:val="84"/>
              </w:rPr>
            </w:pPr>
            <w:hyperlink w:anchor="page101">
              <w:r>
                <w:rPr>
                  <w:rFonts w:ascii="Arial" w:cs="Arial" w:eastAsia="Arial" w:hAnsi="Arial"/>
                  <w:sz w:val="18"/>
                  <w:szCs w:val="18"/>
                  <w:color w:val="0000FF"/>
                  <w:w w:val="84"/>
                </w:rPr>
                <w:t>Changes in and Disagreements with Accountants</w:t>
              </w:r>
            </w:hyperlink>
          </w:p>
        </w:tc>
        <w:tc>
          <w:tcPr>
            <w:tcW w:w="5960" w:type="dxa"/>
            <w:vAlign w:val="bottom"/>
            <w:gridSpan w:val="8"/>
          </w:tcPr>
          <w:p>
            <w:pPr>
              <w:ind w:left="220"/>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on Accounting and Financial Disclosure</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Controls and Procedures</w:t>
              </w:r>
            </w:hyperlink>
          </w:p>
        </w:tc>
        <w:tc>
          <w:tcPr>
            <w:tcW w:w="820" w:type="dxa"/>
            <w:vAlign w:val="bottom"/>
          </w:tcPr>
          <w:p>
            <w:pPr>
              <w:spacing w:after="0"/>
              <w:rPr>
                <w:sz w:val="14"/>
                <w:szCs w:val="14"/>
                <w:color w:val="auto"/>
              </w:rPr>
            </w:pPr>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w:anchor="page101">
              <w:r>
                <w:rPr>
                  <w:rFonts w:ascii="Arial" w:cs="Arial" w:eastAsia="Arial" w:hAnsi="Arial"/>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1360" w:type="dxa"/>
            <w:vAlign w:val="bottom"/>
            <w:gridSpan w:val="2"/>
          </w:tcPr>
          <w:p>
            <w:pPr>
              <w:spacing w:after="0"/>
              <w:rPr>
                <w:sz w:val="14"/>
                <w:szCs w:val="14"/>
                <w:color w:val="auto"/>
              </w:rPr>
            </w:pPr>
          </w:p>
        </w:tc>
        <w:tc>
          <w:tcPr>
            <w:tcW w:w="1840" w:type="dxa"/>
            <w:vAlign w:val="bottom"/>
            <w:gridSpan w:val="3"/>
          </w:tcPr>
          <w:p>
            <w:pPr>
              <w:spacing w:after="0"/>
              <w:rPr>
                <w:sz w:val="14"/>
                <w:szCs w:val="14"/>
                <w:color w:val="auto"/>
              </w:rPr>
            </w:pPr>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20" w:type="dxa"/>
            <w:vAlign w:val="bottom"/>
            <w:gridSpan w:val="26"/>
          </w:tcPr>
          <w:p>
            <w:pPr>
              <w:spacing w:after="0" w:line="190" w:lineRule="exact"/>
              <w:rPr>
                <w:rFonts w:ascii="Arial" w:cs="Arial" w:eastAsia="Arial" w:hAnsi="Arial"/>
                <w:sz w:val="18"/>
                <w:szCs w:val="18"/>
                <w:color w:val="0000FF"/>
              </w:rPr>
            </w:pPr>
            <w:hyperlink w:anchor="page102">
              <w:r>
                <w:rPr>
                  <w:rFonts w:ascii="Arial" w:cs="Arial" w:eastAsia="Arial" w:hAnsi="Arial"/>
                  <w:sz w:val="18"/>
                  <w:szCs w:val="18"/>
                  <w:color w:val="0000FF"/>
                </w:rPr>
                <w:t>Directors, Executive Officers and Corporate Governance</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2"/>
          </w:tcPr>
          <w:p>
            <w:pPr>
              <w:spacing w:after="0"/>
              <w:rPr>
                <w:sz w:val="14"/>
                <w:szCs w:val="14"/>
                <w:color w:val="auto"/>
              </w:rPr>
            </w:pPr>
          </w:p>
        </w:tc>
        <w:tc>
          <w:tcPr>
            <w:tcW w:w="1840" w:type="dxa"/>
            <w:vAlign w:val="bottom"/>
            <w:gridSpan w:val="3"/>
          </w:tcPr>
          <w:p>
            <w:pPr>
              <w:spacing w:after="0"/>
              <w:rPr>
                <w:sz w:val="14"/>
                <w:szCs w:val="14"/>
                <w:color w:val="auto"/>
              </w:rPr>
            </w:pPr>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12.</w:t>
            </w:r>
          </w:p>
        </w:tc>
        <w:tc>
          <w:tcPr>
            <w:tcW w:w="1840" w:type="dxa"/>
            <w:vAlign w:val="bottom"/>
            <w:gridSpan w:val="13"/>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Security Ownership of</w:t>
              </w:r>
            </w:hyperlink>
          </w:p>
        </w:tc>
        <w:tc>
          <w:tcPr>
            <w:tcW w:w="7480" w:type="dxa"/>
            <w:vAlign w:val="bottom"/>
            <w:gridSpan w:val="13"/>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Certain Beneficial Owners and Management and Related Stockholder Matters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Certain Relationships and Related Transactions, and Director Independence</w:t>
              </w:r>
            </w:hyperlink>
          </w:p>
        </w:tc>
        <w:tc>
          <w:tcPr>
            <w:tcW w:w="2020" w:type="dxa"/>
            <w:vAlign w:val="bottom"/>
            <w:gridSpan w:val="2"/>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w:anchor="page102">
              <w:r>
                <w:rPr>
                  <w:rFonts w:ascii="Arial" w:cs="Arial" w:eastAsia="Arial" w:hAnsi="Arial"/>
                  <w:sz w:val="18"/>
                  <w:szCs w:val="18"/>
                  <w:color w:val="0000FF"/>
                </w:rPr>
                <w:t>Principal Accountant Fees and Services</w:t>
              </w:r>
            </w:hyperlink>
          </w:p>
        </w:tc>
        <w:tc>
          <w:tcPr>
            <w:tcW w:w="3860" w:type="dxa"/>
            <w:vAlign w:val="bottom"/>
            <w:gridSpan w:val="5"/>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320" w:type="dxa"/>
            <w:vAlign w:val="bottom"/>
            <w:gridSpan w:val="26"/>
          </w:tcPr>
          <w:p>
            <w:pPr>
              <w:spacing w:after="0" w:line="190" w:lineRule="exact"/>
              <w:rPr>
                <w:rFonts w:ascii="Arial" w:cs="Arial" w:eastAsia="Arial" w:hAnsi="Arial"/>
                <w:sz w:val="18"/>
                <w:szCs w:val="18"/>
                <w:color w:val="0000FF"/>
              </w:rPr>
            </w:pPr>
            <w:hyperlink w:anchor="page103">
              <w:r>
                <w:rPr>
                  <w:rFonts w:ascii="Arial" w:cs="Arial" w:eastAsia="Arial" w:hAnsi="Arial"/>
                  <w:sz w:val="18"/>
                  <w:szCs w:val="18"/>
                  <w:color w:val="0000FF"/>
                </w:rPr>
                <w:t>Exhibits, Financial Statement Schedules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w:anchor="page103">
              <w:r>
                <w:rPr>
                  <w:rFonts w:ascii="Arial" w:cs="Arial" w:eastAsia="Arial" w:hAnsi="Arial"/>
                  <w:sz w:val="18"/>
                  <w:szCs w:val="18"/>
                  <w:color w:val="0000FF"/>
                  <w:w w:val="92"/>
                </w:rPr>
                <w:t>Form 10-K Summary</w:t>
              </w:r>
            </w:hyperlink>
          </w:p>
        </w:tc>
        <w:tc>
          <w:tcPr>
            <w:tcW w:w="20" w:type="dxa"/>
            <w:vAlign w:val="bottom"/>
            <w:tcBorders>
              <w:top w:val="single" w:sz="8" w:color="0000FF"/>
              <w:bottom w:val="single" w:sz="8" w:color="0000EE"/>
            </w:tcBorders>
          </w:tcPr>
          <w:p>
            <w:pPr>
              <w:spacing w:after="0"/>
              <w:rPr>
                <w:sz w:val="14"/>
                <w:szCs w:val="14"/>
                <w:color w:val="auto"/>
              </w:rPr>
            </w:pPr>
          </w:p>
        </w:tc>
        <w:tc>
          <w:tcPr>
            <w:tcW w:w="1320" w:type="dxa"/>
            <w:vAlign w:val="bottom"/>
            <w:tcBorders>
              <w:top w:val="single" w:sz="8" w:color="0000FF"/>
            </w:tcBorders>
            <w:gridSpan w:val="6"/>
          </w:tcPr>
          <w:p>
            <w:pPr>
              <w:spacing w:after="0"/>
              <w:rPr>
                <w:sz w:val="14"/>
                <w:szCs w:val="14"/>
                <w:color w:val="auto"/>
              </w:rPr>
            </w:pPr>
          </w:p>
        </w:tc>
        <w:tc>
          <w:tcPr>
            <w:tcW w:w="6420" w:type="dxa"/>
            <w:vAlign w:val="bottom"/>
            <w:gridSpan w:val="10"/>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66"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achieve or sustain profitability;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49" w:lineRule="exact"/>
        <w:rPr>
          <w:rFonts w:ascii="Arial" w:cs="Arial" w:eastAsia="Arial" w:hAnsi="Arial"/>
          <w:sz w:val="18"/>
          <w:szCs w:val="18"/>
          <w:color w:val="auto"/>
        </w:rPr>
      </w:pPr>
    </w:p>
    <w:p>
      <w:pPr>
        <w:ind w:left="900" w:right="2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attain significant market acceptance among payers, providers, clinics, patients, and biopharmaceutical companies for our diagnostic tests;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managing our growth, which could disrupt our operations;</w:t>
      </w:r>
    </w:p>
    <w:p>
      <w:pPr>
        <w:spacing w:after="0" w:line="90" w:lineRule="exact"/>
        <w:rPr>
          <w:rFonts w:ascii="Arial" w:cs="Arial" w:eastAsia="Arial" w:hAnsi="Arial"/>
          <w:sz w:val="18"/>
          <w:szCs w:val="18"/>
          <w:color w:val="auto"/>
        </w:rPr>
      </w:pPr>
    </w:p>
    <w:p>
      <w:pPr>
        <w:ind w:left="900" w:right="2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sales and marketing personnel, and failure to increase our sales and marketing capabilities or develop broad awareness of our diagnostic tests to generate revenue growth;</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our current relationships, or enter into new relationships, with biopharmaceutical companies;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fluctuation in our operating results, causing our operating results to fall below expectations or any guidance we provide;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COVID-19 and antibody testing program and our ability to meet such demand;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performance and reliability to maintain and grow our business;</w:t>
      </w:r>
    </w:p>
    <w:p>
      <w:pPr>
        <w:spacing w:after="0" w:line="90"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suppliers, including courier services, contract manufacturers and single source suppliers; making us vulnerable to supply problems and price fluctuations;</w:t>
      </w:r>
    </w:p>
    <w:p>
      <w:pPr>
        <w:spacing w:after="0" w:line="61" w:lineRule="exact"/>
        <w:rPr>
          <w:rFonts w:ascii="Arial" w:cs="Arial" w:eastAsia="Arial" w:hAnsi="Arial"/>
          <w:sz w:val="18"/>
          <w:szCs w:val="18"/>
          <w:color w:val="auto"/>
        </w:rPr>
      </w:pPr>
    </w:p>
    <w:p>
      <w:pPr>
        <w:ind w:left="900" w:right="2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epidemic, or outbreak of an infectious disease in the United States (U.S.) or worldwide, including the COVID-19 pandemic on our business;</w:t>
      </w:r>
    </w:p>
    <w:p>
      <w:pPr>
        <w:spacing w:after="0" w:line="61"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or man-made disasters and other similar events, including the COVID-19 pandemic, negatively impacting our business, financial condition, and results of operations;</w:t>
      </w:r>
    </w:p>
    <w:p>
      <w:pPr>
        <w:spacing w:after="0" w:line="61"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offer high-quality support for our diagnostic tests, which may adversely affect our relationships with providers and negatively impact our reputation among patients and providers;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continue to innovate and improve our diagnostic tests and services we offer;</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or data privacy breaches or other unauthorized or improper access;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disruptions in our information technology systems;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incurrence of substantial liabilities and limiting or halting the marketing and sale of our diagnostic tests due to product liability lawsuits;</w:t>
      </w:r>
    </w:p>
    <w:p>
      <w:pPr>
        <w:spacing w:after="0" w:line="101"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compete successfully with competition from many sources, including larger companies;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issues, service interruptions or price increases by our shipping carriers and warehousing providers;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cost-containment efforts of our customers, purchasing groups and integrated delivery networks having a material adverse effect on our sales and profitability;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litigation and other proceedings;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debt financing placing restrictions on our operating and financial flexibility;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 w:name="page4"/>
    <w:bookmarkEnd w:id="3"/>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need to raise additional capital to fund our existing operations, develop our platform, commercialize new diagnostic tests, or expand our operations;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other businesses, which could require significant management attention;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insurance coverage and reimbursement status of newly approved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healthcare reform measures that could hinder or prevent the commercial success of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anti-corruption, anti-bribery, anti-money laundering and similar laws;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healthcare fraud and abuse laws;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product recalls;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initiated by third parties alleging that we are infringing, misappropriating, or otherwise violating their intellectual property rights, the outcome of which would be uncertain;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inaccurate estimates or judgments relating to our critical accounting policies, which could cause our operating results to fall below the expectations of securities analysts and investors;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uncertainties and factors, including those set forth under Risk Factors.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w:t>
      </w:r>
      <w:r>
        <w:rPr>
          <w:rFonts w:ascii="Arial" w:cs="Arial" w:eastAsia="Arial" w:hAnsi="Arial"/>
          <w:sz w:val="18"/>
          <w:szCs w:val="18"/>
          <w:color w:val="auto"/>
        </w:rPr>
        <w:t xml:space="preserve"> is to improve every patient’s lung care by empowering physicians with swift, comprehensive and actionable insights.</w:t>
      </w:r>
    </w:p>
    <w:p>
      <w:pPr>
        <w:spacing w:after="0" w:line="104"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vision</w:t>
      </w:r>
      <w:r>
        <w:rPr>
          <w:rFonts w:ascii="Arial" w:cs="Arial" w:eastAsia="Arial" w:hAnsi="Arial"/>
          <w:sz w:val="18"/>
          <w:szCs w:val="18"/>
          <w:color w:val="auto"/>
        </w:rPr>
        <w:t xml:space="preserve"> is to be a trusted business partner that the world relies on for data-driven diagnostics.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Biodesix, Inc. (“Biodesix”, “we,” “us,” “our” or the “Company”) is a leading data-driven diagnostic solutions company leveraging state of the art technologies with our proprietary artificial intelligence (AI) platform to discover, develop, and commercialize solutions for clinical unmet needs, with a primary focus in lung disease. By combining a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improves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core belief is that no single technology will answer all clinical questions that we encounter. Therefore, we employ multiple technologies, including genomics, transcriptomics, proteomics, and radiomics, and leverage our proprietary AI platform, the Diagnostic Cortex®, to discover innovative diagnostic tests for clinical use. Because of this approach, we believe we are unique in the diagnostics market as this approach allows for a broader and more holistic understanding of each patient’s disease state. Our data-driven and multi-omic approach is designed to enable us to discover diagnostic tests that answer critical clinical questions faced by physicians, patients, researchers, and biopharmaceutical companies.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operate in a single segment and derive our revenue from two sources: (i) providing diagnostic testing services associated with (a) blood-based lung tests and (b)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(Services). We derived 90% of our total revenues for fiscal 2021 and 2020 from our diagnostic testing business.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dedicated to continuously publishing and presenting new data on the clinical validation and utility of our diagnostic tests. Since our inception, we have performed over 500,000 tests and continue to generate a large and growing body of clinical evidence. We have participated in 27 clinical studies, five of which are ongoing, and have published over 300 peer-reviewed publications and presentations. We have over 150,000 samples and data in our biobank, including tumor profiles and immune profiles, which are used for both internal and external research and development (R&amp;D) initiatives.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commercialized eight diagnostic tests which are currently on market and we perform over 30 assays for research use as part of our laboratory services that have been used by over 50 biopharmaceutical customers and academic partners.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Blood-Based Lung Tests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five diagnostic blood-based tests across the lung cancer continuum of care, which generated $18.7 million and $12.6 million in revenue for fiscal 2021 and 2020, respectively, an annual growth rate of 49%.</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Diagnosis</w:t>
      </w:r>
    </w:p>
    <w:p>
      <w:pPr>
        <w:spacing w:after="0" w:line="104" w:lineRule="exact"/>
        <w:rPr>
          <w:sz w:val="20"/>
          <w:szCs w:val="20"/>
          <w:color w:val="auto"/>
        </w:rPr>
      </w:pPr>
    </w:p>
    <w:p>
      <w:pPr>
        <w:jc w:val="both"/>
        <w:ind w:left="900" w:hanging="383"/>
        <w:spacing w:after="0" w:line="24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8"/>
          <w:szCs w:val="18"/>
          <w:color w:val="auto"/>
        </w:rPr>
        <w:t>® tests, together marketed as part of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w:t>
      </w:r>
      <w:r>
        <w:rPr>
          <w:rFonts w:ascii="Arial" w:cs="Arial" w:eastAsia="Arial" w:hAnsi="Arial"/>
          <w:sz w:val="18"/>
          <w:szCs w:val="18"/>
          <w:i w:val="1"/>
          <w:iCs w:val="1"/>
          <w:color w:val="auto"/>
        </w:rPr>
        <w:t xml:space="preserve"> </w:t>
      </w:r>
      <w:r>
        <w:rPr>
          <w:rFonts w:ascii="Arial" w:cs="Arial" w:eastAsia="Arial" w:hAnsi="Arial"/>
          <w:sz w:val="18"/>
          <w:szCs w:val="18"/>
          <w:color w:val="auto"/>
        </w:rPr>
        <w:t>of lung cancer to help identify the most appropriate treatment pathway. We believe we are the only company to offer two commercial blood-based tests to help physicians reclassify risk of malignancy in patients with suspicious lung nodules.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04" w:lineRule="exact"/>
        <w:rPr>
          <w:sz w:val="20"/>
          <w:szCs w:val="20"/>
          <w:color w:val="auto"/>
        </w:rPr>
      </w:pPr>
    </w:p>
    <w:p>
      <w:pPr>
        <w:jc w:val="both"/>
        <w:ind w:left="900" w:hanging="383"/>
        <w:spacing w:after="0" w:line="24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new IQLung™ testing strategy, are used following diagnosis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9"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GeneStrat NGS™ (NGS) </w:t>
      </w:r>
      <w:r>
        <w:rPr>
          <w:rFonts w:ascii="Arial" w:cs="Arial" w:eastAsia="Arial" w:hAnsi="Arial"/>
          <w:sz w:val="18"/>
          <w:szCs w:val="18"/>
          <w:color w:val="auto"/>
        </w:rPr>
        <w:t>test, our 72-hour blood-based NGS test, was launched in November 2021 to a select group of physicians, with broad</w:t>
      </w:r>
      <w:r>
        <w:rPr>
          <w:rFonts w:ascii="Arial" w:cs="Arial" w:eastAsia="Arial" w:hAnsi="Arial"/>
          <w:sz w:val="18"/>
          <w:szCs w:val="18"/>
          <w:i w:val="1"/>
          <w:iCs w:val="1"/>
          <w:color w:val="auto"/>
        </w:rPr>
        <w:t xml:space="preserve"> </w:t>
      </w:r>
      <w:r>
        <w:rPr>
          <w:rFonts w:ascii="Arial" w:cs="Arial" w:eastAsia="Arial" w:hAnsi="Arial"/>
          <w:sz w:val="18"/>
          <w:szCs w:val="18"/>
          <w:color w:val="auto"/>
        </w:rPr>
        <w:t>US launch in January 2022. The GeneStrat NGS test is marketed as part of the new IQLung testing strategy with the GeneStrat ddPCR and VeriStrat tests.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COVID-19 Tests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response to the COVID -19 pandemic, through our partnership with Bio-Rad, we commercialized the Biodesix WorkSafe™ testing program. We generated $30.2 million and $28.3 million in revenue from COVID-19 testing during fiscal 2021 and 2020, respectively. Our scientific diagnostic expertise, technologies, and existing commercial infrastructure enabled us to rapidly commercialize two United States Food and Drug Administration (FDA) Emergency Use Authorization (EUA)-authorized tests, a part of our customizable WorkSafe™ program. Both diagnostic tests are owned and were developed by Bio-Rad and Bio-Rad has granted us permission to utilize both tests for commercial diagnostic services.</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January 2020, the U.S. Department of Health and Human Services Secretary declared a public health emergency for COVID-19 which justified the authorization of emergency use of diagnostic tests for the detection and/or diagnosis of COVID-19. The Bio-Rad SARS-CoV-2 Droplet Digital™ polymerase chain reaction (ddPCR) test and the Platelia SARS-CoV-2 Total Ab test have been granted FDA EUA pursuant to the current emergency declaration. The Bio-Rad SARS-CoV-2 ddPCR test was FDA EUA authorized on May 1, 2020, authorizing performance of the test in laboratories certified under the Clinical Laboratory Improvement Amendments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Using the Bio-Rad SARS-CoV-2 ddPCR test and the Platelia SARS-CoV-2 Total Ab tests, we operate and have commercialized the Biodesix WorkSafe testing program.</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Prior to using the Bio-Rad tests as part of our WorkSafe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during the three months ended June 30, 2021, we began partnering with GenScript Biotech Corporation to commercialize the blood-based cPass™ SARS-CoV-2 Neutralizing Antibody testing as a service. The test is the first and only surrogate neutralizing antibody test with FDA EUA and uses ELISA technology to qualitatively detect circulating neutralizing antibodies to the receptor binding domain (RBD) in the spike protein of SARS-CoV-2 that are produced in response to vaccination or previous SARS-CoV-2 infection.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COVID-19 pandemic has disrupted, and we expect will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are asked to work from home and those on site are asked to follow our social distance guidelines. Our sales, marketing and business development efforts have also been constrained by our operational response to the COVID-19 pandemic due to travel restrictions. We expect to continue to adjust our operational norms to help slow the spread of COVID-19 in the coming months, including complying with government directives and guidelines as they are modified and supplemented.</w:t>
      </w:r>
    </w:p>
    <w:p>
      <w:pPr>
        <w:spacing w:after="0" w:line="5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COVID-19 pandemic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 -19 pandemic, beginning in the latter half of March 2020, we saw a decline in business with existing and new biopharmaceutical customers. We began to see recovery during the fourth quarter 2020 as our delivered tests exceeded first quarter 2020 delivered tests and we continued to see the recovery extending through 2021. Further, our clinical studies, such as our ongoing INSIGHT and ALTITUDE studies, as well as our arrangements including contracted clinical trials with our biopharmaceutical customers, are expected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7"/>
          <w:szCs w:val="17"/>
          <w:color w:val="auto"/>
        </w:rPr>
        <w:t>to take longer to complete than what we expected before the outbreak of the COVID-19 pandemic. Our biopharmaceutical services revenue grew by approximately 20% during 2021 as compared to 2020; however, we are continuing to experience delays in clinical trials from across the country and world due to COVID-19 restrictions. We expect further improvement in our biopharmaceutical activities during 2022 as compared to 2021.</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Conversely, we experienced a significant increase in revenues related to an increase in the demand for our Biodesix WorkSafe testing program, our COVID-19 testing and services, since the onset of the pandemic. COVID-19 diagnostic testing and services contributed approximately $30.2 million and $28.3 million during fiscal years 2021 and 2020, respectively. The first quarter 2021 was our high-water mark for COVID-19 testing revenue. We experienced a steady decline in subsequent quarters as immunizations in the U.S. accelerated. We do not anticipate the need for COVID testing to be commensurate with the peak demand experienced during the first quarter 2021 and instead expect the demand to moderate as new variants and infection occur. The reduction in demand for COVID-19 diagnostic testing will be a key indicator of continued recovery and is taken as a positive sign for both our Lung Diagnostic and Biopharmaceutical Services as we head into 2022.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COVID-19 testing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See “Risk Factors” for a description of how the COVID-19 pandemic may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 for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2021, compared to the prior year:</w:t>
      </w:r>
    </w:p>
    <w:p>
      <w:pPr>
        <w:spacing w:after="0" w:line="104"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$54.5 million, an increase of 20%;</w:t>
      </w:r>
    </w:p>
    <w:p>
      <w:pPr>
        <w:spacing w:after="0" w:line="104" w:lineRule="exact"/>
        <w:rPr>
          <w:sz w:val="20"/>
          <w:szCs w:val="20"/>
          <w:color w:val="auto"/>
        </w:rPr>
      </w:pPr>
    </w:p>
    <w:p>
      <w:pPr>
        <w:ind w:left="1200" w:hanging="443"/>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Lung Diagnostic Revenue of $18.7 million, an increase of 49%</w:t>
      </w:r>
    </w:p>
    <w:p>
      <w:pPr>
        <w:spacing w:after="0" w:line="103" w:lineRule="exact"/>
        <w:rPr>
          <w:rFonts w:ascii="Arial" w:cs="Arial" w:eastAsia="Arial" w:hAnsi="Arial"/>
          <w:sz w:val="18"/>
          <w:szCs w:val="18"/>
          <w:color w:val="auto"/>
        </w:rPr>
      </w:pPr>
    </w:p>
    <w:p>
      <w:pPr>
        <w:ind w:left="1200" w:hanging="443"/>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Services Revenue of $5.6 million, an increase of 20%</w:t>
      </w:r>
    </w:p>
    <w:p>
      <w:pPr>
        <w:spacing w:after="0" w:line="103" w:lineRule="exact"/>
        <w:rPr>
          <w:rFonts w:ascii="Arial" w:cs="Arial" w:eastAsia="Arial" w:hAnsi="Arial"/>
          <w:sz w:val="18"/>
          <w:szCs w:val="18"/>
          <w:color w:val="auto"/>
        </w:rPr>
      </w:pPr>
    </w:p>
    <w:p>
      <w:pPr>
        <w:ind w:left="1200" w:hanging="443"/>
        <w:spacing w:after="0"/>
        <w:tabs>
          <w:tab w:leader="none" w:pos="12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COVID-19 Revenue of $30.2 million, an increase of 7%</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$24.0 million, an increase of 2%;</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Direct costs and expenses, </w:t>
      </w:r>
      <w:r>
        <w:rPr>
          <w:rFonts w:ascii="Arial" w:cs="Arial" w:eastAsia="Arial" w:hAnsi="Arial"/>
          <w:sz w:val="18"/>
          <w:szCs w:val="18"/>
          <w:color w:val="auto"/>
        </w:rPr>
        <w:t>were $64.9 million, an increase of 40%;</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Operating Expenses, excluding Direct costs and expense and non-cash stock compensation expense, </w:t>
      </w:r>
      <w:r>
        <w:rPr>
          <w:rFonts w:ascii="Arial" w:cs="Arial" w:eastAsia="Arial" w:hAnsi="Arial"/>
          <w:sz w:val="16"/>
          <w:szCs w:val="16"/>
          <w:color w:val="auto"/>
        </w:rPr>
        <w:t>were $60.0 million, an increase of 40%;</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$43.2 million, an increase of 38%;</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$1.58;</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by Operating Activities </w:t>
      </w:r>
      <w:r>
        <w:rPr>
          <w:rFonts w:ascii="Arial" w:cs="Arial" w:eastAsia="Arial" w:hAnsi="Arial"/>
          <w:sz w:val="18"/>
          <w:szCs w:val="18"/>
          <w:color w:val="auto"/>
        </w:rPr>
        <w:t>was $28.2 million, compared to $21.4 million used;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$32.7 million as of December 31,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Market Opportunity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Testing Market Size and Opportunity</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 cancer continuum of care currently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109855</wp:posOffset>
            </wp:positionV>
            <wp:extent cx="5220335" cy="1525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2033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Over the last two decades, the use of biomarker testing in clinical trials has increased, with 55% of oncology trials involving the use of biomarker testing in 2018 versus 15% in 2000.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represents over a $2 billion market annually.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Lung Cancer Continuum of Care – Clinical Unmet Needs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60" w:lineRule="exact"/>
        <w:rPr>
          <w:sz w:val="20"/>
          <w:szCs w:val="20"/>
          <w:color w:val="auto"/>
        </w:rPr>
      </w:pPr>
    </w:p>
    <w:p>
      <w:pPr>
        <w:jc w:val="both"/>
        <w:ind w:left="900" w:hanging="383"/>
        <w:spacing w:after="0" w:line="252"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Diagnosis</w:t>
      </w:r>
      <w:r>
        <w:rPr>
          <w:rFonts w:ascii="Arial" w:cs="Arial" w:eastAsia="Arial" w:hAnsi="Arial"/>
          <w:sz w:val="17"/>
          <w:szCs w:val="17"/>
          <w:color w:val="auto"/>
        </w:rPr>
        <w:t>: We estimate approximately 1.6 million new incidental lung nodules and potentially 4 million lung nodules from the adoption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Arial" w:cs="Arial" w:eastAsia="Arial" w:hAnsi="Arial"/>
          <w:sz w:val="17"/>
          <w:szCs w:val="17"/>
          <w:i w:val="1"/>
          <w:iCs w:val="1"/>
          <w:color w:val="auto"/>
        </w:rPr>
        <w:t xml:space="preserve">overtreatment </w:t>
      </w:r>
      <w:r>
        <w:rPr>
          <w:rFonts w:ascii="Arial" w:cs="Arial" w:eastAsia="Arial" w:hAnsi="Arial"/>
          <w:sz w:val="17"/>
          <w:szCs w:val="17"/>
          <w:color w:val="auto"/>
        </w:rPr>
        <w:t>of patients with benign nodules or</w:t>
      </w:r>
      <w:r>
        <w:rPr>
          <w:rFonts w:ascii="Arial" w:cs="Arial" w:eastAsia="Arial" w:hAnsi="Arial"/>
          <w:sz w:val="17"/>
          <w:szCs w:val="17"/>
          <w:i w:val="1"/>
          <w:iCs w:val="1"/>
          <w:color w:val="auto"/>
        </w:rPr>
        <w:t xml:space="preserve"> undertreatment </w:t>
      </w:r>
      <w:r>
        <w:rPr>
          <w:rFonts w:ascii="Arial" w:cs="Arial" w:eastAsia="Arial" w:hAnsi="Arial"/>
          <w:sz w:val="17"/>
          <w:szCs w:val="17"/>
          <w:color w:val="auto"/>
        </w:rPr>
        <w:t>in patients with cancer. An estimated 17% of patients with malignant nodules</w:t>
      </w:r>
      <w:r>
        <w:rPr>
          <w:rFonts w:ascii="Arial" w:cs="Arial" w:eastAsia="Arial" w:hAnsi="Arial"/>
          <w:sz w:val="17"/>
          <w:szCs w:val="17"/>
          <w:i w:val="1"/>
          <w:iCs w:val="1"/>
          <w:color w:val="auto"/>
        </w:rPr>
        <w:t xml:space="preserve"> </w:t>
      </w:r>
      <w:r>
        <w:rPr>
          <w:rFonts w:ascii="Arial" w:cs="Arial" w:eastAsia="Arial" w:hAnsi="Arial"/>
          <w:sz w:val="17"/>
          <w:szCs w:val="17"/>
          <w:color w:val="auto"/>
        </w:rPr>
        <w:t>are initially sent to watchful waiting, where a follow-up CT scan is scheduled in three to six months,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75" w:lineRule="exact"/>
        <w:rPr>
          <w:rFonts w:ascii="Arial" w:cs="Arial" w:eastAsia="Arial" w:hAnsi="Arial"/>
          <w:sz w:val="17"/>
          <w:szCs w:val="17"/>
          <w:color w:val="auto"/>
        </w:rPr>
      </w:pPr>
    </w:p>
    <w:p>
      <w:pPr>
        <w:jc w:val="both"/>
        <w:ind w:left="900" w:hanging="383"/>
        <w:spacing w:after="0" w:line="27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Treatment Guidance – Early Stage</w:t>
      </w:r>
      <w:r>
        <w:rPr>
          <w:rFonts w:ascii="Arial" w:cs="Arial" w:eastAsia="Arial" w:hAnsi="Arial"/>
          <w:sz w:val="16"/>
          <w:szCs w:val="16"/>
          <w:color w:val="auto"/>
        </w:rPr>
        <w:t>: We estimate that there are over 700,000 testing opportunities annually in the United States in early-stage</w:t>
      </w:r>
      <w:r>
        <w:rPr>
          <w:rFonts w:ascii="Arial" w:cs="Arial" w:eastAsia="Arial" w:hAnsi="Arial"/>
          <w:sz w:val="16"/>
          <w:szCs w:val="16"/>
          <w:b w:val="1"/>
          <w:bCs w:val="1"/>
          <w:color w:val="auto"/>
        </w:rPr>
        <w:t xml:space="preserve"> </w:t>
      </w:r>
      <w:r>
        <w:rPr>
          <w:rFonts w:ascii="Arial" w:cs="Arial" w:eastAsia="Arial" w:hAnsi="Arial"/>
          <w:sz w:val="16"/>
          <w:szCs w:val="16"/>
          <w:color w:val="auto"/>
        </w:rPr>
        <w:t>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where low risk patients may benefit from a less intensive treatment protocol. There have also been recent advances in the use of targeted therapies in early-stage lung disease. These therapies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ind w:left="900"/>
        <w:spacing w:after="0" w:line="261" w:lineRule="auto"/>
        <w:rPr>
          <w:sz w:val="20"/>
          <w:szCs w:val="20"/>
          <w:color w:val="auto"/>
        </w:rPr>
      </w:pPr>
      <w:r>
        <w:rPr>
          <w:rFonts w:ascii="Arial" w:cs="Arial" w:eastAsia="Arial" w:hAnsi="Arial"/>
          <w:sz w:val="18"/>
          <w:szCs w:val="18"/>
          <w:color w:val="auto"/>
        </w:rPr>
        <w:t>typically target specific genomic mutations or alterations found in some tumors. We believe there is therefore an emerging need for testing designed specifically for mutation detection in early-stage disease.</w:t>
      </w:r>
    </w:p>
    <w:p>
      <w:pPr>
        <w:spacing w:after="0" w:line="59" w:lineRule="exact"/>
        <w:rPr>
          <w:sz w:val="20"/>
          <w:szCs w:val="20"/>
          <w:color w:val="auto"/>
        </w:rPr>
      </w:pPr>
    </w:p>
    <w:p>
      <w:pPr>
        <w:jc w:val="both"/>
        <w:ind w:left="900" w:hanging="383"/>
        <w:spacing w:after="0" w:line="27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Treatment Guidance – Advanced Stage: </w:t>
      </w:r>
      <w:r>
        <w:rPr>
          <w:rFonts w:ascii="Arial" w:cs="Arial" w:eastAsia="Arial" w:hAnsi="Arial"/>
          <w:sz w:val="16"/>
          <w:szCs w:val="16"/>
          <w:color w:val="auto"/>
        </w:rPr>
        <w:t>We estimate that there are over 3 million diagnostic testing opportunities annually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to guide advanced stage lung cancer treatment decisions. With nearly 50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which often leads to treatment decisions being made on incomplete information. Therefore, we believe there is an imminent need for a blood-based testing solution that measures tumor mutations and the patient’s immune profile, to provide physicians with more comprehensive and timely information to assess the overall prognosis of the patient and personalize treatment.</w:t>
      </w:r>
    </w:p>
    <w:p>
      <w:pPr>
        <w:spacing w:after="0" w:line="53" w:lineRule="exact"/>
        <w:rPr>
          <w:rFonts w:ascii="Arial" w:cs="Arial" w:eastAsia="Arial" w:hAnsi="Arial"/>
          <w:sz w:val="16"/>
          <w:szCs w:val="16"/>
          <w:color w:val="auto"/>
        </w:rPr>
      </w:pPr>
    </w:p>
    <w:p>
      <w:pPr>
        <w:jc w:val="both"/>
        <w:ind w:left="900" w:hanging="383"/>
        <w:spacing w:after="0" w:line="24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 We estimate that there are over 800,000 testing opportunities in the United States for blood-based tumor and immune profiling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Limitations in Biomarker Discovery and Companion Diagnostics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estimate the biopharmaceutical biomarker testing and companion diagnostic market opportunity represents a $2 billion market annually</w:t>
      </w:r>
      <w:r>
        <w:rPr>
          <w:rFonts w:ascii="Arial" w:cs="Arial" w:eastAsia="Arial" w:hAnsi="Arial"/>
          <w:sz w:val="16"/>
          <w:szCs w:val="16"/>
          <w:i w:val="1"/>
          <w:iCs w:val="1"/>
          <w:color w:val="auto"/>
        </w:rPr>
        <w:t>.</w:t>
      </w:r>
      <w:r>
        <w:rPr>
          <w:rFonts w:ascii="Arial" w:cs="Arial" w:eastAsia="Arial" w:hAnsi="Arial"/>
          <w:sz w:val="16"/>
          <w:szCs w:val="16"/>
          <w:color w:val="auto"/>
        </w:rPr>
        <w:t xml:space="preserve"> Over the last two decades, the use of biomarker testing in clinical trials has increased, with 55% of oncology trials involving the use of biomarker testing in 2018 versus 15% in 2000.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Biomarker Discovery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many limitations with biomarker discovery in biopharmaceutical drug development, including:</w:t>
      </w:r>
    </w:p>
    <w:p>
      <w:pPr>
        <w:spacing w:after="0" w:line="108"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Biomarkers with clinical utility are difficult to discover and validate in independent datasets.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Classical statistical approaches to biomarker discovery are limited. Single-omic tests fail to see the whole biological picture.</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Tissue biopsies are limited by the amount of a sample that can be collected: longitudinal testing is difficult and the biology is only from the profile of the tumor (host response is not accounted for).</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trials are expensive and take a long period of time. It is often difficult to meet enrollment goals for clinical trials with slow diagnostic testing turnaround times.</w:t>
      </w:r>
    </w:p>
    <w:p>
      <w:pPr>
        <w:spacing w:after="0" w:line="59" w:lineRule="exact"/>
        <w:rPr>
          <w:sz w:val="20"/>
          <w:szCs w:val="20"/>
          <w:color w:val="auto"/>
        </w:rPr>
      </w:pPr>
    </w:p>
    <w:p>
      <w:pPr>
        <w:jc w:val="both"/>
        <w:ind w:left="520"/>
        <w:spacing w:after="0" w:line="250" w:lineRule="auto"/>
        <w:rPr>
          <w:sz w:val="20"/>
          <w:szCs w:val="20"/>
          <w:color w:val="auto"/>
        </w:rPr>
      </w:pPr>
      <w:r>
        <w:rPr>
          <w:rFonts w:ascii="Arial" w:cs="Arial" w:eastAsia="Arial" w:hAnsi="Arial"/>
          <w:sz w:val="18"/>
          <w:szCs w:val="18"/>
          <w:b w:val="1"/>
          <w:bCs w:val="1"/>
          <w:color w:val="auto"/>
        </w:rPr>
        <w:t xml:space="preserve">Companion Diagnostics (CDx): </w:t>
      </w:r>
      <w:r>
        <w:rPr>
          <w:rFonts w:ascii="Arial" w:cs="Arial" w:eastAsia="Arial" w:hAnsi="Arial"/>
          <w:sz w:val="18"/>
          <w:szCs w:val="18"/>
          <w:color w:val="auto"/>
        </w:rPr>
        <w:t>While developing companion diagnostics is critical to precision medicine, the promise of companion diagnostics</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fully realized and there are multiple limitations that still need resolution. The path to co-develop a successful companion diagnostic with a corresponding drug has several challenges, including:</w:t>
      </w:r>
    </w:p>
    <w:p>
      <w:pPr>
        <w:spacing w:after="0" w:line="73" w:lineRule="exact"/>
        <w:rPr>
          <w:sz w:val="20"/>
          <w:szCs w:val="20"/>
          <w:color w:val="auto"/>
        </w:rPr>
      </w:pPr>
    </w:p>
    <w:p>
      <w:pPr>
        <w:ind w:left="900" w:hanging="383"/>
        <w:spacing w:after="0" w:line="26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companion diagnostic agreements may fail to realize the full value of a testing opportunity, leading to difficulty in funding appropriate commercialization.</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Drug development is a lengthy, complex and costly process. There can be a financial impact to a pharmaceutical company to have a drug selected by a test.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diagnostic reimbursement policies may not always support the coverage and payment of new companion diagnostics.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agencies continue to work on defining the co-development process, but the environment is continually changing.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Diagnostic Cortex - Our Proprietary Artificial Intelligence (AI) Platform</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core belief is that no single technology will answer all clinical questions that we encounter. Therefore, we employ multiple technologies, including genomics, transcriptomics, proteomics, and radiomics, and leverage our proprietary AI platform, the Diagnostic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jc w:val="both"/>
        <w:ind w:right="20"/>
        <w:spacing w:after="0" w:line="261" w:lineRule="auto"/>
        <w:rPr>
          <w:sz w:val="20"/>
          <w:szCs w:val="20"/>
          <w:color w:val="auto"/>
        </w:rPr>
      </w:pPr>
      <w:r>
        <w:rPr>
          <w:rFonts w:ascii="Arial" w:cs="Arial" w:eastAsia="Arial" w:hAnsi="Arial"/>
          <w:sz w:val="18"/>
          <w:szCs w:val="18"/>
          <w:color w:val="auto"/>
        </w:rPr>
        <w:t>Cortex, to discover innovative diagnostic tests for clinical use. We focus on developing technologies that are capable of single and multi-omic research and development.</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Diagnostic Cortex is an extensively validated deep learning platform optimized for the discovery of clinical diagnostic tests, which we believe overcomes standard machine learning challenges faced in life sciences research. Researchers commonly encounter issues with machine learning-based biological discoveries that cannot be repeated or validated when assessed in additional specimen cohorts. This challenge, commonly referred to as overfitting, occurs when the machine identifies a perfect pattern in an initial training dataset but is unable to identify the same pattern in a new dataset. For over 15 years we have focused on developing our platform to overcome this challenge through proprietary computational techniques to ensure each diagnostic test that is discovered can be further developed to perform consistently in the clinical testing environment.</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are able to combine blood-based biological information related to the tumor, immune system, and host-status with clinical and radiomic data through our proprietary AI platform, which enables us to interpret the holistic disease state of each patient or clinical dataset we encounter.</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continuously evolve and improve the Diagnostic Cortex platform. These improvements range from basic code optimization to complex improvements such as the incorporation of novel computational methods for the optimization of multi-omic diagnostic tests. Any AI platform is inherently limited without the highest quality data inputs. Therefore, all of the technologies that we employ have been chosen and developed to provide high-quality data to enable our Diagnostic Cortex platform. We feel that this level of data integrity is crucial for the development of diagnostic tests that require the advanced pattern matching abilities of deep learning algorithms.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academic partnerships, into our platform. We have over 150,000 samples and data in our biobank, including tumor profiles and immune profiles, which are used for both internal and external development initiatives. With our data-driven and multi-omic approach as data inputs into the Diagnostic Cortex, we are able to discover diagnostic tests that answer critical clinical questions faced by physicians, researchers, and biopharmaceutical companies.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is a diagram outlining our innovative diagnostic test discovery, development and commercialization infrastructure as outlined in the text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117475</wp:posOffset>
            </wp:positionV>
            <wp:extent cx="6172200" cy="270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employ multiple technologies, as illustrated below, including genomics, proteomics, transcriptomics, and radiomics, generated by different assay techniques, including ddPCR, NGS, LC-MS, ELISA, and our proprietary DeepMALDI mass spectrometry platform for the blood-based molecular analysis of the tumor, immune system, and host-status of each patient and/or clinical dataset. Through our learning loop, we continuously revisit our technology strategy and roadmap to integrate new technologies into our evolving platform, which ultimately support the addition of new service and product revenue offerings. We focus on developing technologies that are capable of single and multi-omic research and development.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217805</wp:posOffset>
            </wp:positionV>
            <wp:extent cx="6077585" cy="3154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7758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leveraging our proprietary transparent AI platform, the Diagnostic Cortex. Because of this approach, we believe we are unique in the diagnostics market, allowing for a broader and more holistic understanding of each patient’s disease state.</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experts in many technologies, but we are a true market leader with over 15 years of experience in the field of clinical proteomics. For over 10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suite of technologies that assist us in discovery, development and commercialization of novel diagnostic tests includes: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DeepMALDI Mass Spectrometry</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developed DeepMALDI, a proprietary high-density matrix-assisted laser desorption/ionization time-of-flight (MALDI-ToF) mass spectrometry (MS) technology, to produce blood-based proteomic data for disease diagnosis, personalized health care, precision medicine for direct treatment options, and disease screening in lung and other disease states. DeepMALDI overcomes the limitations of conventional MALDI and other mass spectrometry methods to produce highly sensitive, stable, and reproducible data by: (1) utilizing optimized signal-to-noise reduction and signal processing algorithms; and (2) novel batch correction methods and spectral alignment methods. The combination of these improvements yields substantially higher quality data content and is thereby much better suited for the discovery of biomarkers with clinical utility.</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current DeepMALDI methods allow us to achieve finer mass resolution, greater sensitivity, and 20-times faster imaging speeds than other instruments. Additionally, we believe recent enhancements to our DeepMALDI methods and MALDI-ToF technology evolution now allows us to measure more than 2,000 proteins, an improvement from the estimated 900 proteins we could measure a year ago. We intend to maintain our leadership role in the discovery of proteomics-based diagnostic tests. We utilize our DeepMALDI and MALDI-ToF technologies in our discovery and development efforts and as part of our collaborations with our biopharmaceutical customers and academic partners.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 Chromatography Mass Spectrometry MS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use Multiple Reaction Monitoring (MRM) MS with triple quadrupole mass spectrometers and up-front liquid chromatography (LC) sample injection in the Nodify XL2 test.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Enzyme-Linked Immunosorbent Assay</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the Platelia SARS-CoV-2 Total Ab test, and the cPASS neutralizing antibody test for COVID-19.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Droplet Digital Polymerase Chain Reaction Technology (ddPCR)</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use the ddPCR technology for multiplexed, semi-automated nucleic acid detection. This allows high sensitivity, fast turn-around times, flexibility in our laboratory workflows, rapid scaling from low to moderate analyte complexity, and high-volume scalability. ddPCR is an absolute quantitation method based on the partitioning of circulating nucleic acids into up to 20,000 droplets per reaction and is used for the GeneStrat test and Bio-Rad SARS-CoV-2 ddPCR test for COVID-19. We have included the ddPCR technologies for research and development both internally and externally with our biopharmaceutical customers and academic partners.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Generation Sequencing Technology</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use an NGS technology for broad genomic sequencing of clinical specimens. Our strategy with NGS relies on a menu of off-the-shelf and custom research use assays, which we develop and make available as a part of our commercial pipeline and biopharmaceutical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academic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five blood-based diagnostic tests across the lung cancer continuum of care to help address clinical unmet needs by physicians.</w:t>
      </w:r>
    </w:p>
    <w:p>
      <w:pPr>
        <w:spacing w:after="0" w:line="100" w:lineRule="exact"/>
        <w:rPr>
          <w:sz w:val="20"/>
          <w:szCs w:val="20"/>
          <w:color w:val="auto"/>
        </w:rPr>
      </w:pPr>
    </w:p>
    <w:p>
      <w:pPr>
        <w:jc w:val="both"/>
        <w:ind w:left="900" w:hanging="383"/>
        <w:spacing w:after="0" w:line="242"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Diagnosis</w:t>
      </w:r>
      <w:r>
        <w:rPr>
          <w:rFonts w:ascii="Arial" w:cs="Arial" w:eastAsia="Arial" w:hAnsi="Arial"/>
          <w:sz w:val="18"/>
          <w:szCs w:val="18"/>
          <w:color w:val="auto"/>
        </w:rPr>
        <w:t>: We believe there is a clinical need to help physicians reclassify risk of malignancy in patients presenting with suspicious lung</w:t>
      </w:r>
      <w:r>
        <w:rPr>
          <w:rFonts w:ascii="Arial" w:cs="Arial" w:eastAsia="Arial" w:hAnsi="Arial"/>
          <w:sz w:val="18"/>
          <w:szCs w:val="18"/>
          <w:b w:val="1"/>
          <w:bCs w:val="1"/>
          <w:color w:val="auto"/>
        </w:rPr>
        <w:t xml:space="preserve"> </w:t>
      </w:r>
      <w:r>
        <w:rPr>
          <w:rFonts w:ascii="Arial" w:cs="Arial" w:eastAsia="Arial" w:hAnsi="Arial"/>
          <w:sz w:val="18"/>
          <w:szCs w:val="18"/>
          <w:color w:val="auto"/>
        </w:rPr>
        <w:t>nodules. We offer the blood-based Nodify Lung Nodule Risk Assessment testing strategy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w:t>
      </w:r>
    </w:p>
    <w:p>
      <w:pPr>
        <w:spacing w:after="0" w:line="76" w:lineRule="exact"/>
        <w:rPr>
          <w:rFonts w:ascii="Arial" w:cs="Arial" w:eastAsia="Arial" w:hAnsi="Arial"/>
          <w:sz w:val="18"/>
          <w:szCs w:val="18"/>
          <w:color w:val="auto"/>
        </w:rPr>
      </w:pPr>
    </w:p>
    <w:p>
      <w:pPr>
        <w:jc w:val="both"/>
        <w:ind w:left="900" w:hanging="383"/>
        <w:spacing w:after="0" w:line="28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Treatment Guidance</w:t>
      </w:r>
      <w:r>
        <w:rPr>
          <w:rFonts w:ascii="Arial" w:cs="Arial" w:eastAsia="Arial" w:hAnsi="Arial"/>
          <w:sz w:val="16"/>
          <w:szCs w:val="16"/>
          <w:color w:val="auto"/>
        </w:rPr>
        <w:t>: We believe there is an imminent need for a blood-based testing solution that measures tumor-specific mutations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immune profile to provide physicians with more comprehensive information to assess the overall prognosis of the patient and personalize treatment plans. We offer the blood-based IQLung testing strategy, which consists of the GeneStrat ddPCR and GeneStrat NGS tumor profiling tests and the VeriStrat immune profiling test for patients diagnosed with NSCLC. With a 72-hour turnaround time, we are able to quickly provide critical diagnostic information to physicians to facilitate personalized treatment decisions for their patients.</w:t>
      </w:r>
    </w:p>
    <w:p>
      <w:pPr>
        <w:spacing w:after="0" w:line="47" w:lineRule="exact"/>
        <w:rPr>
          <w:rFonts w:ascii="Arial" w:cs="Arial" w:eastAsia="Arial" w:hAnsi="Arial"/>
          <w:sz w:val="16"/>
          <w:szCs w:val="16"/>
          <w:color w:val="auto"/>
        </w:rPr>
      </w:pPr>
    </w:p>
    <w:p>
      <w:pPr>
        <w:jc w:val="both"/>
        <w:ind w:left="900" w:hanging="383"/>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Monitoring</w:t>
      </w:r>
      <w:r>
        <w:rPr>
          <w:rFonts w:ascii="Arial" w:cs="Arial" w:eastAsia="Arial" w:hAnsi="Arial"/>
          <w:sz w:val="18"/>
          <w:szCs w:val="18"/>
          <w:color w:val="auto"/>
        </w:rPr>
        <w:t>: We believe longitudinally monitoring advanced NSCLC patients for the dynamic evolution of their tumor and immune profile</w:t>
      </w:r>
      <w:r>
        <w:rPr>
          <w:rFonts w:ascii="Arial" w:cs="Arial" w:eastAsia="Arial" w:hAnsi="Arial"/>
          <w:sz w:val="18"/>
          <w:szCs w:val="18"/>
          <w:b w:val="1"/>
          <w:bCs w:val="1"/>
          <w:color w:val="auto"/>
        </w:rPr>
        <w:t xml:space="preserve"> </w:t>
      </w:r>
      <w:r>
        <w:rPr>
          <w:rFonts w:ascii="Arial" w:cs="Arial" w:eastAsia="Arial" w:hAnsi="Arial"/>
          <w:sz w:val="18"/>
          <w:szCs w:val="18"/>
          <w:color w:val="auto"/>
        </w:rPr>
        <w:t>while on treatment can provide an earlier indication of treatment resistance and/or disease progression. We offer the IQLung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158115</wp:posOffset>
            </wp:positionV>
            <wp:extent cx="6172200" cy="1568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Diagnosis – Nodule Management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we are the only company to offer two commercial blood-based tests to help physicians reclassify risk of malignancy in patients with suspicious lung nodules. Our blood-based nodule management offering, Nodify Lung Nodule Risk Assessment assists physicians in reclassifying a patient’s risk of lung cancer by incorporating their protein biomarker results with radiographic imaging and clinical characteristics. Nodify Lung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Nodify CDT test is used to help identify lung nodules that are likely malignant and the Nodify XL2 test helps identify lung nodules that are likely benign. Nodify Lung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The Nodify Lung testing strategy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46355</wp:posOffset>
            </wp:positionV>
            <wp:extent cx="6077585" cy="2597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758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Integrated Diagnostics (Indi) in July 2018 and acquired the Nodify CDT test from Oncimmune USA in October 2019.</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Nodify CDT</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hope of catching cancer earlier. The Nodify CDT test enhances lung nodule risk assessment to facilitate compliance with clinical treatment guidelines such as those of the American College of Chest Physicians (ACCP). The Nodify CDT test is intended for use in patients who are 40 years or older, have nodules between 8 and 30mm, and pre-test risk of lung cancer of less than 65%.</w:t>
      </w:r>
    </w:p>
    <w:p>
      <w:pPr>
        <w:spacing w:after="0" w:line="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6"/>
          <w:szCs w:val="16"/>
          <w:color w:val="auto"/>
        </w:rPr>
        <w:t>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test has been studied in 14 peer reviewed published studies and presentations.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Nodify XL2</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nodules between 8 and 30mm, and have a pre-test risk of lung cancer of less than or equal to 50%.</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cancer. The clinical factors are patient age and smoking status, and radiological factors are nodule size, location, and edge characteristics.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summary, the inclusion of the Nodify Lung testing strategy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especially with the evolving coronavirus pandemic.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Both tests require a single blood sample shipped at ambient temperature to our certified, high-complexity clinical laboratory in De Soto, Kansas. Nodify CDT testing requires whole blood and Nodify XL2 testing requires either a whole blood tube, or whole blood spotted onto our proprietary Blood Collection Device (BCD). The introduction of the BCD and now the whole blood tube as qualified specimen collection methods for use with the Nodify XL2 test alleviated the need for serum separation processing steps by phlebotomists at blood draw sites such as centrifugation, and cold chain (dry ice) shipments, which has increased the market access to our proteomic-based tests. Results for the Nodify CDT test alone are typically available within one day. If both tests are ordered for the patient and Nodify CDT returns a result of NSLAD, then both test results are typically available within 4 to 5 days. All results are available through a portal, fax, hard copy, or mobile device.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Treatment Guidance and Monitoring</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Profiling the tumor through blood-based testing can help identify mutations in genes that may be driving growth of the tumor and may be targets for therapeutics. However, tumors also suppress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typically have a 72-hour turnaround time, providing physicians with timely results to facilitate treatment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128905</wp:posOffset>
            </wp:positionV>
            <wp:extent cx="6172200" cy="2820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220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GeneStrat ddPCR</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The GeneStrat test is a blood-based tumor profiling test that detects the guideline recommended, actionable mutations in lung cancer: </w:t>
      </w:r>
      <w:r>
        <w:rPr>
          <w:rFonts w:ascii="Arial" w:cs="Arial" w:eastAsia="Arial" w:hAnsi="Arial"/>
          <w:sz w:val="17"/>
          <w:szCs w:val="17"/>
          <w:i w:val="1"/>
          <w:iCs w:val="1"/>
          <w:color w:val="auto"/>
        </w:rPr>
        <w:t>EGFR, KRAS, BRAF,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EML4-ALK, ROS-1, </w:t>
      </w:r>
      <w:r>
        <w:rPr>
          <w:rFonts w:ascii="Arial" w:cs="Arial" w:eastAsia="Arial" w:hAnsi="Arial"/>
          <w:sz w:val="17"/>
          <w:szCs w:val="17"/>
          <w:color w:val="auto"/>
        </w:rPr>
        <w:t>and</w:t>
      </w:r>
      <w:r>
        <w:rPr>
          <w:rFonts w:ascii="Arial" w:cs="Arial" w:eastAsia="Arial" w:hAnsi="Arial"/>
          <w:sz w:val="17"/>
          <w:szCs w:val="17"/>
          <w:i w:val="1"/>
          <w:iCs w:val="1"/>
          <w:color w:val="auto"/>
        </w:rPr>
        <w:t xml:space="preserve"> RET. </w:t>
      </w:r>
      <w:r>
        <w:rPr>
          <w:rFonts w:ascii="Arial" w:cs="Arial" w:eastAsia="Arial" w:hAnsi="Arial"/>
          <w:sz w:val="17"/>
          <w:szCs w:val="17"/>
          <w:color w:val="auto"/>
        </w:rPr>
        <w:t>Physicians can order one or any combination of the gene tests, whichever they deem medically necessary for the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The presence of a mutation in one of the genes could indicate the patient is a candidate for the associated guideline-recommended targeted therapy. The GeneStrat test performance and potential clinical utility have been published in 3 peer reviewed studies.</w:t>
      </w:r>
    </w:p>
    <w:p>
      <w:pPr>
        <w:spacing w:after="0" w:line="64"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 GeneStrat test results are typically available within 36 hours from our receipt of the sample in our Boulder,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GeneStrat NGS Test</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two published studies.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GeneStrat NGS test results are typically available within 72 hours from our receipt of the sample in our Boulder, Colorado clinical laboratory.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671195</wp:posOffset>
            </wp:positionH>
            <wp:positionV relativeFrom="page">
              <wp:posOffset>286385</wp:posOffset>
            </wp:positionV>
            <wp:extent cx="6172200" cy="2494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believe that rapid, blood-based tumor profiling with the GeneStrat ddPCR and GeneStrat NGS tests can be complementary to both targeted tissue-based testing (including PD-L1) and tissue-based broad genomic sequencing. Testing with GeneStrat ddPCR and 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VeriStrat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with an immune status associated with generally poor prognosis who should be treated with alternate therapies or in clinical trials.</w:t>
      </w:r>
    </w:p>
    <w:p>
      <w:pPr>
        <w:spacing w:after="0" w:line="8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GeneStrat ddPCR testing is performed using PCR technology, GeneStrat NGS testing is performed using Next Generation Sequencing technology, and the protein features in VeriStrat are measured using MALDI-ToF mass spectrometry. Results are typically available within 72 hours through a portal, fax, hard copy, or mobile device.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GeneStrat ddPCR and GeneStrat NGS tests require whole blood specimen collection tubes, and VeriStrat requires a whole blood sample spotted onto our proprietary BCD. Both sample types are shipped at ambient temperature and testing is performed in our certified, high-complexity clinical laboratory in Boulder, Colorado.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Biodesix WorkSafe COVID-19 Testing Program</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response to the COVID-19 pandemic, through our partnership with Bio-Rad, we commercialized the Biodesix WorkSafe testing program. Our scientific diagnostic expertise, technologies, and existing commercial infrastructure enabled us to rapidly commercialize two diagnostic tests for the SARS-CoV-2 virus that causes COVID-19. The first test is the Bio-Rad SARS-CoV-2 ddPCR test, which is a molecular test intended for detecting active SARS-CoV-2 infection. The test was FDA EUA authorized on May 1, 2020, authorizing performance of the test in laboratories certified under CLIA to perform high complexity tests. The second test is the Platelia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SARS-CoV-2 Total Ab test, which is an antibody test intended for detecting a B-cell immune response to SARS-CoV-2, indicating recent or prior infection.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test was FDA EUA authorized on April 29, 2020.</w:t>
      </w:r>
    </w:p>
    <w:p>
      <w:pPr>
        <w:spacing w:after="0" w:line="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Within a month of initiating our development collaboration with Bio-Rad, we were able to launch two tests for commercial use. We were able to bring these tests to market as fast as possible due to our scientific diagnostic expertise, technologies and existing commercial infrastructure. In addition to our launch agility, we have been able to rapidly scale our laboratory operations for high-volume testing. We remain committed to delivering rapid test results in 24 to 48 hours on average.</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Using the Bio-Rad SARS-CoV-2 ddPCR test and the Platelia SARS-CoV-2 Total Ab tests, we operate and have commercialized the Biodesix WorkSafe testing program.</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Prior to using the Bio-Rad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during the three months ended June 30, 2021, we began partnering with GenScript Biotech Corporation to commercialize the blood-based cPass™ SARS-CoV-2 Neutralizing Antibody testing as a service. The test is the first and only surrogate neutralizing antibody test with FDA EUA and uses ELISA technology to qualitatively detect circulating neutralizing antibodies to the RBD in the spike protein of SARS-CoV-2 that are produced in response to vaccination or previous SARS-CoV-2 infection.</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Bio-Rad SARS-CoV-2 ddPCR test</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Bio-Rad SARS-CoV-2 ddPCR test, also known as a molecular or viral test, is intended for the qualitative detection of nucleic acid from SARS-CoV-2, the virus that causes COVID-19. The test targets detection of the nucleic acid from SARS-CoV-2 (not from any other viruses or pathogens) in respiratory specimens to identify and isolate infected individuals. Recent studies have shown that ddPCR-based testing is more sensitive than qPCR for detecting SARS-CoV-2, specifically in the reduction of false negative results. In one study, the ddPCR test demonstrated 95% accuracy vs. 47% for other “bulk” RT-PCR technologies used in other molecular tests Specimens are shipped at ambient temperature or dry ice depending on the viral transport media (VTM) used, and testing is performed using ddPCR in our certified, high-complexity clinical laboratory in Boulder, Colorado. Results are typically available through fax, hard copy, or encrypted email within 24 to 48 hours on average from receipt of the sample.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Platelia SARS-CoV-2 Total Ab Test</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Platelia SARS-CoV-2 Total Ab test (also known as a serology or antibody test) is intended for use as an aid in identifying individuals who have developed an adaptive immune response to the SARS-CoV-2 virus, indicating recent or prior infection. The test uses whole blood to detect circulating antibodies against the virus. The sensitivity is 98% and specificity is 99% eight days after the onset of symptoms. At this time, it is not known how long antibodies persist following infection and if the presence of antibodies confers protective immunity. The test is intended for the qualitative detection of total anti-SARS-CoV-2 nucleocapsid antibodies (IgG, IgM and IgA) in human serum or plasma specimens. The test requires a 3 mL blood draw, and samples are shipped at ambient temperature. Testing is conducted using semi-automated ELISA technology in our certified, high-complexity clinical laboratory in De Soto, Kansas. Results are typically available within 24 to 48 hours from receipt of the sample through fax, hard copy, or encrypted email.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Diagnostic Discovery, Development and Testing Services Business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our leadership in clinical proteomics and our multi-omic approach to probe the cancer disease state provides our customers with a clear and distinct advantage over other diagnostic service providers who solely focus on either genomics or proteomics. Similar to our commercial clinical testing business, our biopharmaceutical diagnostic discovery, development and testing services business leverages the Diagnostic Cortex to provide an extensively validated and deep learning approach to discovering new biomarkers, which in turn helps drive the clinical development of therapeutics. We recognize each clinical development program is complex, which is why we offer end-to-end diagnostic solutions, ranging from initial biomarker discovery and feasibility projects to commercialization of companion diagnostics.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6"/>
          <w:szCs w:val="16"/>
          <w:color w:val="auto"/>
        </w:rPr>
        <w:t>To address the increasing complexity of disease biology and new drug mechanisms of action, we employ a range of genomic and proteomic technologies to uncover insights about the tumor biology and patient’s immune response to cancer for therapeutics in clinical development. With our broad technology and service offering, including the performance of over 30 assays for research use as part of our laboratory services (see diagram below), we are able to provide the depth and breadth of biomarker tools for our partners for multi-omic analyses across their product development efforts. Although we recognize the importance of a multi-omic, approach in translational research, we are experts in discovering and developing proteomic-based diagnostic tests to help interrogate the immune profile and host disease state of patients on particular therapeutics. Traditionally, oncology biomarkers have been discovered from tumor tissue, but with the increased trend in the number of programs featuring immuno-oncology agents in therapeutic development, we believe there is a clinical unmet need for blood-based tumor markers and host/immune biomarkers to complement information obtained from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115570</wp:posOffset>
            </wp:positionV>
            <wp:extent cx="6172200" cy="2717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Additionally, we have the ability to access and leverage our large sample and data biobank for our partners’ data mining needs, including new test discovery.</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continues to be powered through these biomarker analyses. Additionally, our sample and data biobank continue to grow and can be further leveraged for internal test development and external partnering. Importantly, we look to supplement our product development efforts with companion diagnostics as they are developed.</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 date, we have over 50 biopharmaceutical customers and academic partners who have utilized our diagnostic tests and services. The following are a few case studies of early-stage biomarker discovery and development with our biopharmaceutical customers.</w:t>
      </w:r>
    </w:p>
    <w:p>
      <w:pPr>
        <w:spacing w:after="0" w:line="59" w:lineRule="exact"/>
        <w:rPr>
          <w:sz w:val="20"/>
          <w:szCs w:val="20"/>
          <w:color w:val="auto"/>
        </w:rPr>
      </w:pPr>
    </w:p>
    <w:p>
      <w:pPr>
        <w:jc w:val="both"/>
        <w:ind w:left="900" w:hanging="383"/>
        <w:spacing w:after="0" w:line="242"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AstraZeneca: </w:t>
      </w:r>
      <w:r>
        <w:rPr>
          <w:rFonts w:ascii="Arial" w:cs="Arial" w:eastAsia="Arial" w:hAnsi="Arial"/>
          <w:sz w:val="18"/>
          <w:szCs w:val="18"/>
          <w:color w:val="auto"/>
        </w:rPr>
        <w:t>We provided services to AstraZeneca to retrospectively analyze samples from the FLAURA clinical trial (NCT02296125). The</w:t>
      </w:r>
      <w:r>
        <w:rPr>
          <w:rFonts w:ascii="Arial" w:cs="Arial" w:eastAsia="Arial" w:hAnsi="Arial"/>
          <w:sz w:val="18"/>
          <w:szCs w:val="18"/>
          <w:b w:val="1"/>
          <w:bCs w:val="1"/>
          <w:color w:val="auto"/>
        </w:rPr>
        <w:t xml:space="preserve"> </w:t>
      </w:r>
      <w:r>
        <w:rPr>
          <w:rFonts w:ascii="Arial" w:cs="Arial" w:eastAsia="Arial" w:hAnsi="Arial"/>
          <w:sz w:val="18"/>
          <w:szCs w:val="18"/>
          <w:color w:val="auto"/>
        </w:rPr>
        <w:t>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3 months (median) in advance of standard imaging.</w:t>
      </w:r>
    </w:p>
    <w:p>
      <w:pPr>
        <w:spacing w:after="0" w:line="76" w:lineRule="exact"/>
        <w:rPr>
          <w:rFonts w:ascii="Arial" w:cs="Arial" w:eastAsia="Arial" w:hAnsi="Arial"/>
          <w:sz w:val="18"/>
          <w:szCs w:val="18"/>
          <w:color w:val="auto"/>
        </w:rPr>
      </w:pPr>
    </w:p>
    <w:p>
      <w:pPr>
        <w:jc w:val="both"/>
        <w:ind w:left="900" w:hanging="383"/>
        <w:spacing w:after="0" w:line="24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Genentech: </w:t>
      </w:r>
      <w:r>
        <w:rPr>
          <w:rFonts w:ascii="Arial" w:cs="Arial" w:eastAsia="Arial" w:hAnsi="Arial"/>
          <w:sz w:val="18"/>
          <w:szCs w:val="18"/>
          <w:color w:val="auto"/>
        </w:rPr>
        <w:t>We partnered with Genentech to discover a novel proteomic classifier for advanced NSCLC patients treated with atezolizumab.</w:t>
      </w:r>
      <w:r>
        <w:rPr>
          <w:rFonts w:ascii="Arial" w:cs="Arial" w:eastAsia="Arial" w:hAnsi="Arial"/>
          <w:sz w:val="18"/>
          <w:szCs w:val="18"/>
          <w:b w:val="1"/>
          <w:bCs w:val="1"/>
          <w:color w:val="auto"/>
        </w:rPr>
        <w:t xml:space="preserve"> </w:t>
      </w:r>
      <w:r>
        <w:rPr>
          <w:rFonts w:ascii="Arial" w:cs="Arial" w:eastAsia="Arial" w:hAnsi="Arial"/>
          <w:sz w:val="18"/>
          <w:szCs w:val="18"/>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8" w:name="page19"/>
    <w:bookmarkEnd w:id="18"/>
    <w:p>
      <w:pPr>
        <w:jc w:val="both"/>
        <w:ind w:left="900"/>
        <w:spacing w:after="0" w:line="248" w:lineRule="auto"/>
        <w:rPr>
          <w:sz w:val="20"/>
          <w:szCs w:val="20"/>
          <w:color w:val="auto"/>
        </w:rPr>
      </w:pPr>
      <w:r>
        <w:rPr>
          <w:rFonts w:ascii="Arial" w:cs="Arial" w:eastAsia="Arial" w:hAnsi="Arial"/>
          <w:sz w:val="18"/>
          <w:szCs w:val="18"/>
          <w:color w:val="auto"/>
        </w:rPr>
        <w:t>classifier this fall with three posters presented at the society of immunotherapy conference (SITC). This data reinforces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70" w:lineRule="exact"/>
        <w:rPr>
          <w:sz w:val="20"/>
          <w:szCs w:val="20"/>
          <w:color w:val="auto"/>
        </w:rPr>
      </w:pPr>
    </w:p>
    <w:p>
      <w:pPr>
        <w:jc w:val="both"/>
        <w:ind w:left="900" w:hanging="383"/>
        <w:spacing w:after="0" w:line="242"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Merck KGaA &amp; Pfizer: </w:t>
      </w:r>
      <w:r>
        <w:rPr>
          <w:rFonts w:ascii="Arial" w:cs="Arial" w:eastAsia="Arial" w:hAnsi="Arial"/>
          <w:sz w:val="18"/>
          <w:szCs w:val="18"/>
          <w:color w:val="auto"/>
        </w:rPr>
        <w:t>We announced the initiation of a clinical phase development program for the anti-PD-L1 checkpoint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avelumab with Merck KGaA and Pfizer on February 12, 2020. The new proteomic test was developed through retrospective analysis of the circulating proteome combined with our proprietary AI platform. We have completed initial discovery of the test that identifies likely responders to avelumab and efforts are now focusing on transferring the test into our CLIA lab in Boulder, Colorado for clinical phase test validation.</w:t>
      </w:r>
    </w:p>
    <w:p>
      <w:pPr>
        <w:spacing w:after="0" w:line="76" w:lineRule="exact"/>
        <w:rPr>
          <w:rFonts w:ascii="Arial" w:cs="Arial" w:eastAsia="Arial" w:hAnsi="Arial"/>
          <w:sz w:val="18"/>
          <w:szCs w:val="18"/>
          <w:color w:val="auto"/>
        </w:rPr>
      </w:pPr>
    </w:p>
    <w:p>
      <w:pPr>
        <w:jc w:val="both"/>
        <w:ind w:left="900" w:hanging="383"/>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HiberCell: </w:t>
      </w:r>
      <w:r>
        <w:rPr>
          <w:rFonts w:ascii="Arial" w:cs="Arial" w:eastAsia="Arial" w:hAnsi="Arial"/>
          <w:sz w:val="18"/>
          <w:szCs w:val="18"/>
          <w:color w:val="auto"/>
        </w:rPr>
        <w:t>In January 2021, we announced a broad collaboration with HiberCell for companion diagnostic discovery,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The agreement initially focuses on the further development of an ELISA as a companion diagnostic in future registrational trials in breast cancer for Imprime PGG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are our key competitive advantages:</w:t>
      </w:r>
    </w:p>
    <w:p>
      <w:pPr>
        <w:spacing w:after="0" w:line="100" w:lineRule="exact"/>
        <w:rPr>
          <w:sz w:val="20"/>
          <w:szCs w:val="20"/>
          <w:color w:val="auto"/>
        </w:rPr>
      </w:pPr>
    </w:p>
    <w:p>
      <w:pPr>
        <w:jc w:val="both"/>
        <w:ind w:left="900" w:hanging="383"/>
        <w:spacing w:after="0" w:line="242"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proprietary extensively validated deep learning platform, which is tailored to discover diagnostic tests that address clinical unmet needs. </w:t>
      </w:r>
      <w:r>
        <w:rPr>
          <w:rFonts w:ascii="Arial" w:cs="Arial" w:eastAsia="Arial" w:hAnsi="Arial"/>
          <w:sz w:val="18"/>
          <w:szCs w:val="18"/>
          <w:color w:val="auto"/>
        </w:rPr>
        <w:t>Our platform is an extensively validated deep learning platform optimized for discovery of diagnostic tests. By combining our data-driven and multi-omic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76" w:lineRule="exact"/>
        <w:rPr>
          <w:rFonts w:ascii="Arial" w:cs="Arial" w:eastAsia="Arial" w:hAnsi="Arial"/>
          <w:sz w:val="18"/>
          <w:szCs w:val="18"/>
          <w:color w:val="auto"/>
        </w:rPr>
      </w:pPr>
    </w:p>
    <w:p>
      <w:pPr>
        <w:jc w:val="both"/>
        <w:ind w:left="900" w:hanging="383"/>
        <w:spacing w:after="0" w:line="28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data-driven approach to precision medicine combined with our biobank, which enables us to accelerate development of new tests. </w:t>
      </w:r>
      <w:r>
        <w:rPr>
          <w:rFonts w:ascii="Arial" w:cs="Arial" w:eastAsia="Arial" w:hAnsi="Arial"/>
          <w:sz w:val="16"/>
          <w:szCs w:val="16"/>
          <w:color w:val="auto"/>
        </w:rPr>
        <w:t>We have over 150,000 samples and data in our biobank, including tumor profiles and immune profiles, used for both internal and external research and development initiatives. Our biobank, clinical trials, commercial testing and other partnerships provide an ongoing source of new data that further enhances our proprietary AI platform. We are continuously identifying and incorporating new market insights and input from our customers, key opinion leaders, and scientific experts to leverage this data in developing our diagnostic tests.</w:t>
      </w:r>
    </w:p>
    <w:p>
      <w:pPr>
        <w:spacing w:after="0" w:line="47" w:lineRule="exact"/>
        <w:rPr>
          <w:rFonts w:ascii="Arial" w:cs="Arial" w:eastAsia="Arial" w:hAnsi="Arial"/>
          <w:sz w:val="16"/>
          <w:szCs w:val="16"/>
          <w:color w:val="auto"/>
        </w:rPr>
      </w:pPr>
    </w:p>
    <w:p>
      <w:pPr>
        <w:jc w:val="both"/>
        <w:ind w:left="900" w:hanging="383"/>
        <w:spacing w:after="0" w:line="24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leadership in clinical proteomics, demonstrated research, development, and scientific expertise, combined with our intellectual property portfolio. </w:t>
      </w:r>
      <w:r>
        <w:rPr>
          <w:rFonts w:ascii="Arial" w:cs="Arial" w:eastAsia="Arial" w:hAnsi="Arial"/>
          <w:sz w:val="18"/>
          <w:szCs w:val="18"/>
          <w:color w:val="auto"/>
        </w:rPr>
        <w:t>Our leadership in clinical proteomics and our multi-omic approach, we believe provides us with a distinct advantage over</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competitors, who focus on any single technology, such as genomics or proteomics. Our certified, high-complexity laboratories offer significant advantages in development of commercial tests.</w:t>
      </w:r>
    </w:p>
    <w:p>
      <w:pPr>
        <w:spacing w:after="0" w:line="72" w:lineRule="exact"/>
        <w:rPr>
          <w:rFonts w:ascii="Arial" w:cs="Arial" w:eastAsia="Arial" w:hAnsi="Arial"/>
          <w:sz w:val="18"/>
          <w:szCs w:val="18"/>
          <w:color w:val="auto"/>
        </w:rPr>
      </w:pPr>
    </w:p>
    <w:p>
      <w:pPr>
        <w:jc w:val="both"/>
        <w:ind w:left="900" w:hanging="383"/>
        <w:spacing w:after="0" w:line="264"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Our proprietary technologies and processes are protected by a portfolio of approximately 109 issued patents in the United States and internationally, and 22 uniquely registered United States trademarks. </w:t>
      </w:r>
      <w:r>
        <w:rPr>
          <w:rFonts w:ascii="Arial" w:cs="Arial" w:eastAsia="Arial" w:hAnsi="Arial"/>
          <w:sz w:val="17"/>
          <w:szCs w:val="17"/>
          <w:color w:val="auto"/>
        </w:rPr>
        <w:t>We take efforts to protect our proprietary position using a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57" w:lineRule="exact"/>
        <w:rPr>
          <w:rFonts w:ascii="Arial" w:cs="Arial" w:eastAsia="Arial" w:hAnsi="Arial"/>
          <w:sz w:val="17"/>
          <w:szCs w:val="17"/>
          <w:color w:val="auto"/>
        </w:rPr>
      </w:pPr>
    </w:p>
    <w:p>
      <w:pPr>
        <w:jc w:val="both"/>
        <w:ind w:left="900" w:hanging="383"/>
        <w:spacing w:after="0" w:line="27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demonstrated success commercializing diagnostic tests in lung disease as well as unprecedented turnaround times. </w:t>
      </w:r>
      <w:r>
        <w:rPr>
          <w:rFonts w:ascii="Arial" w:cs="Arial" w:eastAsia="Arial" w:hAnsi="Arial"/>
          <w:sz w:val="16"/>
          <w:szCs w:val="16"/>
          <w:color w:val="auto"/>
        </w:rPr>
        <w:t>With eight</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 tests launched and three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 based IQLung strategy for lung cancer patients integrates the GeneStrat targeted test, the GeneStrat NGS test and the VeriStrat test to support treatment decisions across all stages of lung cancer with results in an unprecedented 36-72 hours, expediting time to treatment. We have displayed agility in our R&amp;D and commercial launch efforts and within a month of initiating a development collaboration, launched three diagnostic tests for COVID-19 for commercial use.</w:t>
      </w:r>
    </w:p>
    <w:p>
      <w:pPr>
        <w:spacing w:after="0" w:line="47" w:lineRule="exact"/>
        <w:rPr>
          <w:rFonts w:ascii="Arial" w:cs="Arial" w:eastAsia="Arial" w:hAnsi="Arial"/>
          <w:sz w:val="16"/>
          <w:szCs w:val="16"/>
          <w:color w:val="auto"/>
        </w:rPr>
      </w:pPr>
    </w:p>
    <w:p>
      <w:pPr>
        <w:jc w:val="both"/>
        <w:ind w:left="900" w:hanging="383"/>
        <w:spacing w:after="0" w:line="28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Our depth and breadth of point of care access to physicians allows us to drive adoption of our diagnostic tests while incorporating real-life feedback to inform new product development. </w:t>
      </w:r>
      <w:r>
        <w:rPr>
          <w:rFonts w:ascii="Arial" w:cs="Arial" w:eastAsia="Arial" w:hAnsi="Arial"/>
          <w:sz w:val="16"/>
          <w:szCs w:val="16"/>
          <w:color w:val="auto"/>
        </w:rPr>
        <w:t>Our commercial team’s primary focus is to articulate the scientific and clinical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47" w:lineRule="exact"/>
        <w:rPr>
          <w:rFonts w:ascii="Arial" w:cs="Arial" w:eastAsia="Arial" w:hAnsi="Arial"/>
          <w:sz w:val="16"/>
          <w:szCs w:val="16"/>
          <w:color w:val="auto"/>
        </w:rPr>
      </w:pPr>
    </w:p>
    <w:p>
      <w:pPr>
        <w:jc w:val="both"/>
        <w:ind w:left="900" w:hanging="383"/>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Arial" w:cs="Arial" w:eastAsia="Arial" w:hAnsi="Arial"/>
          <w:sz w:val="18"/>
          <w:szCs w:val="18"/>
          <w:color w:val="auto"/>
        </w:rPr>
        <w:t>We believe our commitment to commercial excellence helps us</w:t>
      </w:r>
      <w:r>
        <w:rPr>
          <w:rFonts w:ascii="Arial" w:cs="Arial" w:eastAsia="Arial" w:hAnsi="Arial"/>
          <w:sz w:val="18"/>
          <w:szCs w:val="18"/>
          <w:b w:val="1"/>
          <w:bCs w:val="1"/>
          <w:color w:val="auto"/>
        </w:rPr>
        <w:t xml:space="preserve"> </w:t>
      </w:r>
      <w:r>
        <w:rPr>
          <w:rFonts w:ascii="Arial" w:cs="Arial" w:eastAsia="Arial" w:hAnsi="Arial"/>
          <w:sz w:val="18"/>
          <w:szCs w:val="18"/>
          <w:color w:val="auto"/>
        </w:rPr>
        <w:t>to leverage insights, operational excellence and proven approaches to deliver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jc w:val="both"/>
        <w:ind w:left="900"/>
        <w:spacing w:after="0" w:line="248" w:lineRule="auto"/>
        <w:rPr>
          <w:sz w:val="20"/>
          <w:szCs w:val="20"/>
          <w:color w:val="auto"/>
        </w:rPr>
      </w:pPr>
      <w:r>
        <w:rPr>
          <w:rFonts w:ascii="Arial" w:cs="Arial" w:eastAsia="Arial" w:hAnsi="Arial"/>
          <w:sz w:val="18"/>
          <w:szCs w:val="18"/>
          <w:color w:val="auto"/>
        </w:rPr>
        <w:t>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59"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Drive increased awareness, adoption, and reimbursement coverage of our diagnostic tests by:</w:t>
      </w:r>
    </w:p>
    <w:p>
      <w:pPr>
        <w:spacing w:after="0" w:line="108" w:lineRule="exact"/>
        <w:rPr>
          <w:sz w:val="20"/>
          <w:szCs w:val="20"/>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62" w:lineRule="exact"/>
        <w:rPr>
          <w:rFonts w:ascii="Arial" w:cs="Arial" w:eastAsia="Arial" w:hAnsi="Arial"/>
          <w:sz w:val="18"/>
          <w:szCs w:val="18"/>
          <w:color w:val="auto"/>
        </w:rPr>
      </w:pPr>
    </w:p>
    <w:p>
      <w:pPr>
        <w:jc w:val="both"/>
        <w:ind w:left="1200" w:hanging="443"/>
        <w:spacing w:after="0" w:line="248"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utilizing our pulmonology- and oncology-focused sales force and commercial reach with targeted awareness campaigns to employ highly targeted sales and marketing tactics in pulmonology clinics specializing in the management of lung nodules and the diagnosis of lung cancer;</w:t>
      </w:r>
    </w:p>
    <w:p>
      <w:pPr>
        <w:spacing w:after="0" w:line="73"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continuing to invest in the expansion of our sales force and commercial support team;</w:t>
      </w:r>
    </w:p>
    <w:p>
      <w:pPr>
        <w:spacing w:after="0" w:line="103" w:lineRule="exact"/>
        <w:rPr>
          <w:rFonts w:ascii="Arial" w:cs="Arial" w:eastAsia="Arial" w:hAnsi="Arial"/>
          <w:sz w:val="18"/>
          <w:szCs w:val="18"/>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incorporating our testing services into diagnostic pathways and protocols via a top-down strategy that introduces our diagnostic tests to the largest United States health systems; and</w:t>
      </w:r>
    </w:p>
    <w:p>
      <w:pPr>
        <w:spacing w:after="0" w:line="62"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our clinical data to gain broad coverage from public and private payers for our tests.</w:t>
      </w:r>
    </w:p>
    <w:p>
      <w:pPr>
        <w:spacing w:after="0" w:line="99"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Deepen our relationships with current biopharmaceutical customers and establish new customer opportunities by:</w:t>
      </w:r>
    </w:p>
    <w:p>
      <w:pPr>
        <w:spacing w:after="0" w:line="107"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selling our complete offering of tests and services to biopharmaceutical companies in the United States and internationally;</w:t>
      </w:r>
    </w:p>
    <w:p>
      <w:pPr>
        <w:spacing w:after="0" w:line="103"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leveraging existing projects and relationships to expand sales with our current biopharmaceutical customers; and</w:t>
      </w:r>
    </w:p>
    <w:p>
      <w:pPr>
        <w:spacing w:after="0" w:line="103" w:lineRule="exact"/>
        <w:rPr>
          <w:rFonts w:ascii="Arial" w:cs="Arial" w:eastAsia="Arial" w:hAnsi="Arial"/>
          <w:sz w:val="18"/>
          <w:szCs w:val="18"/>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targeting companies developing novel companion diagnostic strategies and drug development projects best suited to our platform for new test discovery, development and commercialization.</w:t>
      </w:r>
    </w:p>
    <w:p>
      <w:pPr>
        <w:spacing w:after="0" w:line="58"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Further demonstrate the clinical utility and health economic benefits of our diagnostic tests by:</w:t>
      </w:r>
    </w:p>
    <w:p>
      <w:pPr>
        <w:spacing w:after="0" w:line="107"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investing in commercial clinical testing, research studies and clinical trials to further demonstrate the clinical utility of our tests;</w:t>
      </w:r>
    </w:p>
    <w:p>
      <w:pPr>
        <w:spacing w:after="0" w:line="103"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providing rapid, actionable, and holistic diagnostic information to help inform physicians on the next steps in a patient’s care plan; and</w:t>
      </w:r>
    </w:p>
    <w:p>
      <w:pPr>
        <w:spacing w:after="0" w:line="115" w:lineRule="exact"/>
        <w:rPr>
          <w:rFonts w:ascii="Arial" w:cs="Arial" w:eastAsia="Arial" w:hAnsi="Arial"/>
          <w:sz w:val="17"/>
          <w:szCs w:val="17"/>
          <w:color w:val="auto"/>
        </w:rPr>
      </w:pPr>
    </w:p>
    <w:p>
      <w:pPr>
        <w:ind w:left="1200" w:hanging="443"/>
        <w:spacing w:after="0"/>
        <w:tabs>
          <w:tab w:leader="none" w:pos="12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providing timely and actionable clinical information to help improve overall patient outcomes and lower the overall healthcare cost.</w:t>
      </w:r>
    </w:p>
    <w:p>
      <w:pPr>
        <w:spacing w:after="0" w:line="111" w:lineRule="exact"/>
        <w:rPr>
          <w:rFonts w:ascii="Arial" w:cs="Arial" w:eastAsia="Arial" w:hAnsi="Arial"/>
          <w:sz w:val="17"/>
          <w:szCs w:val="17"/>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Introduce new diagnostic tests in lung disease by:</w:t>
      </w:r>
    </w:p>
    <w:p>
      <w:pPr>
        <w:spacing w:after="0" w:line="107" w:lineRule="exact"/>
        <w:rPr>
          <w:rFonts w:ascii="Arial" w:cs="Arial" w:eastAsia="Arial" w:hAnsi="Arial"/>
          <w:sz w:val="18"/>
          <w:szCs w:val="18"/>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engaging with our customers, key opinion leaders, and scientific experts to stay ahead of the rapidly evolving diagnostic and therapeutic landscape and to identify additional clinical unmet needs;</w:t>
      </w:r>
    </w:p>
    <w:p>
      <w:pPr>
        <w:spacing w:after="0" w:line="62" w:lineRule="exact"/>
        <w:rPr>
          <w:rFonts w:ascii="Arial" w:cs="Arial" w:eastAsia="Arial" w:hAnsi="Arial"/>
          <w:sz w:val="18"/>
          <w:szCs w:val="18"/>
          <w:color w:val="auto"/>
        </w:rPr>
      </w:pPr>
    </w:p>
    <w:p>
      <w:pPr>
        <w:ind w:left="1200" w:right="2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entering strategic partnerships with biopharmaceutical companies, academic research organizations, technology providers, and other diagnostic companies; and</w:t>
      </w:r>
    </w:p>
    <w:p>
      <w:pPr>
        <w:spacing w:after="0" w:line="62" w:lineRule="exact"/>
        <w:rPr>
          <w:rFonts w:ascii="Arial" w:cs="Arial" w:eastAsia="Arial" w:hAnsi="Arial"/>
          <w:sz w:val="18"/>
          <w:szCs w:val="18"/>
          <w:color w:val="auto"/>
        </w:rPr>
      </w:pPr>
    </w:p>
    <w:p>
      <w:pPr>
        <w:ind w:left="1200" w:right="2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developing companion diagnostic tests to support the therapeutics’ regulatory approval and adoption process for our biopharmaceutical customers.</w:t>
      </w:r>
    </w:p>
    <w:p>
      <w:pPr>
        <w:spacing w:after="0" w:line="58"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Enhance our proprietary AI platform and expand our technology portfolio by:</w:t>
      </w:r>
    </w:p>
    <w:p>
      <w:pPr>
        <w:spacing w:after="0" w:line="107"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continuing to invest in R&amp;D capabilities to foster innovation in test discovery and development;</w:t>
      </w:r>
    </w:p>
    <w:p>
      <w:pPr>
        <w:spacing w:after="0" w:line="103" w:lineRule="exact"/>
        <w:rPr>
          <w:rFonts w:ascii="Arial" w:cs="Arial" w:eastAsia="Arial" w:hAnsi="Arial"/>
          <w:sz w:val="18"/>
          <w:szCs w:val="18"/>
          <w:color w:val="auto"/>
        </w:rPr>
      </w:pPr>
    </w:p>
    <w:p>
      <w:pPr>
        <w:ind w:left="1200" w:hanging="443"/>
        <w:spacing w:after="0"/>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identifying, acquiring technologies and integrating new data types into our proprietary AI platform;</w:t>
      </w:r>
    </w:p>
    <w:p>
      <w:pPr>
        <w:spacing w:after="0" w:line="103" w:lineRule="exact"/>
        <w:rPr>
          <w:rFonts w:ascii="Arial" w:cs="Arial" w:eastAsia="Arial" w:hAnsi="Arial"/>
          <w:sz w:val="18"/>
          <w:szCs w:val="18"/>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entering strategic partnerships across our commercial product portfolio and product development efforts in order to further our development capabilities, accelerate launch of commercial products, or expand our service offering; and</w:t>
      </w:r>
    </w:p>
    <w:p>
      <w:pPr>
        <w:spacing w:after="0" w:line="62" w:lineRule="exact"/>
        <w:rPr>
          <w:rFonts w:ascii="Arial" w:cs="Arial" w:eastAsia="Arial" w:hAnsi="Arial"/>
          <w:sz w:val="18"/>
          <w:szCs w:val="18"/>
          <w:color w:val="auto"/>
        </w:rPr>
      </w:pPr>
    </w:p>
    <w:p>
      <w:pPr>
        <w:ind w:left="1200" w:hanging="443"/>
        <w:spacing w:after="0" w:line="261" w:lineRule="auto"/>
        <w:tabs>
          <w:tab w:leader="none" w:pos="12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achieving “Explainable AI” by developing and incorporating computational tools that determine how the Diagnostic Cortex makes decisions for patient classification and outcome prediction.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0" w:name="page21"/>
    <w:bookmarkEnd w:id="20"/>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Continue to expand and leverage our biobank by:</w:t>
      </w:r>
    </w:p>
    <w:p>
      <w:pPr>
        <w:spacing w:after="0" w:line="108" w:lineRule="exact"/>
        <w:rPr>
          <w:sz w:val="20"/>
          <w:szCs w:val="20"/>
          <w:color w:val="auto"/>
        </w:rPr>
      </w:pPr>
    </w:p>
    <w:p>
      <w:pPr>
        <w:ind w:left="1200" w:hanging="443"/>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expanding and enhancing the robustness of our samples and the data set, including through our collaborations and partnerships;</w:t>
      </w:r>
    </w:p>
    <w:p>
      <w:pPr>
        <w:spacing w:after="0" w:line="115" w:lineRule="exact"/>
        <w:rPr>
          <w:rFonts w:ascii="Arial" w:cs="Arial" w:eastAsia="Arial" w:hAnsi="Arial"/>
          <w:sz w:val="17"/>
          <w:szCs w:val="17"/>
          <w:color w:val="auto"/>
        </w:rPr>
      </w:pPr>
    </w:p>
    <w:p>
      <w:pPr>
        <w:ind w:left="1200" w:hanging="443"/>
        <w:spacing w:after="0" w:line="261"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pursuing commercial opportunities with companies and researchers who are interested in utilizing our biobank for their own discovery and development efforts; and</w:t>
      </w:r>
    </w:p>
    <w:p>
      <w:pPr>
        <w:spacing w:after="0" w:line="62" w:lineRule="exact"/>
        <w:rPr>
          <w:rFonts w:ascii="Arial" w:cs="Arial" w:eastAsia="Arial" w:hAnsi="Arial"/>
          <w:sz w:val="18"/>
          <w:szCs w:val="18"/>
          <w:color w:val="auto"/>
        </w:rPr>
      </w:pPr>
    </w:p>
    <w:p>
      <w:pPr>
        <w:ind w:left="1200" w:hanging="443"/>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monetizing these commercial opportunities.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Diagnostic Tests in Development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the goal of finding solutions for clinical unmet needs related to diagnosis, treatment and monitoring in lung disease, our diagnostic tests in development include the following: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Early-Stage NSCLC—Risk of Recurrence (ROR)</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Currently, surgical resection of the tumor without systemic or radiation therapy is standard of care for stage I NSCLC patients. However, 20 to 40% of surgically treated patients will suffer a recurrence within 5 years after surgery. From market research with 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Risk of Recurrence (ROR) test, which is a pre-surgery blood-based proteomic test, designed with the Diagnostic Cortex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NSCLC—Immunotherapy Treatment Guidance (PIR)</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3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potential to mount an immune response to their cancer and predict those patients likely to respond to ICI monotherapy treatment, ICI</w:t>
      </w:r>
    </w:p>
    <w:p>
      <w:pPr>
        <w:spacing w:after="0" w:line="1" w:lineRule="exact"/>
        <w:rPr>
          <w:sz w:val="20"/>
          <w:szCs w:val="20"/>
          <w:color w:val="auto"/>
        </w:rPr>
      </w:pPr>
    </w:p>
    <w:p>
      <w:pPr>
        <w:jc w:val="both"/>
        <w:ind w:firstLine="8"/>
        <w:spacing w:after="0" w:line="239" w:lineRule="auto"/>
        <w:tabs>
          <w:tab w:leader="none" w:pos="1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 in a prospective study called BEACON-Lung.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Monitoring – Progression &amp; Resistance</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Arial" w:cs="Arial" w:eastAsia="Arial" w:hAnsi="Arial"/>
          <w:sz w:val="18"/>
          <w:szCs w:val="18"/>
          <w:i w:val="1"/>
          <w:iCs w:val="1"/>
          <w:color w:val="auto"/>
        </w:rPr>
        <w:t>EGFR</w:t>
      </w:r>
      <w:r>
        <w:rPr>
          <w:rFonts w:ascii="Arial" w:cs="Arial" w:eastAsia="Arial" w:hAnsi="Arial"/>
          <w:sz w:val="18"/>
          <w:szCs w:val="18"/>
          <w:color w:val="auto"/>
        </w:rPr>
        <w:t xml:space="preserve"> ddPCR test in all three of these indications. The test can identify disease progression up to 3 months (median) in advance of standard imaging. Using ddPCR for longitudinal blood-based monitoring of EGFR cell-free DNA mutations is a cost-effective testing method while patients are being treated with targeted therapies.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dedicated to continuously publishing and presenting new data on the clinical validation and utility of our diagnostic tests. We have participated in 27 clinical studies, 5 of which are ongoing, and have published over 300 peer-reviewed publications and presentations. The following are our ongoing clinical studies for our diagnostic testing solutions.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ORACLE Registry Study (NCT03766958)</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ORACLE registry study was designed to develop real-world clinical utility data for Nodify XL2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As of May 1, 2020, 423 patients have been enrolled and are undergoing primary endpoint analysis, with 2-year follow-up estimated to be completed by the first half of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ALTITUDE Clinical Utility Study (NCT04171492)</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ALTITUDE clinical utility study is designed to evaluate the performance of Nodify Lung (Nodify XL2 and Nodify CDT) in a randomized controlled study (RCT). The study is titled “A Multicenter, Randomized Controlled Trial, Prospectively Evaluating the Clinical Utility of the Nodify XL2 Proteomic Test in Incidentally Discovered Low to Moderate Risk Lung Nodules”. We received central investigational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Nodify XL2. The study launched in December of 2020. Phase 1 of the study with only Nodify XL2 is expected to enroll 500 patients. Phase 2 of the adaptive study design will include an open-label arm for Nodify CDT, which is aligned with our commercial testing algorithm.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INSIGHT Observational Study (NCT03289780)</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INSIGHT observational study is designed to evaluate the real-world clinical utility and performance of the IQLung (GeneStrat ddPCR, GeneStrat NGS and VeriStrat) testing strategy. The title is “Observational Study Assessing the Clinical Effectiveness of VeriStrat and Validating Immunotherapy Tests in Subjects with Non-Small Cell Lung Cancer (INSIGHT)” and the first patient enrolled was on May 11, 2016. To date, we have over 3,500 patients enrolled with a target 5,000 enrollment goal. Final analysis with 3-year follow-up is estimated to be completed by 2024. Results of an interim analysis were presented at ASCO 2020. The study rationale is to guide the adoption of VeriStrat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BEACON-Lung Clinical Study (Trial in Progress)</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partnership with ALCMI (Addario Lung Cancer Medical Institute), the BEACON-Lung clinical study is intended to evaluate the performance and utility of our proteomic product currently in development, PIR, in advanced stage NSCLC patients who express high PD-L1. The study title is “A Biomarker Analysis in High PD-L1 Expressing NSCLC Patients Treated with An Immune Checkpoint Inhibitor (ICI) With or Without Platinum-Based Chemotherapy.” The study design is an observational, multicenter, open-label study to assess biomarkers (serum, microbiome, radiomics and tissue) as predictive of early progression in 390 treatment-naive patients with advanced stage NSCLC and PD-L1 greater than or equal to 50% treated with two standard of care regimens, triplet therapy (platinum-based chemotherapy plus ICI regimen) and ICI monotherapy (single agent ICI). The objectives are to collect biospecimens and evaluate candidate biomarkers, with a focus on PIR, to detect early progression on ICI monotherapy versus triplet therapy.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DROPLET</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Droplet is an exploratory observational study to assess the utility a novel gene linkage phenomenon as measured by the Bio-Rad SARS-CoV-2 ddPCR test, on the correlative immune response in individuals previously infected with the COVID-19 virus. The primary objective of this study (titled “ddPCR Linkage, Viral Load and Immune Response in Individuals Infected with COVID-19”) is to evaluate the correlation between linkage, viral load and the immune responses in individuals who have had a natural infection with SARS-CoV-2. Fifty patients will be enrolled and serially tested for viral load and immune responses for up to 12 months. More recently, the focus of the study has shifted to monitoring vaccine antibody durability and T cell responses.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and oncology,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 wide pathways and protocols.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jc w:val="both"/>
        <w:spacing w:after="0" w:line="241" w:lineRule="auto"/>
        <w:rPr>
          <w:sz w:val="20"/>
          <w:szCs w:val="20"/>
          <w:color w:val="auto"/>
        </w:rPr>
      </w:pPr>
      <w:r>
        <w:rPr>
          <w:rFonts w:ascii="Arial" w:cs="Arial" w:eastAsia="Arial" w:hAnsi="Arial"/>
          <w:sz w:val="18"/>
          <w:szCs w:val="18"/>
          <w:color w:val="auto"/>
        </w:rPr>
        <w:t>For our Biodesix WorkSafe testing program, we have a dedicated outreach team that works with the State of Colorado healthcare providers and hospitals, and employers looking to safely return to work across many industries, including food services, oil and gas, biotechnology and pharmaceuticals, sports teams, universities, and many small businesses. We recognize everyone’s COVID-19 situation is unique, which is why we provide end-to-end customized solutions to support testing for our different customers, such as risk assessment tools, physician ordering services, on-site testing, phlebotomy services, shipping logistics, and ongoing client support.</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business development team is focused on selling our complete offering of tests and services to biopharmaceutical companies in the United States and internationally. We currently hold a medical device establishment license in accordance with the Health Canada Medical Devices Regulations of the Food and Drugs Act and successfully passed an international Health Canada inspection in October 2021.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the section 1862(a)(1)(A) of the Social Security Act (SSA). For single-source laboratory tests, this determination is typically made by the Medicare Administrative Contractor (MAC) with jurisdiction over the laboratory where the test is performed. Our Boulder, Colorado laboratory is currently under the jurisdiction of Novitas Solutions, Inc. Our De Soto, Kansas laboratory is under the jurisdiction of Wisconsin Physicians Service Insurance Corporation, which participates in the MolDX program (administered by another MAC, Palmetto GBA) to set coverage policy for molecular diagnostic tests.</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our COVID-19 testing program, the primary source of reimbursement is through contracts with hospitals, companies providing wellness testing for their employees, or direct pay from patients.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Under the Families First Coronavirus Response Act (FFCRA) and Coronavirus Aid, Relief, and Economic Security Act (CARES), Congress has imposed a broad requirement that Medicare fee-for-service, Medicare Advantage, Medicaid, and commercial payers generally cover clinical diagnostic laboratory tests administered during the Public Health Emergency for the detection of SARS-CoV-2 or the diagnosis of the virus that causes COVID-19. Where applicable, the FFCRA and CARES require payers to cover COVID-19 tests without cost sharing or medical management techniques like prior authorization. Medicare fee-for-service does not require cost sharing or prior authorization for any clinical diagnostic laboratory tests.</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Department of Health &amp; Human Services (HHS) has indicated in guidance that the coverage requirements of the FFCRA and CARES can apply both to infection and serological testing, but that they are only applicable to testing that is “diagnostic,” which “may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jc w:val="both"/>
        <w:spacing w:after="0" w:line="255" w:lineRule="auto"/>
        <w:rPr>
          <w:sz w:val="20"/>
          <w:szCs w:val="20"/>
          <w:color w:val="auto"/>
        </w:rPr>
      </w:pPr>
      <w:r>
        <w:rPr>
          <w:rFonts w:ascii="Arial" w:cs="Arial" w:eastAsia="Arial" w:hAnsi="Arial"/>
          <w:sz w:val="17"/>
          <w:szCs w:val="17"/>
          <w:color w:val="auto"/>
        </w:rPr>
        <w:t>include testing of individuals with signs or symptoms compatible with COVID-19, as well as asymptomatic individuals with known or suspected recent exposure to SARS-CoV-2.” Testing that is “not primarily intended for individualized diagnosis or treatment of COVID-19 or another health condition,” including “testing conducted to screen for general workplace health and safety,” is beyond the scope of the statutory coverage requirements. We believe these coverage requirements apply to the Bio-Rad SARS-CoV-2 ddPCR test and the Platelia SARS-CoV-2 Total Ab test when performed for diagnostic purposes. In some cases, we submit claims to insurance payers for the Bio-Rad SARS-CoV-2 ddPCR test and/or the Platelia SARS-CoV-2 Total Ab test. In these cases, insurance payers may have a different position on the scope of mandatory coverage of our tests under the FFCRA and CARES. More commonly, we enter into arrangements with clients under which the client pays us directly for testing.</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Compliance with applicable laws and regulations, as well as internal compliance policies and procedures adds complexity to the billing process. The Centers for Medicare &amp; Medicaid Services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analyte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1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Diagnosis—Nodule Management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Prognosis, Treatment Guidance and Monitoring—NSCLC</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on or following treatment for recurrence or progression of lung cancer.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Testing</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that our competitors include university and state laboratories, national reference laboratories such as Lab Corporation and Quest Diagnostics, in-hospital laboratories, and a number of other diagnostic providers. We are aware that a number of other companies have announced development efforts to develop COVID-19 tests.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Biopharmaceutical Diagnostic Discovery, Development &amp; Testing Services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Laboratory Operations</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perform the VeriStrat, GeneStrat ddPCR, GeneStrat NGS, and COVID-19 ddPCR tests in our Boulder, Colorado high-complexity CLIA certified clinical laboratory. The laboratory is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are performed in the Boulder, Colorado facility. The proprietary testing methods use semi-automated workflows that facilitate the successful delivery of greater than 90% of our tests within 3 days, and we believe our existing workflows will continue to successfully deliver our tests within this timeframe.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6"/>
          <w:szCs w:val="16"/>
          <w:color w:val="auto"/>
        </w:rPr>
        <w:t>The Nodify XL2, Nodify CDT, COVID cPASS and COVID-19 total antibody tests are performed in our De Soto, Kansas high-complexity CLIA certified clinical laboratory. This clinical laboratory is also CAP-accredited, NYSDOH—permitted and licensed, ISO 13485:2016 Quality Management Systems— Requirements for Regulatory Purposes for Medical Devices certified and licensed by California, Maryland, Pennsylvania, and Rhode Island. Receipt of requisitions and testing is performed in our De Soto, Kansas clinical laboratory. Delivery of the test results is performed by personnel from our Boulder, Colorado headquarters. The proprietary testing methods use semi-automated workflows that facilitate the successful delivery of greater than 90% of our tests within 5 days, and we believe our existing workflows will continue to successfully deliver our tests within this timeframe.</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Personnel in both facilities are responsible for quality assurance oversight, licensing, and regulation compliance and maintenance to ensure data integrity and consistent, validated processes.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as described below, is the sole source supplier for our GeneStrat test and COVID-19 and antibody testing program. Oncimmune is also the sole source supplier for our Nodify CDT tests but there are known secondary suppliers for these materials. We have initiated the second source qualification process for the majority of these critical components.</w:t>
      </w: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purchase supplies through purchase orders without long-term supply agreements with, or guaranteed commitments from, many of our suppliers, including single source suppliers. Additionally, at present, we rely on contract manufacturers for the production of our diagnostic tests. We depend on our suppliers and contract manufacturers to provide us and our customers with materials in a timely manner that meet our and their quality, quantity and cost requirements.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and SARS-CoV-2 tests until alternatives could be validated.</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we have initiated the second source qualification process for the majority of these critical components, we may not be successful in securing second sourcing for all of them at all or on a timely basis. A disruption to this supply would negatively impact our ability to perform these tests until an alternative supplier could be validated.</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materials for our VeriStrat test and Nodify XL2 tests have alternative suppliers readily available, and a disruption in any single supplier would not materially impact our ability to deliver the test.</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COVID-19 pandemic has allowed us to pressure-test our supply chain and logistics processes as we purchased additional manufacturing capacity above our normal run rates to ensure that supply to execute on tests for the foreseeable future was available in-stock and in-house. Our suppliers have been able to allocate sufficient capacity to meet this increased demand with reasonable lead times and therefore we believe sufficient capacity exists for the expected volumes of all tests for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6"/>
          <w:szCs w:val="16"/>
          <w:color w:val="auto"/>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For more information regarding this license and supply agreement, please see “—Material Agreements—Agreements with Bio-Rad.” Bio-Rad owns patents relating to ddPCR and to which we have a non-exclusive license to utilize for the performance of ddPCR in cancer detection testing for third parties as set forth in the Bio- Rad License Agreement. In addition, we have separately been granted permission by Bio-Rad to use the Bio-Rad SARS-CoV-2 ddPCR test and Platelia SARS-CoV-2 Total Ab test for commercial diagnostic services. For more information regarding the permission granted to us by Bio-Rad with respect to such tests, please see “Business—Material Agreements—Agreements with Bio-Rad.” We are unaware of patents owned by Bio-Rad relating to its COVID- 19 antibody test but acknowledge that Bio-Rad has know-how and trade secrets relating to this test.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technologies and our approaches to using MALDI-ToF technology (DeepMALDI® techniques). Additionally, our first device patent was issued in 2019 for our internally designed blood collection device.</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of December 31, 2021, our patent portfolio includes approximately 50 issued United States patents, 59 issued foreign patents, which includes 5 European patents that were nationalized in multiple European countries, and 41 pending applications (including 21 foreign patent applications). With regard to our product development efforts, new applications have been filed around developments relating to ARDS and COVID diagnostics, new analytic methodologies using Shapley values and semi-quantitative spectra analysis in MALDI, and national stage applications are now in active prosecution to protect our pipeline ROR and PIR tests.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 can be broken down into 5 major categories:</w:t>
      </w:r>
    </w:p>
    <w:p>
      <w:pPr>
        <w:spacing w:after="0" w:line="104"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the VeriStrat and Nodify tests and uses of these tests;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methods for developing classifiers, including using the Diagnostic Cortex and DeepMALDI technologies;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currently in development;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our novel blood collection device;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Issued patents and patent applications relating to tests developed for our third-party partners.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patents relating to the VeriStrat test are scheduled to expire between 2026 and 2032. The patents relating to the Nodify XL2 test are scheduled to expire beginning in 2031 (excluding any patent term extension granted by the United States Patent and Trademark Office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currently have one pending Patent Cooperation Treaty (PCT) application.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jc w:val="both"/>
        <w:spacing w:after="0" w:line="284" w:lineRule="auto"/>
        <w:rPr>
          <w:sz w:val="20"/>
          <w:szCs w:val="20"/>
          <w:color w:val="auto"/>
        </w:rPr>
      </w:pPr>
      <w:r>
        <w:rPr>
          <w:rFonts w:ascii="Arial" w:cs="Arial" w:eastAsia="Arial" w:hAnsi="Arial"/>
          <w:sz w:val="16"/>
          <w:szCs w:val="16"/>
          <w:color w:val="auto"/>
        </w:rPr>
        <w:t>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tradename (Biodesix), the names of five of our commercial tests (namely the VeriStrat, GeneStrat ddPCR, GeneStrat NGS, Nodify XL2 and Nodify CDT tests), and a suite of research tests (ImmunoStrat), as well as having trademark protection for our core development and methodological platforms, such as our Diagnostic Cortex and DeepMALDI technologies. In all, as of December 31, 2021, we have 22 uniquely registered United States trademarks, 11 of which (including Biodesix, VeriStrat, and GeneStrat) have received foreign issuances as well, with 3 additional trademarks pending approving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also rely on trade secrets, including know 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78"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Clinical laboratory tests like our diagnostic tests are regulated under CLIA and State law. The FDA regulates medical devices pursuant to the FDCA, including many diagnostic test kits, such as in vitro diagnostic tests (IVDs). However, most Laboratory Developed Tests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 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72" w:lineRule="exact"/>
        <w:rPr>
          <w:sz w:val="20"/>
          <w:szCs w:val="20"/>
          <w:color w:val="auto"/>
        </w:rPr>
      </w:pPr>
    </w:p>
    <w:p>
      <w:pPr>
        <w:ind w:left="900" w:right="2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July 9, 2012, Congress passed legislation in the Food and Drug Administration Safety and Innovation Act of 2012 (FDASIA) requiring the agency to notify the Committee on Health, Education, Labor, and Pensions and the House Committee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ind w:left="383"/>
        <w:spacing w:after="0" w:line="261" w:lineRule="auto"/>
        <w:rPr>
          <w:sz w:val="20"/>
          <w:szCs w:val="20"/>
          <w:color w:val="auto"/>
        </w:rPr>
      </w:pPr>
      <w:r>
        <w:rPr>
          <w:rFonts w:ascii="Arial" w:cs="Arial" w:eastAsia="Arial" w:hAnsi="Arial"/>
          <w:sz w:val="18"/>
          <w:szCs w:val="18"/>
          <w:color w:val="auto"/>
        </w:rPr>
        <w:t>on Energy and Commerce of its intent to regulate LDTs. This law, though enacted, had a 5-year sunset provision, meaning that FDA is no longer subject to this notification requirement.</w:t>
      </w:r>
    </w:p>
    <w:p>
      <w:pPr>
        <w:spacing w:after="0" w:line="63" w:lineRule="exact"/>
        <w:rPr>
          <w:sz w:val="20"/>
          <w:szCs w:val="20"/>
          <w:color w:val="auto"/>
        </w:rPr>
      </w:pPr>
    </w:p>
    <w:p>
      <w:pPr>
        <w:jc w:val="both"/>
        <w:ind w:left="383" w:hanging="383"/>
        <w:spacing w:after="0"/>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In October 2014, the FDA issued two draft guidance documents: </w:t>
      </w:r>
      <w:r>
        <w:rPr>
          <w:rFonts w:ascii="Arial" w:cs="Arial" w:eastAsia="Arial" w:hAnsi="Arial"/>
          <w:sz w:val="18"/>
          <w:szCs w:val="18"/>
          <w:i w:val="1"/>
          <w:iCs w:val="1"/>
          <w:color w:val="auto"/>
        </w:rPr>
        <w:t>Framework for Regulatory Oversight of Laboratory Developed Tests</w:t>
      </w:r>
      <w:r>
        <w:rPr>
          <w:rFonts w:ascii="Arial" w:cs="Arial" w:eastAsia="Arial" w:hAnsi="Arial"/>
          <w:sz w:val="18"/>
          <w:szCs w:val="18"/>
          <w:color w:val="auto"/>
        </w:rPr>
        <w:t xml:space="preserve">, which provided an overview of how the FDA would regulate LDTs through a risk-based approach, and </w:t>
      </w:r>
      <w:r>
        <w:rPr>
          <w:rFonts w:ascii="Arial" w:cs="Arial" w:eastAsia="Arial" w:hAnsi="Arial"/>
          <w:sz w:val="18"/>
          <w:szCs w:val="18"/>
          <w:i w:val="1"/>
          <w:iCs w:val="1"/>
          <w:color w:val="auto"/>
        </w:rPr>
        <w:t>FDA Notification and Medical Device</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for Laboratory Developed Tests</w:t>
      </w:r>
      <w:r>
        <w:rPr>
          <w:rFonts w:ascii="Arial" w:cs="Arial" w:eastAsia="Arial" w:hAnsi="Arial"/>
          <w:sz w:val="18"/>
          <w:szCs w:val="18"/>
          <w:color w:val="auto"/>
        </w:rPr>
        <w:t>, which provided guidance on how the FDA intended to collect information on existing LDTs,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adverse event reports. In the Framework for Regulatory Oversight draft guidance, the FDA asserted that LDT manufacturers would be subject to medical device premarket submission, registration, listing, and adverse event reporting requirements phased in over several years based on which tests posed the highest risk to public health.</w:t>
      </w:r>
    </w:p>
    <w:p>
      <w:pPr>
        <w:spacing w:after="0" w:line="81" w:lineRule="exact"/>
        <w:rPr>
          <w:rFonts w:ascii="Arial" w:cs="Arial" w:eastAsia="Arial" w:hAnsi="Arial"/>
          <w:sz w:val="18"/>
          <w:szCs w:val="18"/>
          <w:color w:val="auto"/>
        </w:rPr>
      </w:pPr>
    </w:p>
    <w:p>
      <w:pPr>
        <w:ind w:left="383" w:hanging="383"/>
        <w:spacing w:after="0" w:line="261"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18, 2016, however, the FDA announced that it would not release the final guidance and would instead continue to work with stakeholders, the new administration, and Congress to determine the right approach.</w:t>
      </w:r>
    </w:p>
    <w:p>
      <w:pPr>
        <w:spacing w:after="0" w:line="62" w:lineRule="exact"/>
        <w:rPr>
          <w:rFonts w:ascii="Arial" w:cs="Arial" w:eastAsia="Arial" w:hAnsi="Arial"/>
          <w:sz w:val="18"/>
          <w:szCs w:val="18"/>
          <w:color w:val="auto"/>
        </w:rPr>
      </w:pPr>
    </w:p>
    <w:p>
      <w:pPr>
        <w:jc w:val="both"/>
        <w:ind w:left="383" w:hanging="383"/>
        <w:spacing w:after="0" w:line="243"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January 13, 2017, the FDA released a discussion paper on possible approaches to regulate LDTs in which it described a policy wherein previously marketed LDTs would not be expected to comply with most or all FDA oversight requirements, except for adverse event and malfunction reporting. In addition, certain new and significantly modified LDTs would not be expected to comply with pre-market review unless the agency determines certain tests could lead to patient harm.</w:t>
      </w:r>
    </w:p>
    <w:p>
      <w:pPr>
        <w:spacing w:after="0" w:line="79" w:lineRule="exact"/>
        <w:rPr>
          <w:rFonts w:ascii="Arial" w:cs="Arial" w:eastAsia="Arial" w:hAnsi="Arial"/>
          <w:sz w:val="18"/>
          <w:szCs w:val="18"/>
          <w:color w:val="auto"/>
        </w:rPr>
      </w:pPr>
    </w:p>
    <w:p>
      <w:pPr>
        <w:ind w:left="383" w:hanging="383"/>
        <w:spacing w:after="0" w:line="291" w:lineRule="auto"/>
        <w:tabs>
          <w:tab w:leader="none" w:pos="38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March 2017, the draft Diagnostic Accuracy and Innovation Act (DAIA) was introduced and outlined a risk-based regulatory approach for in vitro clinical tests (IVCT), i.e., all IVDs regardless of whether they are commercially distributed diagnostic kits or LDTs.</w:t>
      </w:r>
    </w:p>
    <w:p>
      <w:pPr>
        <w:spacing w:after="0" w:line="38" w:lineRule="exact"/>
        <w:rPr>
          <w:rFonts w:ascii="Arial" w:cs="Arial" w:eastAsia="Arial" w:hAnsi="Arial"/>
          <w:sz w:val="17"/>
          <w:szCs w:val="17"/>
          <w:color w:val="auto"/>
        </w:rPr>
      </w:pPr>
    </w:p>
    <w:p>
      <w:pPr>
        <w:ind w:left="383" w:hanging="383"/>
        <w:spacing w:after="0" w:line="261"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April 2017, the FDA issued a document describing 20 case studies of LDTs that raised concerns about the safety and efficacy of this category of tests.</w:t>
      </w:r>
    </w:p>
    <w:p>
      <w:pPr>
        <w:spacing w:after="0" w:line="62" w:lineRule="exact"/>
        <w:rPr>
          <w:rFonts w:ascii="Arial" w:cs="Arial" w:eastAsia="Arial" w:hAnsi="Arial"/>
          <w:sz w:val="18"/>
          <w:szCs w:val="18"/>
          <w:color w:val="auto"/>
        </w:rPr>
      </w:pPr>
    </w:p>
    <w:p>
      <w:pPr>
        <w:jc w:val="both"/>
        <w:ind w:left="383" w:hanging="383"/>
        <w:spacing w:after="0" w:line="248"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August 2018, the FDA responded to the DAIA draft with its own proposal for IVCTs, including PMA, provisional approval, and precertification, in addition to authority to revoke approval, request raw data, and take corrective action against test developers to protect public health.</w:t>
      </w:r>
    </w:p>
    <w:p>
      <w:pPr>
        <w:spacing w:after="0" w:line="73" w:lineRule="exact"/>
        <w:rPr>
          <w:rFonts w:ascii="Arial" w:cs="Arial" w:eastAsia="Arial" w:hAnsi="Arial"/>
          <w:sz w:val="18"/>
          <w:szCs w:val="18"/>
          <w:color w:val="auto"/>
        </w:rPr>
      </w:pPr>
    </w:p>
    <w:p>
      <w:pPr>
        <w:jc w:val="both"/>
        <w:ind w:left="383" w:hanging="383"/>
        <w:spacing w:after="0" w:line="257" w:lineRule="auto"/>
        <w:tabs>
          <w:tab w:leader="none" w:pos="383"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October 31, 2018, the FDA issued its Safety Communication entitled “The FDA Warns Against the Use of Many Genetic Tests with Unapproved Claims to Predict Patient Response to Specific Medications” alleging that the agency was “aware” of healthcare providers making “inappropriate changes to a patient’s antidepressant medication based on the results from genetic tests.” Following this Safety Alert, the FDA contacted several laboratories that offered tests that made claims regarding drug responses for specific medications. While most laboratories addressed the FDA’s concerns by removing specific medication names from their labeling, the FDA issued an enforcement letter against a laboratory for making such claims without first undergoing the FDA premarket review.</w:t>
      </w:r>
    </w:p>
    <w:p>
      <w:pPr>
        <w:spacing w:after="0" w:line="67" w:lineRule="exact"/>
        <w:rPr>
          <w:rFonts w:ascii="Arial" w:cs="Arial" w:eastAsia="Arial" w:hAnsi="Arial"/>
          <w:sz w:val="17"/>
          <w:szCs w:val="17"/>
          <w:color w:val="auto"/>
        </w:rPr>
      </w:pPr>
    </w:p>
    <w:p>
      <w:pPr>
        <w:jc w:val="both"/>
        <w:ind w:left="383" w:hanging="383"/>
        <w:spacing w:after="0" w:line="243"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December 2018, a new draft bill which revised the DAIA and incorporated feedback from the FDA was released. The Verifying Accurate, Leading-edge, IVCT Development (VALID) Act creates a risk-based regulatory framework for IVCT regulation. Under the VALID Act framework, premarket review would be required for certain higher risk tests, while lower risk tests would be subject to a precertification pathway.</w:t>
      </w:r>
    </w:p>
    <w:p>
      <w:pPr>
        <w:spacing w:after="0" w:line="79" w:lineRule="exact"/>
        <w:rPr>
          <w:rFonts w:ascii="Arial" w:cs="Arial" w:eastAsia="Arial" w:hAnsi="Arial"/>
          <w:sz w:val="18"/>
          <w:szCs w:val="18"/>
          <w:color w:val="auto"/>
        </w:rPr>
      </w:pPr>
    </w:p>
    <w:p>
      <w:pPr>
        <w:jc w:val="both"/>
        <w:ind w:left="383" w:hanging="383"/>
        <w:spacing w:after="0" w:line="262" w:lineRule="auto"/>
        <w:tabs>
          <w:tab w:leader="none" w:pos="383"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April 4, 2019, the FDA issued a warning letter to Inova Genomics Laboratory for its pharmacogenomics tests, i.e., tests that predict medication response, among other things. In this letter, the FDA rebutted Inova’s argument that it believed it was operating within the scope of FDA’s LDT exemption and not subject to the FDA’s premarket review or labeling requirements by noting that the FDA has not created a legal “carve-out” or exemption for LDTs and that it ultimately retains discretion to take action when appropriate.</w:t>
      </w:r>
    </w:p>
    <w:p>
      <w:pPr>
        <w:spacing w:after="0" w:line="64" w:lineRule="exact"/>
        <w:rPr>
          <w:rFonts w:ascii="Arial" w:cs="Arial" w:eastAsia="Arial" w:hAnsi="Arial"/>
          <w:sz w:val="17"/>
          <w:szCs w:val="17"/>
          <w:color w:val="auto"/>
        </w:rPr>
      </w:pPr>
    </w:p>
    <w:p>
      <w:pPr>
        <w:ind w:left="383" w:hanging="383"/>
        <w:spacing w:after="0" w:line="261"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March 5, 2020, identical versions of the VALID Act were introduced in both chambers of Congress. The same day, the House bill was referred to the House Committee on Energy and Commerce.</w:t>
      </w:r>
    </w:p>
    <w:p>
      <w:pPr>
        <w:spacing w:after="0" w:line="62" w:lineRule="exact"/>
        <w:rPr>
          <w:rFonts w:ascii="Arial" w:cs="Arial" w:eastAsia="Arial" w:hAnsi="Arial"/>
          <w:sz w:val="18"/>
          <w:szCs w:val="18"/>
          <w:color w:val="auto"/>
        </w:rPr>
      </w:pPr>
    </w:p>
    <w:p>
      <w:pPr>
        <w:ind w:left="383" w:hanging="383"/>
        <w:spacing w:after="0" w:line="261"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19, 2020, HHS announced a new policy determining that FDA must engage in notice-and-comment rulemaking before requiring premarket review of LDTs.</w:t>
      </w:r>
    </w:p>
    <w:p>
      <w:pPr>
        <w:spacing w:after="0" w:line="62" w:lineRule="exact"/>
        <w:rPr>
          <w:rFonts w:ascii="Arial" w:cs="Arial" w:eastAsia="Arial" w:hAnsi="Arial"/>
          <w:sz w:val="18"/>
          <w:szCs w:val="18"/>
          <w:color w:val="auto"/>
        </w:rPr>
      </w:pPr>
    </w:p>
    <w:p>
      <w:pPr>
        <w:jc w:val="both"/>
        <w:ind w:left="383" w:hanging="383"/>
        <w:spacing w:after="0" w:line="248"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16, 2020, HHS directed FDA to review voluntarily submitted EUAs for LDTs; if FDA’s review time exceeds 14 days, the submission would be referred to the National Institute of Health National Cancer Institute and also to other scientific government agencies, or to outside technical contractors if FDA remains unable to conduct the reviews.</w:t>
      </w:r>
    </w:p>
    <w:p>
      <w:pPr>
        <w:spacing w:after="0" w:line="73" w:lineRule="exact"/>
        <w:rPr>
          <w:rFonts w:ascii="Arial" w:cs="Arial" w:eastAsia="Arial" w:hAnsi="Arial"/>
          <w:sz w:val="18"/>
          <w:szCs w:val="18"/>
          <w:color w:val="auto"/>
        </w:rPr>
      </w:pPr>
    </w:p>
    <w:p>
      <w:pPr>
        <w:ind w:left="383" w:hanging="383"/>
        <w:spacing w:after="0"/>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June 24, 2021, an updated version of the VALID Act was reintroduced in both chambers of Congress.</w:t>
      </w:r>
    </w:p>
    <w:p>
      <w:pPr>
        <w:spacing w:after="0" w:line="103" w:lineRule="exact"/>
        <w:rPr>
          <w:rFonts w:ascii="Arial" w:cs="Arial" w:eastAsia="Arial" w:hAnsi="Arial"/>
          <w:sz w:val="18"/>
          <w:szCs w:val="18"/>
          <w:color w:val="auto"/>
        </w:rPr>
      </w:pPr>
    </w:p>
    <w:p>
      <w:pPr>
        <w:jc w:val="both"/>
        <w:ind w:left="383" w:hanging="383"/>
        <w:spacing w:after="0" w:line="243" w:lineRule="auto"/>
        <w:tabs>
          <w:tab w:leader="none" w:pos="3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November 15, 2021, HHS formally rescinded its August 19, 2020 policy statement regarding FDA’s ability to require premarket review of LDTs absent notice-and-comment rulemaking. That same day, FDA revised its policy with respect to COVID-19 diagnostic tests, announcing that developers of LDTs for SARS-CoV-2 were expected to either submit an EUA request or cease marketing and offering their tests within 60 calendar days.</w:t>
      </w:r>
    </w:p>
    <w:p>
      <w:pPr>
        <w:spacing w:after="0" w:line="188"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6" w:right="339" w:bottom="1440" w:gutter="0" w:footer="0" w:header="0"/>
        </w:sectPr>
      </w:pPr>
    </w:p>
    <w:bookmarkStart w:id="28" w:name="page29"/>
    <w:bookmarkEnd w:id="28"/>
    <w:p>
      <w:pPr>
        <w:jc w:val="both"/>
        <w:spacing w:after="0"/>
        <w:rPr>
          <w:sz w:val="20"/>
          <w:szCs w:val="20"/>
          <w:color w:val="auto"/>
        </w:rPr>
      </w:pPr>
      <w:r>
        <w:rPr>
          <w:rFonts w:ascii="Arial" w:cs="Arial" w:eastAsia="Arial" w:hAnsi="Arial"/>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 date, the FDA has not engaged in notice-and-comment rulemaking or released broad-sweeping guidance over LDTs, but it could choose to do so in the future and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Emergency Use Authorization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Section 564 of the FDCA allows the FDA to authorize the shipment of drugs, biological products, or medical devices that either lack required approval, licensure, or clearance (unapproved products), or are approved but are to be used for unapproved ways to diagnose, treat, or prevent serious diseases or conditions in the event of an emergency declaration by the HHS Secretary. 21 U.S.C. § 360bbb-3(a)(1)-(2).</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2020, HHS Secretary Alex M. Azar II declared a public health emergency for COVID-19, under 21 U.S.C. § 360bbb-3(b)(1), justifying the authorization of emergency use of IVDs for detection and/or diagnosis of COVID-19. This determination was published in the Federal Register on February 7, 2020. 85 Fed. Reg. 7316 (Feb. 7, 2020). The public health emergency has been extended several times and remains in effect.</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While this emergency declaration is effective, the FDA may authorize the use of an unapproved product or an unapproved use of an approved product if it concludes that:</w:t>
      </w:r>
    </w:p>
    <w:p>
      <w:pPr>
        <w:spacing w:after="0" w:line="63"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agent referred to in the emergency declaration could cause a serious or life-threatening disease or condition;</w:t>
      </w:r>
    </w:p>
    <w:p>
      <w:pPr>
        <w:spacing w:after="0" w:line="103"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it is reasonable to believe that the authorized product may be effective in diagnosing, treating, or preventing that disease or condition or a serious or life-threatening disease or condition caused by an approved product or a product marketed under an EUA;</w:t>
      </w:r>
    </w:p>
    <w:p>
      <w:pPr>
        <w:spacing w:after="0" w:line="38" w:lineRule="exact"/>
        <w:rPr>
          <w:rFonts w:ascii="Arial" w:cs="Arial" w:eastAsia="Arial" w:hAnsi="Arial"/>
          <w:sz w:val="17"/>
          <w:szCs w:val="17"/>
          <w:color w:val="auto"/>
        </w:rPr>
      </w:pPr>
    </w:p>
    <w:p>
      <w:pPr>
        <w:ind w:left="900" w:hanging="383"/>
        <w:spacing w:after="0" w:line="261"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known and potential benefits of the authorized product, when used for that disease or condition, outweigh known and potential risks, taking into consideration the material threat of agents identified in the emergency declaration;</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is no adequate, approved, and available alternative to the authorized product for diagnosing, preventing, or treating the relevant disease or condition;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other criteria prescribed by the FDA is satisfied. </w:t>
      </w:r>
      <w:r>
        <w:rPr>
          <w:rFonts w:ascii="Arial" w:cs="Arial" w:eastAsia="Arial" w:hAnsi="Arial"/>
          <w:sz w:val="18"/>
          <w:szCs w:val="18"/>
          <w:i w:val="1"/>
          <w:iCs w:val="1"/>
          <w:color w:val="auto"/>
        </w:rPr>
        <w:t>Id.</w:t>
      </w:r>
      <w:r>
        <w:rPr>
          <w:rFonts w:ascii="Arial" w:cs="Arial" w:eastAsia="Arial" w:hAnsi="Arial"/>
          <w:sz w:val="18"/>
          <w:szCs w:val="18"/>
          <w:color w:val="auto"/>
        </w:rPr>
        <w:t xml:space="preserve"> § 360bbb-3(c).</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Bio-Rad SARS-CoV-2 ddPCR test, the cPASS neutralization antibody test kit, and the Platelia SARS-CoV-2 Total Ab test have been granted FDA EUA pursuant to the current emergency declaration. We have completed all required performance verification studies to validate the use of the tests in our laboratories in accordance with the FDA Policy for Coronavirus Disease-2019 Tests During the Public Health Emergency, CAP and New York State Clinical Laboratory Standards of Practice (NYS CLEP) requirements. The FDA Policy for COVID-19 tests is a guidance document that explains the FDA’s current thinking on the topic, is subject to change, and does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jc w:val="both"/>
        <w:spacing w:after="0" w:line="239" w:lineRule="auto"/>
        <w:rPr>
          <w:sz w:val="20"/>
          <w:szCs w:val="20"/>
          <w:color w:val="auto"/>
        </w:rPr>
      </w:pPr>
      <w:r>
        <w:rPr>
          <w:rFonts w:ascii="Arial" w:cs="Arial" w:eastAsia="Arial" w:hAnsi="Arial"/>
          <w:sz w:val="18"/>
          <w:szCs w:val="18"/>
          <w:color w:val="auto"/>
        </w:rPr>
        <w:t>not establish any legally enforceable responsibilities. The FDA does not expect a separate notification or EUA request from high complexity CLIA laboratories that are performing testing for SARS-CoV-2 using only EUA-authorized test kits purchased from commercial manufacturers or their distributors. According to previous versions of the FDA's Policy for COVID-19 tests, a laboratory may make certain modifications to an EUA-authorized test if the modified test is validated using a bridging study without submitting an EUA amendment or formal notification. According to the current FDA Policy for COVID-19 tests (Nov. 15, 2021), a laboratory that modified an EUA authorized test pursuant to the previous policy for use of a new specimen through a bridging study when the new specimen type had been previously authorized for another test of the same technology may continue to offer the modified test without submitting an EUA amendment or formal notification.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Laboratory Licensing Requirements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Biodesix Boulder, Colorado clinical laboratory is a CAP-accredited clinical laboratory regulated by CMS pursuant to CLIA. CMS has granted CAP deeming authority under CLIA, which allows CAP to inspect laboratories in lieu of CMS. In addition to holding a CLIA Certificate and CAP laboratory accreditation, Biodesix’s Quality Management System (QMS) holds an ISO 13485:2016 certificate (recently passed recertification audit in December 2021). The Biodesix Boulder, Colorado clinical laboratory has received approval from the NYSDOH, NYS CLEP in Soluble Tumor Markers, and Molecular and Cellular Tumor Markers and Virology as well as holding state permits and licenses in California, Maryland, New York, Pennsylvania, and Rhode Island.</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is inspected biennially as part of its ongoing certification under CLIA certificate of accreditation by CAP. The Boulder, Colorado clinical laboratory most recently passed its CAP inspection in April 2021.</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most recently passed its first CAP inspection in June 2021. Biodesix’s QMS holds an ISO 13485:2016 certificate (recently passed surveillance audit in December 2021). The De Soto, Kansas clinical laboratory has received approval from the NYSDOH, NYS CLEP in Soluble Tumor Markers and Diagnostic Immunology as well as holding state permits and licenses in California, Maryland, New York, Pennsylvania, and Rhode Island.</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The FDA has proposed a rule to harmonize and modernize its QSR, which would supplant the existing requirements with ISO 13485:2016. Although this rule has been delayed several times since spring 2018, the Office of Management and Budget (OMB) updated its website (January 2022) to indicate that the FDA’s proposed rule to harmonize the agency’s medical device Quality System Regulation with the ISO 13485 standard has been finished and is now under review by OMB.</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5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our Boulder, Colorado clinical laboratory is located in the State of Colorado, we do not need a specific State of Colorado laboratory license, however, we maintain licenses to conduct testing in other states where nonresident laboratories are required to obtain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jc w:val="both"/>
        <w:spacing w:after="0" w:line="243" w:lineRule="auto"/>
        <w:rPr>
          <w:sz w:val="20"/>
          <w:szCs w:val="20"/>
          <w:color w:val="auto"/>
        </w:rPr>
      </w:pPr>
      <w:r>
        <w:rPr>
          <w:rFonts w:ascii="Arial" w:cs="Arial" w:eastAsia="Arial" w:hAnsi="Arial"/>
          <w:sz w:val="18"/>
          <w:szCs w:val="18"/>
          <w:color w:val="auto"/>
        </w:rPr>
        <w:t>state laboratory licenses. We maintain licenses for our Boulder,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56"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Boulder, Colorado and De Soto, Kansas laboratories are certified and adhere to the NYS CLEP, based on New York State Public Health Law, Article 5 Title 5. NYS CLEP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Both Biodesix laboratories passed NYS CLEP inspections in May 2019. Due to the pandemic, routine re-inspections have been delayed by NYS CLEP.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framework for medical devices in the United States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63"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Market access, sales and marketing of medical devices in non-U.S. countries are subject to foreign regulatory requirements that vary widely from country to country. For example, in the European Economic 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1" w:name="page32"/>
    <w:bookmarkEnd w:id="31"/>
    <w:p>
      <w:pPr>
        <w:jc w:val="both"/>
        <w:ind w:right="20"/>
        <w:spacing w:after="0" w:line="261" w:lineRule="auto"/>
        <w:rPr>
          <w:sz w:val="20"/>
          <w:szCs w:val="20"/>
          <w:color w:val="auto"/>
        </w:rPr>
      </w:pPr>
      <w:r>
        <w:rPr>
          <w:rFonts w:ascii="Arial" w:cs="Arial" w:eastAsia="Arial" w:hAnsi="Arial"/>
          <w:sz w:val="18"/>
          <w:szCs w:val="18"/>
          <w:color w:val="auto"/>
        </w:rPr>
        <w:t>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inter alia, of analyzed clinical data collected from a clinical investigation of the device, or the results of other studies on substantially equivalent devices. Reliance on “substantially equivalent” devices is very restrictive and requires, inter alia,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Device classification</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Class II devices are subject to the General Controls as well as any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Premarket submission process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PMA; or (3) de novo classification and authorization. These processes can be resource intensive, expensive, and lengthy, and require payment of significant user fees.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2" w:name="page33"/>
    <w:bookmarkEnd w:id="32"/>
    <w:p>
      <w:pPr>
        <w:jc w:val="both"/>
        <w:ind w:right="20"/>
        <w:spacing w:after="0" w:line="261" w:lineRule="auto"/>
        <w:rPr>
          <w:sz w:val="20"/>
          <w:szCs w:val="20"/>
          <w:color w:val="auto"/>
        </w:rPr>
      </w:pPr>
      <w:r>
        <w:rPr>
          <w:rFonts w:ascii="Arial" w:cs="Arial" w:eastAsia="Arial" w:hAnsi="Arial"/>
          <w:sz w:val="18"/>
          <w:szCs w:val="18"/>
          <w:color w:val="auto"/>
        </w:rPr>
        <w:t>device, or if the device is automatically classified into Class III, the device sponsor must then fulfill the much more rigorous, costly, and time-consuming PMA approval process or seek reclassification of the device through the de novo process.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w:t>
      </w:r>
    </w:p>
    <w:p>
      <w:pPr>
        <w:ind w:firstLine="8"/>
        <w:spacing w:after="0" w:line="243" w:lineRule="auto"/>
        <w:tabs>
          <w:tab w:leader="none" w:pos="2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 (4) changes in FDA approval policies or adoption of new regulations may require additional data.</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Alternatively, the FDA also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Companion Diagnostics and the Premarket Process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jc w:val="both"/>
        <w:spacing w:after="0" w:line="261" w:lineRule="auto"/>
        <w:rPr>
          <w:sz w:val="20"/>
          <w:szCs w:val="20"/>
          <w:color w:val="auto"/>
        </w:rPr>
      </w:pPr>
      <w:r>
        <w:rPr>
          <w:rFonts w:ascii="Arial" w:cs="Arial" w:eastAsia="Arial" w:hAnsi="Arial"/>
          <w:sz w:val="18"/>
          <w:szCs w:val="18"/>
          <w:color w:val="auto"/>
        </w:rPr>
        <w:t>complicate the review process. CDx’s are generally regulated as Class III medical devices by the FDA and are therefore most often subject to the PMA approval process.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Post-Market FDA Regulation</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Laws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subject to federal fraud and abuse laws such as the federal Anti-Kickback Statute (AKS), the federal prohibition against physician self- referral (Stark Law), the Eliminating Kickbacks in Recovery Act (EKRA), and the federal False Claims Act (FCA). We are also subject to similar state and foreign fraud and abuse laws.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FCA (31 USC § 3729) imposes civil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jc w:val="both"/>
        <w:spacing w:after="0" w:line="248" w:lineRule="auto"/>
        <w:rPr>
          <w:sz w:val="20"/>
          <w:szCs w:val="20"/>
          <w:color w:val="auto"/>
        </w:rPr>
      </w:pPr>
      <w:r>
        <w:rPr>
          <w:rFonts w:ascii="Arial" w:cs="Arial" w:eastAsia="Arial" w:hAnsi="Arial"/>
          <w:sz w:val="18"/>
          <w:szCs w:val="18"/>
          <w:color w:val="auto"/>
        </w:rPr>
        <w:t>to share in any monetary recovery. FCA liability is potentially significant in the healthcare industry because the statute provides for treble damages and mandatory penalties of $11,803 to $23,607 per false claim or statement for penalties assessed after December 13, 2021, with respect to violations occurring after November 2, 2015.</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Foreign Corrupt Practices Act of 1977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first FCPA compliance review in 2021 with no findings.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 Protection Laws</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Numerous federal and state laws and regulations, including HIPAA, as amended by the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and we also provide certain services to CEs and receive PHI from them, we are at times either a CE or a BA, as defined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8"/>
          <w:szCs w:val="18"/>
          <w:color w:val="auto"/>
        </w:rPr>
        <w:t>by HIPAA. Our subcontractors that create, receive, maintain, transmit or otherwise process PHI on our behalf are HIPAA BAs and must also comply with HIPAA, as applicable.</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7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became effective on January 1, 2020 and was amended by the passage of the California Privacy Rights Act (CPRA) in November of 2020.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will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are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jc w:val="both"/>
        <w:spacing w:after="0" w:line="238" w:lineRule="auto"/>
        <w:rPr>
          <w:sz w:val="20"/>
          <w:szCs w:val="20"/>
          <w:color w:val="auto"/>
        </w:rPr>
      </w:pPr>
      <w:r>
        <w:rPr>
          <w:rFonts w:ascii="Arial" w:cs="Arial" w:eastAsia="Arial" w:hAnsi="Arial"/>
          <w:sz w:val="18"/>
          <w:szCs w:val="18"/>
          <w:color w:val="auto"/>
        </w:rPr>
        <w:t>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or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Moreover, data security incidents or data breaches, as well as attacks on our IT systems, could result in operational disruptions or data loss or corruption that could adversely impact our business and operations, result in substantial investment of resources to investigate, recover and remediate and subject us to heightened regulatory scrutiny.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FCPA.</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Market access, sales and marketing of medical devices in non-U.S. countries are subject to foreign regulatory requirements that vary widely from country to country. For example, in the EEA, a medical device must meet MDDs/IVDD Essential Requirements or, applicable on May 26, 2021, the MDR applicable on May 26, 2022, IVDR General Safety and Performance Requirements which apply to it, taking into account its intended purpose as defined by the data supplied by the manufacturer on the label, in the instructions for use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7"/>
          <w:szCs w:val="17"/>
          <w:color w:val="auto"/>
        </w:rPr>
        <w:t>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Manufacturers of medical devices must document in a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Arial" w:cs="Arial" w:eastAsia="Arial" w:hAnsi="Arial"/>
          <w:sz w:val="16"/>
          <w:szCs w:val="16"/>
          <w:i w:val="1"/>
          <w:iCs w:val="1"/>
          <w:color w:val="auto"/>
        </w:rPr>
        <w:t>inter alia</w:t>
      </w:r>
      <w:r>
        <w:rPr>
          <w:rFonts w:ascii="Arial" w:cs="Arial" w:eastAsia="Arial" w:hAnsi="Arial"/>
          <w:sz w:val="16"/>
          <w:szCs w:val="16"/>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Similar requirements apply in the UK. For access to the UK market, manufacturers must obtain a UKCA Certificate and affix a UKCA mark to their medical devices. However, the CE mark will be accepted in the UK until July 1,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 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sequestration reductions through FY 2030 to offset the cost of such temporary suspension. The Consolidated Appropriations Act, 2021 further extended the temporary suspension through March 31, 2021. On April 14, 2021, Congress enacted legislation that further extended the suspension through December 31, 2021. On December 10, 2021, further legislation was enacted to extend the suspension through March 31, 2022.</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 The recent change in presidential administration could materially impact our business in ways that are difficult to predict.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6"/>
          <w:szCs w:val="16"/>
          <w:color w:val="auto"/>
        </w:rPr>
        <w:t>In December 2020, in its enactment of the Consolidated Appropriations Act, Congress enacted the No Surprises Act. This law, which took effect January 1, 2022, bars an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with the first set of regulations was issued as an Interim Final Rule on July 1, 2021, and the second set issued as an Interim Final Rule on September 30, 2021.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hazardous materials and wastes and worker health and safety. Our operations involve the generation, use, storage and disposal of hazardous materials, and the risk of injury, contamination or non-compliance with environmental, health and safety laws and regulations or permitting or licensing requirements cannot be eliminated. In particular, the introduction of our Bio-Rad SARS-CoV-2 ddPCR and Platelia SARS-CoV-2 Total Ab tests requires that we maintain compliance with applicable and evolving federal and state laws and regulations relating to COVID-19, including the generation, use, storage, and disposal of testing materials and agents. Compliance with environmental laws and regulations has not had a material effect on our capital expenditures, earning or competitive position. Most recently, the Boulder, Colorado clinical laboratory passed an on-site inspection from the CDC in June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were incorporated in Delaware in 2005 as Elston Technologies, Inc. Our principal executive offices are located at 2970 Wilderness Place, Suite 100, Boulder, Colorado 80301, and our telephone number is (303) 417-0500. On June 20, 2006, we changed our name to Biodesix,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IPO.</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Additionally, we are a “smaller reporting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8"/>
          <w:szCs w:val="18"/>
          <w:color w:val="auto"/>
        </w:rPr>
        <w:t>as of the end of that year’s second fiscal quarter. To the extent we take advantage of such reduced disclosure obligations, it may also make comparison of our financial statements with other public companies difficult or impossible.</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certain risks related to our status as an emerging growth company, see “Risk Factors—Risks Related to our Common Stock—We are an “emerging growth company” and a “smaller reporting company,” and the reduced disclosure requirements applicable to emerging growth companies and smaller reporting companies may make our common stock less attractive to investors.”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strong compensation,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recruitment and our newly introduced Diversity, Equity and Inclusion Council that focus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we had approximately 218 full-time and part-time employees, all of which are located in the United States. Of our 218 full-time and part-time team members, the majority of our team member base is located in proximity to our corporate office and testing facilities located in Boulder, Colorado and our laboratory in De Soto, Kansas.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the year ended December 31,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 (4) Performance Excellence Awards that recognize creativity and innovation, an entrepreneurial spirit, a strategic impact on the success of the Company and lastly, embodying the Biodesix cultural beliefs and goes “above and beyond” daily.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through our professional employer organization (PEO) to enhance physical, financial, and mental well-being for all our team members. Since the onset of the COVID-19 pandemic, we have successfully transitioned a significant portion of our workforce to a remote working environment and implemented strict safety and social distancing measures in our sites to protect the health and safety of our team members. We also have provided extraordinary safety protocols and standards for all of “essential” team members who work in our Laboratories and our field sales organization including regularly scheduled serial testing for COVID-19. We also have an active “Friends and Family” COVID-19 testing program for our team members, their families and close friends.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Equity</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jc w:val="both"/>
        <w:spacing w:after="0" w:line="248" w:lineRule="auto"/>
        <w:rPr>
          <w:sz w:val="20"/>
          <w:szCs w:val="20"/>
          <w:color w:val="auto"/>
        </w:rPr>
      </w:pPr>
      <w:r>
        <w:rPr>
          <w:rFonts w:ascii="Arial" w:cs="Arial" w:eastAsia="Arial" w:hAnsi="Arial"/>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foregoing website addresses are provided as inactive textual references only. The information provided on our website (or any other website referred to in this report) is not part of this report and is not incorporated by reference as part of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74" w:lineRule="exact"/>
        <w:rPr>
          <w:sz w:val="20"/>
          <w:szCs w:val="20"/>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history of net losses, and we expect to continue to incur losses for the foreseeable future. If we achieve profitability, we may not be able to sustain it.</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commercial success of our current and future diagnostic tests and services depends upon attaining significant market acceptance among payers, providers, clinics, patients, and biopharmaceutical companies.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encounter difficulties in managing our growth, which could disrupt our operations.</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cannot maintain our current relationships, or enter into new relationships, with biopharmaceutical companies, our revenue prospects could be reduced.</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commercial success and revenue growth are highly dependent on the demand for, and increased adoption of, our diagnostic tests, including our COVID-19 testing program, which are subject to a number of risks and uncertainty.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need to ensure strong product performance and reliability to maintain and grow our business.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depend upon third-party suppliers, including contract manufacturers and single source suppliers, making us vulnerable to supply problems and price fluctuations.</w:t>
      </w:r>
    </w:p>
    <w:p>
      <w:pPr>
        <w:spacing w:after="0" w:line="62"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or man-made disasters, pandemics, outbreaks, or other similar events, including a sustained outbreak or second wave of the novel strain of coronavirus disease, COVID-19, could significantly disrupt our business, and negatively impact our business, financial condition and results of operations.</w:t>
      </w:r>
    </w:p>
    <w:p>
      <w:pPr>
        <w:spacing w:after="0" w:line="73" w:lineRule="exact"/>
        <w:rPr>
          <w:rFonts w:ascii="Arial" w:cs="Arial" w:eastAsia="Arial" w:hAnsi="Arial"/>
          <w:sz w:val="18"/>
          <w:szCs w:val="18"/>
          <w:color w:val="auto"/>
        </w:rPr>
      </w:pPr>
    </w:p>
    <w:p>
      <w:pPr>
        <w:ind w:left="900" w:hanging="383"/>
        <w:spacing w:after="0" w:line="324"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industry is highly competitive and subject to rapid change, which could make our diagnostic tests and services obsolete. If we are unable to continue to innovate and expand and enhance our diagnostic tests and service offerings, we could lose customers or market share.</w:t>
      </w:r>
    </w:p>
    <w:p>
      <w:pPr>
        <w:spacing w:after="0" w:line="16" w:lineRule="exact"/>
        <w:rPr>
          <w:rFonts w:ascii="Arial" w:cs="Arial" w:eastAsia="Arial" w:hAnsi="Arial"/>
          <w:sz w:val="16"/>
          <w:szCs w:val="16"/>
          <w:color w:val="auto"/>
        </w:rPr>
      </w:pPr>
    </w:p>
    <w:p>
      <w:pPr>
        <w:jc w:val="both"/>
        <w:ind w:left="900" w:hanging="383"/>
        <w:spacing w:after="0" w:line="24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73"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face additional costs, loss of revenue, significant liabilities, harm to our brand, decreased use of our products or services and business disruption if there are disruptions in our information technology systems, including any security or data privacy breaches or other unauthorized or improper access.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that could adversely affect our business, financial condition, and results of operations and cash flows. All of the risks described below should be carefully considered together with the other information contained and incorporated by reference in this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incurred losses since our inception and expect to continue to incur losses for the foreseeable future. We reported net losses of $43.2 million and $31.4 million the years ended December 31, 2021 and 2020, respectively. As a result of these losses, as of December 31, 2021, we had an accumulated deficit of approximately $302.0 million.</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particularly with respect to our COVID-19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continuing spread of COVID-19 and the impact to our business may continue to have a material and adverse effect on our ability to generate revenues, maintain compliance with our financial covenants and result in our inability to continue as a going concern. Any such impacts could have a material and adverse effect on the price of our common stock.</w:t>
      </w:r>
    </w:p>
    <w:p>
      <w:pPr>
        <w:spacing w:after="0" w:line="7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financial statements as of and for the period ended December 31, 2021 were prepared on the assumption that we would continue as a going concern. These financial statements did not include any adjustments that might result from the outcome of this uncertainty. As of December 31, 2021, we maintained cash and cash equivalents of $32.7 million and we have $10 million in principal balance remaining on our 2021 Term Loan. We have incurred significant losses since inception and, as a result, we have funded our operations to date primarily through the sale of common stock in our IPO in October 2020, the issuance of notes payable, and from our two primary revenue sources: (i) diagnostic testing, which include lung diagnostic testing and COVID-19 testing, and (ii) providing biopharmaceutical companies with development and testing services. Our ability to meet our obligations as they come due may be impacted by our ability to remain compliant with financial covenants in our 2021 Term Loan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 As a result of the items mentioned above, our management has determined that there is a substantial doubt about our ability to continue as a going concern over the next twelve months from the date these financial statements were issued. Although we have taken steps to improve our liquidity through the recent amendments to our 2021 Term Loan to modify certain financial covenants and have taken measures to reduce planned capital expenditures and operating expenses, these actions alone will not be sufficient to mitigate our liquidity concerns in the wake of the material impact to our revenues, operating results and cash flows from the continued spread of COVID-19. In addition, if we are not able to improve our operating results, we may need to limit our operations substantially. We will need to raise additional capital in the form of equity or debt to increase our liquidity but there is no assurance that we will be able to secure any such funding in a sufficient amount or on terms that are acceptable to us.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degree of market acceptance of our current and future diagnostic tests and services depends on a number of factors, including:</w:t>
      </w:r>
    </w:p>
    <w:p>
      <w:pPr>
        <w:spacing w:after="0" w:line="104" w:lineRule="exact"/>
        <w:rPr>
          <w:sz w:val="20"/>
          <w:szCs w:val="20"/>
          <w:color w:val="auto"/>
        </w:rPr>
      </w:pPr>
    </w:p>
    <w:p>
      <w:pPr>
        <w:ind w:left="90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use of our diagnostic tests relative to those currently on the market;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ability to provide incremental data that show the clinical benefits and cost effectiveness, and operational benefits, of our diagnostic tests;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coverage and reimbursement acceptance of our products and services;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our diagnostic tests based on the collective bargaining power of the GPO members;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publicity regarding our or our competitors’ diagnostic tests resulting from defects or errors;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accuracy of our tests relative to those of our competitors;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or conformity assessment bodies; and</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regulatory authorities or conformity assessment bodies.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There is no assurance that our COVID-19 and antibody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the availability of vaccines, or otherwise, the need for a COVID-19 test could decrease significantly and this could have an adverse effect on our results of operation and profitability.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2021, we had approximately 218 full and part-time employees. Over the next several years, we expect to increase significantly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prospects.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Since our inception, we have experienced multiple cycles of growth and anticipate further growth in our business operations. This future growth could create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not be able to maintain the quality or expected turnaround times of our diagnostic tests and services, or satisfy customer demand as it grows. We may not be able to expand our COVID-19 testing capacity rapidly enough to meet the current and anticipated demand.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limited experience marketing and selling our diagnostic tests. 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cannot maintain our current relationships, or enter into new relationships, with biopharmaceutical companies, our revenue prospects could be reduced.</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For fiscal years 2021 and 2020, revenue from our top biopharmaceutical customer accounted for 2% and 3% of our total revenue, respectively.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 and proprietary AI platform.</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spacing w:after="0" w:line="261" w:lineRule="auto"/>
        <w:rPr>
          <w:sz w:val="20"/>
          <w:szCs w:val="20"/>
          <w:color w:val="auto"/>
        </w:rPr>
      </w:pPr>
      <w:r>
        <w:rPr>
          <w:rFonts w:ascii="Arial" w:cs="Arial" w:eastAsia="Arial" w:hAnsi="Arial"/>
          <w:sz w:val="18"/>
          <w:szCs w:val="18"/>
          <w:color w:val="auto"/>
        </w:rPr>
        <w:t>our control and, as a result, may not fully reflect the underlying performance of our business. These fluctuations may occur due to a variety of factors, including, but not limited to:</w:t>
      </w:r>
    </w:p>
    <w:p>
      <w:pPr>
        <w:spacing w:after="0" w:line="63"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our diagnostic tests, which may vary significantly;</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cost of manufacturing our diagnostic tests, which may vary depending on the quantity of production and the terms of our agreements with third-party suppliers and manufacturers;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tests and technologies;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 in the competitive landscape of our industry, including consolidation among our competitors or future partners;</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lung cancer treatment equipment, and potential future diagnostic tests that compete with our diagnostic tests;</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diagnostic tests or any enhancements to such tests we develop or competing diagnostic tests;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our diagnostic tests or those of our competitors or broader industry trends;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if any, of the spread of COVID-19 and any newly discovered variants, and the resulting effects on the number of patients treated or the demand for our non-COVID-19 tests;</w:t>
      </w:r>
    </w:p>
    <w:p>
      <w:pPr>
        <w:spacing w:after="0" w:line="62"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7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cost of obtaining regulatory approvals, conformity certifications or clearances for planned or future improvements or enhancements to our diagnostic tests;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or in the status of regulatory approvals or applications or conformity certifications;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pricing, discounts, and incentives for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can provide no assurances that the demand for our COVID-19 and antibody testing program will be sustained, and even if it is, the period of time for which it would be sustained. As vaccines for COVID-19 become more available and widespread in the future, we expect the demand for our COVID-19 diagnostic and antibody tests will decrease. As a result, the increase in revenue due to any increase in demand for our COVID-19 and antibody testing program is not indicative of results expected for any future period.</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r>
        <w:rPr>
          <w:rFonts w:ascii="Arial" w:cs="Arial" w:eastAsia="Arial" w:hAnsi="Arial"/>
          <w:sz w:val="18"/>
          <w:szCs w:val="18"/>
          <w:i w:val="1"/>
          <w:iCs w:val="1"/>
          <w:color w:val="auto"/>
        </w:rPr>
        <w: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need to maintain and continuously improve the performance and reliability of our diagnostic tests, including our Biodesix WorkSafe testing program,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jc w:val="both"/>
        <w:spacing w:after="0" w:line="261" w:lineRule="auto"/>
        <w:rPr>
          <w:sz w:val="20"/>
          <w:szCs w:val="20"/>
          <w:color w:val="auto"/>
        </w:rPr>
      </w:pPr>
      <w:r>
        <w:rPr>
          <w:rFonts w:ascii="Arial" w:cs="Arial" w:eastAsia="Arial" w:hAnsi="Arial"/>
          <w:sz w:val="18"/>
          <w:szCs w:val="18"/>
          <w:color w:val="auto"/>
        </w:rPr>
        <w:t>will not have performance problems. Performance issues with our diagnostic tests will increase our costs in the near-term and accordingly adversely affect our business, financial condition and results of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our diagnostic tests. The number of suppliers feeding into the production of our diagnostic tests is in excess of 65 worldwide. We consider a select few of these suppliers, located in the United States, Europe and China, as critical single source providers of components. Bio-Rad Laboratories, as described below, is the sole source supplier for our GeneStrat tests and COVID-19 diagnostic and antibody testing program. Oncimmune is also the sole source supplier for our Nodify CDT tests. While we have initiated the second source qualification process for the majority of these critical components, we may not be successful in securing second sourcing for all of them at all or on a timely basis.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addition, we may purchase supplies through purchase orders and may not have long-term supply agreements with, or guaranteed commitments from, many of our suppliers, including single source suppliers. Additionally, at present, we rely on contract manufacturers for the production of our supplies for our diagnostic test. Many of our suppliers and contract manufacturers are not obligated to perform services or supply diagnostic testing materials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8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As further consideration for the non-exclusive license, we agreed to pay a royalty of two and one half percent (2.5%) on net service fees (such fees are defined in the Non-Exclusive License Agreement with Bio-Rad) collected from contracted third parties who receive ddPCR services from us. In addition, we have separately been granted permission by Bio-Rad to use the Bio-Rad SARS-CoV-2 ddPCR test and Platelia SARS-CoV-2 Total Ab test for commercial diagnostic services. On May 24, 2021, we entered into the First Amendment to the Non-Exclusive License Agreement between Bio-Rad Laboratories, Inc., and Biodesix, Inc. which amended the original agreement such that, effective May 1, 2021, we are not required to pay a royalty of two and one half percent (2.5%) on net service fees. For more information regarding this license and supply agreement and the permission granted to us by Bio-Rad with respect to such tests, please see “Business—Material Agreements—Agreements with Bio-Rad” previously filed in our Form S-1 on October 23, 2020 and “First Amendment to the Non-Exclusive License Agreement between Bio-Rad Laboratories, Inc., and Biodesix, Inc., dated May 24, 2021” previously filed in our Form 10-Q on August 10, 2021.</w:t>
      </w:r>
    </w:p>
    <w:p>
      <w:pPr>
        <w:spacing w:after="0" w:line="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partner with contract manufacturers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or contract manufacturing partners.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outbreak of the novel strain of coronavirus disease, COVID-19, and its variants could adversely affect our business.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COVID-19 has spread throughout the United States and to most countries globally. Numerous U.S. state and local jurisdictions have imposed, and others in the future may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Such orders or restrictions have resulted in reduced operations at our headquarters, work stoppages, slowdowns and delays, travel restrictions and cancellation of events. Other disruptions or potential disruptions include the inability of our suppliers to manufacture components and parts and to deliver these to us on a timely basis, or at all; disruptions in our production schedule and ability to assemble diagnostic tests; inventory shortages or obsolescence; delays in actions 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COVID-19 pandemic also has negatively affected our non-COVID-19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have been receiving fewer samples for non-COVID-19 testing on a daily average basis from our clinical and biopharmaceutical customers than before the outbreak of the COVID-19 pandemic.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COVID-19 pandemic has also created an opportunity for our diagnostic tests and we have commercialized two diagnostic tests to test for the presence of COVID-19 and antibodies. We are expecting to increase our testing capacity for our COVID-19 diagnostic and antibody testing program in the near term to meet the rising demand for rapid and accurate testing. We expect that the revenue we generate from this expansion will comprise a significant portion of our revenue for the first quarter of 2021. However, there is no assurance that our COVID-19 diagnostic and antibody testing program will continue to be accepted by the market or that other diagnostic tests will become more accepted, produce quicker results or be accurate. Further, the longevity and extent of the COVID-19 pandemic is uncertain. If the pandemic were to dissipate, whether due to a significant decrease in new infections, due to the availability of vaccines, or otherwise, the need for a COVID-19 test could decrease significantly and this could have an adverse effect on our results of operations and profitability. As a result, the increase in revenue due to any increase in demand for these diagnostic tests may not be indicative of our future revenue.</w:t>
      </w:r>
    </w:p>
    <w:p>
      <w:pPr>
        <w:spacing w:after="0" w:line="6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extent to which the COVID-19 pandemic impacts our business will depend on future developments, which are highly uncertain and cannot be predicted, including new information which may emerge concerning the severity and spread of COVID-19 and the actions to contain COVID-19 or treat its impact, among others. Furthermore, there is no assurance that our diagnostic tests will continue to be effective against the virus in the future.</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significant portion of our employee base, operating facilities and infrastructure are centralized in Boulder,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7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8" w:name="page49"/>
    <w:bookmarkEnd w:id="48"/>
    <w:p>
      <w:pPr>
        <w:jc w:val="both"/>
        <w:spacing w:after="0" w:line="294" w:lineRule="auto"/>
        <w:rPr>
          <w:sz w:val="20"/>
          <w:szCs w:val="20"/>
          <w:color w:val="auto"/>
        </w:rPr>
      </w:pPr>
      <w:r>
        <w:rPr>
          <w:rFonts w:ascii="Arial" w:cs="Arial" w:eastAsia="Arial" w:hAnsi="Arial"/>
          <w:sz w:val="16"/>
          <w:szCs w:val="16"/>
          <w:color w:val="auto"/>
        </w:rPr>
        <w:t>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6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payer concentration, with a limited number of customers accounting for a substantial portion of our revenues.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For year ended December 31, 2021, Medicare reimbursed to us 18% of our diagnostic test revenue and two customers accounted for 45% of our total revenue. For the year ended December 31, 2020, Medicare reimbursed to us 17% of our diagnostic test revenue and two customers accounted for 47%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manufacturing partners and/or internal manufacturing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jc w:val="both"/>
        <w:spacing w:after="0" w:line="241" w:lineRule="auto"/>
        <w:rPr>
          <w:sz w:val="20"/>
          <w:szCs w:val="20"/>
          <w:color w:val="auto"/>
        </w:rPr>
      </w:pPr>
      <w:r>
        <w:rPr>
          <w:rFonts w:ascii="Arial" w:cs="Arial" w:eastAsia="Arial" w:hAnsi="Arial"/>
          <w:sz w:val="18"/>
          <w:szCs w:val="18"/>
          <w:color w:val="auto"/>
        </w:rPr>
        <w:t>team may not be able to deliver components and diagnostic tests to meet our requirements, and this could result in damage to our reputation, sales growth and customer relationships. In addition, if we experience a significant increase in demand, such as we are currently experiencing with respect to our COVID-19 and antibody testing program,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74"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diagnostic tests and services;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impact on the market price of our common stock;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many sources, including larger companies, and we may be unable to compete successfully.</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66"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lines of diagnostic tests and the ability to offer rebates or bundle them to offer greater discounts or other incentives to gain a competitive advantage;</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or certification for diagnostic tests;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continued success depends on our ability to:</w:t>
      </w:r>
    </w:p>
    <w:p>
      <w:pPr>
        <w:spacing w:after="0" w:line="104" w:lineRule="exact"/>
        <w:rPr>
          <w:sz w:val="20"/>
          <w:szCs w:val="20"/>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 penetrate the lung disease diagnostic solutions market and increase utilization of our diagnostic tests;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cost-effectively manufacture our diagnostic tests and their component parts as well as drive down the cost of service.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jc w:val="both"/>
        <w:spacing w:after="0" w:line="262" w:lineRule="auto"/>
        <w:rPr>
          <w:sz w:val="20"/>
          <w:szCs w:val="20"/>
          <w:color w:val="auto"/>
        </w:rPr>
      </w:pPr>
      <w:r>
        <w:rPr>
          <w:rFonts w:ascii="Arial" w:cs="Arial" w:eastAsia="Arial" w:hAnsi="Arial"/>
          <w:sz w:val="17"/>
          <w:szCs w:val="17"/>
          <w:color w:val="auto"/>
        </w:rPr>
        <w:t>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Boulder,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Pricing and reimbursement of medical devices is not harmonized at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decreasing demand for our products. Our customers and distributors may respond to such economic pressures by reducing or deferring their capital spending or reducing staff.</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addition, events in the United States or foreign markets, such as the United Kingdom’s exit from the European Union, the worldwide effects from the spread of COVID-19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benefits or costs of our Co-Development and Collaboration Agreement with AVEO Oncology.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 our right to opt-out of co-development, we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 For more information regarding this Collaboration Agreement, please see “Business —Drug Co-Development.”</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6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met, the Company was required to issue 2,520,108 shares of common stock. For the six months following the achievement of the milestone, the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each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The amendment to the original agreement is subject to consent from our lender under the 2021 Term Loan and related amendments. As of December 31, 2021, we have not made any payments in connection with the contingent consideration. We obtained consent and subsequently made the first milestone payment of $4.6 million in January 2022 and we are in discussions with our lender to obtain consents for future payments.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on October 31, 2019 we completed an acquisition of United Kingdom-based Oncimmune, Ltd.’s (Oncimmune) United States operations including its CLIA lab in De Soto, Kansas and its incidental pulmonary nodule (IPN) malignancy test, then marketed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jc w:val="both"/>
        <w:ind w:right="20"/>
        <w:spacing w:after="0" w:line="261" w:lineRule="auto"/>
        <w:rPr>
          <w:sz w:val="20"/>
          <w:szCs w:val="20"/>
          <w:color w:val="auto"/>
        </w:rPr>
      </w:pPr>
      <w:r>
        <w:rPr>
          <w:rFonts w:ascii="Arial" w:cs="Arial" w:eastAsia="Arial" w:hAnsi="Arial"/>
          <w:sz w:val="18"/>
          <w:szCs w:val="18"/>
          <w:color w:val="auto"/>
        </w:rPr>
        <w:t>in the United States as the EarlyCDT®-Lung. We renamed the test and relaunched the test on February 28, 2020 as the Nodify CDT test and the De Soto, Kansas lab will be the sole United States provider of the Nodify CDT test.</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were also granted an option through December 31, 2020 to acquire the rights to expand the field of use of the Nodify CDT test to include lung cancer screening, which we elected to not exercise.</w:t>
      </w:r>
    </w:p>
    <w:p>
      <w:pPr>
        <w:spacing w:after="0" w:line="73" w:lineRule="exact"/>
        <w:rPr>
          <w:sz w:val="20"/>
          <w:szCs w:val="20"/>
          <w:color w:val="auto"/>
        </w:rPr>
      </w:pPr>
    </w:p>
    <w:p>
      <w:pPr>
        <w:jc w:val="both"/>
        <w:ind w:right="160"/>
        <w:spacing w:after="0" w:line="270" w:lineRule="auto"/>
        <w:rPr>
          <w:sz w:val="20"/>
          <w:szCs w:val="20"/>
          <w:color w:val="auto"/>
        </w:rPr>
      </w:pPr>
      <w:r>
        <w:rPr>
          <w:rFonts w:ascii="Arial" w:cs="Arial" w:eastAsia="Arial" w:hAnsi="Arial"/>
          <w:sz w:val="17"/>
          <w:szCs w:val="17"/>
          <w:color w:val="auto"/>
        </w:rPr>
        <w:t>We agreed to a revenue share payment of 8% of recognized revenue for non-screening tests up to an annual minimum volume and 5% thereafter, with an escalating minimum through the first four years of sales. An insignificant amount of royalty payments was paid for the year ended December 31, 2020. In September 2020, we notified Oncimmune that we would not exercise this option for expansion of the field of use.</w:t>
      </w:r>
    </w:p>
    <w:p>
      <w:pPr>
        <w:spacing w:after="0" w:line="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research and development programs and laboratory operations depend on our ability to attract and retain highly skilled scientists and technicians.</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not be able to attract or retain qualified scientists and technicians in the future due to the competition for qualified personnel among life science businesses, particularly near our headquarters in Boulder,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and our transition from a private company to a public company may result in a change to our corporate culture, which could harm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7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terms of our secured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March 19, 2021 (Effective Date), we entered into an agreement with Silicon Valley Bank, a California corporation (SVB or Lender) to refinance long-term debt (2021 Term Loan). The initial amount borrowed under the 2021 Term Loan was $30 million and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Further, we granted the Lender a security interest in substantially all of our assets.</w:t>
      </w: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2021 Term Loan may be prepaid by us at any time, subject to a prepayment penalty of up to 3% of the outstanding principal amount, depending on the date of prepayment. The 2021 Term Loan contains customary affirmative and negative covenants for a loan, requires us to comply with a minimum liquidity ratio covenant, and has a trailing six month rolling minimum revenue requirement. Failure to comply with the covenants and loan requirements may result in an event of default.</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31, 2021, we entered into the Consent and Second Amendment to Loan and Security Agreement (Second Amendment) to, among other things, amend our 2021 Term Loan and First Amendment to obtain consent for the $4.6 million January 2022 milestone payment under the Indi APA, repay $20 million in outstanding principal on December 31, 2021, waive the $600,000 prepayment fee on the $20 million Term Loan repayment, and waive the minimum revenue covenant as of December 31, 2021 and modify the minimum revenue requirement to not less 75% for the three months ended March 31, 2022 and not less than 75% on a trailing six month rolling basis for each quarter thereafter of the Company’s projected revenue performed at the end of each reporting period.</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2021 Term Loan also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These covenants may restrict our ability to pursue new business opportunities and access additional capital.</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which could have a material adverse effect on our business, financial condition, and results of operations.</w:t>
      </w:r>
    </w:p>
    <w:p>
      <w:pPr>
        <w:spacing w:after="0" w:line="8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will need to raise additional capital in the future to expand our business, to pursue strategic investments, to take advantage of financing opportunities or for other reasons, including to:</w:t>
      </w:r>
    </w:p>
    <w:p>
      <w:pPr>
        <w:spacing w:after="0" w:line="63"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and address competitive developments;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 development and marketing efforts of our diagnostic tests or any other future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 our technologies into other types of cancer management and lung disease detection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04" w:lineRule="exact"/>
        <w:rPr>
          <w:sz w:val="20"/>
          <w:szCs w:val="20"/>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rate of progress in establishing payer coverage and reimbursement arrangements with domestic and international commercial third-party payers and government payers;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and reimbursement for our diagnostic tests;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rate of progress in, and cost of research and development activities associated with, diagnostic tests in research and early development;</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diagnostic tests.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6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Also, the anticipated benefit of any strategic alliance, joint venture or acquisition may not materialize, or such strategic alliance, joint venture or acquisition may be prohibited. For example, our 2021 Term Loan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our Governmental Regulation</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the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Outside the United States, the reimbursement process and timelines vary significantly. In Europe, pricing and reimbursement of medical devices is the exclusive competence of the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new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Measures to reduce healthcare costs may hurt our business.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diagnostic tests.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Patient Protection and Affordable Care Act of 2010, as amended by the Health Care and Education Reconciliation Act of 2010 (collectively,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There have been judicial challenges to certain aspects of the ACA, as well as efforts by the Trump administration and Congress to repeal, replace or alter the implementation of certain aspects of the ACA. For example, as part of the Tax Cuts and Jobs Act of 2017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On December 14, 2018, a Texas District Court Judge invalidated the ACA in its entirety because he concluded that the individual mandate, which was repealed by Congress as noted above, is unconstitutional and cannot be severed from the remainder of the ACA. The Fifth Circuit Court of Appeals affirmed the district court’s ruling that the individual mandate was unconstitutional, but it remanded the case back to the district court for further analysis of whether the mandate could be severed from the ACA; that is, whether the entire ACA was therefore also invalid. The Supreme Court of the United States granted certiorari on March 2, 2020 and heard oral argument on November 10, 2020; the case is expected to be decided by mid-2021. It is unclear how this decision, subsequent appeals, and other efforts to challenge, repeal, or replace, or alter the implementation of the ACA will affect our business, financial condition and results of operations.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2021.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harm:</w:t>
      </w:r>
    </w:p>
    <w:p>
      <w:pPr>
        <w:spacing w:after="0" w:line="63"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8" w:name="page59"/>
    <w:bookmarkEnd w:id="58"/>
    <w:p>
      <w:pPr>
        <w:jc w:val="both"/>
        <w:spacing w:after="0" w:line="243" w:lineRule="auto"/>
        <w:rPr>
          <w:sz w:val="20"/>
          <w:szCs w:val="20"/>
          <w:color w:val="auto"/>
        </w:rPr>
      </w:pPr>
      <w:r>
        <w:rPr>
          <w:rFonts w:ascii="Arial" w:cs="Arial" w:eastAsia="Arial" w:hAnsi="Arial"/>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anti-corruption, anti-bribery, anti-money laundering and similar laws.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healthcare fraud and abuse laws.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Restrictions under applicable United States federal and state healthcare laws and regulations include the following:</w:t>
      </w:r>
    </w:p>
    <w:p>
      <w:pPr>
        <w:spacing w:after="0" w:line="104" w:lineRule="exact"/>
        <w:rPr>
          <w:sz w:val="20"/>
          <w:szCs w:val="20"/>
          <w:color w:val="auto"/>
        </w:rPr>
      </w:pPr>
    </w:p>
    <w:p>
      <w:pPr>
        <w:jc w:val="both"/>
        <w:ind w:left="900" w:hanging="383"/>
        <w:spacing w:after="0" w:line="243"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79"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73" w:lineRule="exact"/>
        <w:rPr>
          <w:rFonts w:ascii="Arial" w:cs="Arial" w:eastAsia="Arial" w:hAnsi="Arial"/>
          <w:sz w:val="18"/>
          <w:szCs w:val="18"/>
          <w:color w:val="auto"/>
        </w:rPr>
      </w:pPr>
    </w:p>
    <w:p>
      <w:pPr>
        <w:ind w:left="900" w:hanging="383"/>
        <w:spacing w:after="0" w:line="324"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16" w:lineRule="exact"/>
        <w:rPr>
          <w:rFonts w:ascii="Arial" w:cs="Arial" w:eastAsia="Arial" w:hAnsi="Arial"/>
          <w:sz w:val="16"/>
          <w:szCs w:val="16"/>
          <w:color w:val="auto"/>
        </w:rPr>
      </w:pPr>
    </w:p>
    <w:p>
      <w:pPr>
        <w:jc w:val="both"/>
        <w:ind w:left="900" w:hanging="383"/>
        <w:spacing w:after="0" w:line="24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jc w:val="both"/>
        <w:ind w:left="900" w:right="20"/>
        <w:spacing w:after="0" w:line="248" w:lineRule="auto"/>
        <w:rPr>
          <w:sz w:val="20"/>
          <w:szCs w:val="20"/>
          <w:color w:val="auto"/>
        </w:rPr>
      </w:pPr>
      <w:r>
        <w:rPr>
          <w:rFonts w:ascii="Arial" w:cs="Arial" w:eastAsia="Arial" w:hAnsi="Arial"/>
          <w:sz w:val="18"/>
          <w:szCs w:val="18"/>
          <w:color w:val="auto"/>
        </w:rPr>
        <w:t>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74" w:lineRule="exact"/>
        <w:rPr>
          <w:sz w:val="20"/>
          <w:szCs w:val="20"/>
          <w:color w:val="auto"/>
        </w:rPr>
      </w:pPr>
    </w:p>
    <w:p>
      <w:pPr>
        <w:jc w:val="both"/>
        <w:ind w:left="900" w:hanging="383"/>
        <w:spacing w:after="0" w:line="243"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79" w:lineRule="exact"/>
        <w:rPr>
          <w:rFonts w:ascii="Arial" w:cs="Arial" w:eastAsia="Arial" w:hAnsi="Arial"/>
          <w:sz w:val="18"/>
          <w:szCs w:val="18"/>
          <w:color w:val="auto"/>
        </w:rPr>
      </w:pPr>
    </w:p>
    <w:p>
      <w:pPr>
        <w:jc w:val="both"/>
        <w:ind w:left="900" w:hanging="383"/>
        <w:spacing w:after="0" w:line="324"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our industry generally or our tests specifically could be disruptive to our business.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 HHS recently issued an announcement stating that the FDA cannot require premarket review of any LDT without engaging in formal notice-and-comment rulemaking, as opposed to through guidance documents, compliance manuals, website statements, or other informal issuances.</w:t>
      </w:r>
    </w:p>
    <w:p>
      <w:pPr>
        <w:spacing w:after="0" w:line="6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The HHS announcement was made on the Department’s website and we can provide no assurances that the HHS statement will not be rescinded or revised or that it would preclude the FDA from renewing its attention on diagnostic tests, including those that we provide. If this were to happen, it may impact our marketing practices relating to the relevant tests, which in turn may have an adverse impact on our business, financial condition and results of operations.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SARS-CoV-2 tests we perform are currently the subject of EUAs, which permit the use of unapproved medical products or unapproved uses of medical products to be used in an emergency to diagnose, treat, or prevent serious or life-threatening diseases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jc w:val="both"/>
        <w:spacing w:after="0"/>
        <w:rPr>
          <w:sz w:val="20"/>
          <w:szCs w:val="20"/>
          <w:color w:val="auto"/>
        </w:rPr>
      </w:pPr>
      <w:r>
        <w:rPr>
          <w:rFonts w:ascii="Arial" w:cs="Arial" w:eastAsia="Arial" w:hAnsi="Arial"/>
          <w:sz w:val="18"/>
          <w:szCs w:val="18"/>
          <w:color w:val="auto"/>
        </w:rPr>
        <w:t>conditions when there are no adequate, approved, and available alternatives, as provided under section 564 for the Federal Food, Drug, and Cosmetic Act (FDCA). EUAs are temporary authorizations that are revoked at the end of the public health emergency, when there is an adequate, approved, or available alternative, or when there are performance or safety concerns. These EUAs also set out conditions for laboratories who are authorized to perform the particular test. The HHS statement mentioned above did not affect EUAs for COVID-19 laboratory-developed tests that were already in effect at the time the statement was released. The HHS statement did not affect EUAs issued for commercially developed COVID-19 IVD tests, which apply to test developers and authorized laboratories.</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EUA for Bio-Rad’s SARS-CoV-2 Droplet Digital PCR™ test provides several conditions for authorized laboratories, including that the test result reports will include Fact Sheets that are authorized as part of the EUA, deviations from the authorized procedures, including specimen types, are not permitted, notification of public health authorities of intent to run the test prior to initiating testing, collection and reporting of performance data to the FDA, including false positives, false negatives, and significant deviations from the established performance characteristics, and appropriate training and protective equipment for laboratory staff. This EUA also states that authorized laboratories must maintain records associated with the EUA and be made available to the FDA for inspection upon request. Printed materials, advertising, and promotion related to use of the test must be consistent with the authorized labeling and Fact Sheets, as well as other terms set forth in the EUA and any applicable requirements under the FDCA and its implementing regulations, and conspicuously bear the following statements:</w:t>
      </w:r>
    </w:p>
    <w:p>
      <w:pPr>
        <w:spacing w:after="0" w:line="86" w:lineRule="exact"/>
        <w:rPr>
          <w:sz w:val="20"/>
          <w:szCs w:val="20"/>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nucleic acid from SARS-CoV-2, not for any other viruses or pathogens; and</w:t>
      </w:r>
    </w:p>
    <w:p>
      <w:pPr>
        <w:spacing w:after="0" w:line="103"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statements that appear in advertising and promotional materials must not represent or suggest that this test is safe or effective for the detection of SARS-CoV-2.</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EUA for Bio-Rad’s serological test for the antibodies associated with SARS-CoV-2, also sets out several conditions for authorized laboratories that mirror the conditions for the PCR test described above, except that the printed materials, advertising, and promotion of the test must conspicuously bear the following statements:</w:t>
      </w:r>
    </w:p>
    <w:p>
      <w:pPr>
        <w:spacing w:after="0" w:line="74"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test has not been FDA cleared or approved;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test has been authorized by the FDA under an EUA for use by authorized laboratories;</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test has been authorized only for the detection of total antibodies, including IgM/IgG/IgA, against SARS-CoV-2, not for any other viruses or pathogens; and</w:t>
      </w:r>
    </w:p>
    <w:p>
      <w:pPr>
        <w:spacing w:after="0" w:line="62"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test is only authorized for the duration of the declaration that circumstances exist justifying the authorization of emergency use of in vitro diagnostics for detection and/or diagnosis of COVID-19 under Section 564(b)(1) of the Act, 21 U.S.C. § 360bbb-3(b)(1), unless the authorization is terminated or revoked sooner.</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diagnostic testing industry is subject to extensive laws and regulations, many of which have not been interpreted by the courts, including the application of the FDA’s EUA authority. As noted above, the EUAs for the COVID-19 tests that are part of our Biodesix WorkSafe testing program set out certain conditions for authorized laboratories using the tests, which have not received premarket clearance, approval, or a de novo from the FDA. If we fail to meet these conditions, the FDA may take enforcement action, such as issuing a warning letter, seeking an injunction, seizure, fines, or criminal penalties. Pursuant to the August 19, 2020 statement by HHS, the FDA cannot require any LDT to undergo premarket approval until it has engaged in notice-and-comment rulemaking. Laboratory tests that have already received an EUA to detect the COVID-19 virus were “unaffected” by the announcement. Tests without FDA clearance, approval, or authorization would not be considered covered countermeasures under the Public Readiness and Emergency Preparedness Act (PREP Act). The HHS statement also did not affect EUAs issued for commercially developed COVID-19 IVD tests, which apply to test developers and authorized laboratories.</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18"/>
          <w:szCs w:val="18"/>
          <w:color w:val="auto"/>
        </w:rPr>
        <w:t>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Boulder,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The FDA’s authority to regulate LDTs has been frequently contested, and HHS recently issued a public statement purporting to rescind the FDA’s policies regarding the premarket review of LDTs. According to the HHS statement, the FDA will not require premarket review of LDTs unless it engages in notice-and-comment rulemaking. There is no guarantee, however, that the HHS statement will not be revised or rescinded, that legislation reforming the federal government’s regulation of LDTs will not be passed, or that LDTs will otherwise continue to be able to operate without first receiving FDA premarket review. Failure to adhere to any new FDA regulation would result in fines, product suspensions, warning letters, recalls, injunctions and other civil and criminal penalties.</w:t>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Changes in the way that the FDA regulates tests performed by laboratories like ours could result in delay or additional expense in offering our tests and tests that we may develop in the future.</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In recent years, however, the FDA publicly announced its intention to regulate certain LDTs and issued two draft guidance documents that set forth a proposed phased-in risk-based regulatory framework that would apply varying levels of FDA oversight to LDTs. However, these guidance documents were withdrawn at the end of the Obama administration and replaced by an informal discussion paper reflecting some of the feedback that the FDA had received on LDT regulation. The FDA acknowledged that the discussion paper in January 2017 does not represent the formal position of the FDA and is not enforceable. Nevertheless, the FDA wanted to share its synthesis of the feedback that it had received in the hope that it might advance public discussion on future LDT oversight. HHS has since issued a statement purporting to rescind FDA’s policies regarding the premarket review of LDTs, stating that FDA must engage in notice and comment rulemaking (as opposed to through guidance documents, compliance manuals, website statements, or other informal issuances) prior to requiring premarket review of LDTs. HHS issued this statement on its website and it may be subject to change. Also, it is possible that Congress will pass legislation to reform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8"/>
          <w:szCs w:val="18"/>
          <w:color w:val="auto"/>
        </w:rPr>
        <w:t>the federal government’s regulation of LDTs or that FDA will engage in notice-and-comment rulemaking to require premarket review of LDTs, which could result in delay or additional expense in offering our tests and tests that we may develop in the future.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current line of diagnostic tests is covered under CLIA and CMS, although our COVID testing program and select partnerships we may enter may cause us to be subject to additional FDA requirements.</w:t>
      </w:r>
    </w:p>
    <w:p>
      <w:pPr>
        <w:spacing w:after="0" w:line="6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not otherwise regulating most tests developed and performed within a single high complexity CLIA-certified laboratory. On August 19, 2020, HHS issued a statement purporting to rescind the FDA’s policies regarding the premarket review of LDTs, absent notice-and-comment rulemaking. the FDA’s policies to date have been articulated through guidance documents, compliance manuals, website statements, and other informal issuances. The FDA could, at any time, engage in notice-and-comment rulemaking, or Congress could take action to amend the law to change the current regulatory framework for in vitro diagnostics and LDTs. Further, the HHS statement was issued on its website and may be subject to change, particularly given the reasoning that additional flexibility is needed due to the COVID-19 pandemic.</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contrast with our LDTs, the FDA has regulatory jurisdiction over the two FDA EUA-authorized COVID-19 tests that were developed by Bio-Rad, which we offer as part of our Biodesix WorkSafe testing programs.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63"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test design, development, manufacture, and release;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Before a new medical device or service, or a new intended use for an existing product or service, can be marketed in the United States, a company must first submit and receive either 510(k) clearance, de-novo authorization, or premarket approval (PMA) from the FDA, unless an exemption applies. Most Class I devices and some Class II devices are exempt from these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United States market pursuant to an approved PMA and later down-classified, or a 510(k)-exempt device. To be substantially equivalent, the proposed device must have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3" w:name="page64"/>
    <w:bookmarkEnd w:id="63"/>
    <w:p>
      <w:pPr>
        <w:jc w:val="both"/>
        <w:spacing w:after="0" w:line="248" w:lineRule="auto"/>
        <w:rPr>
          <w:sz w:val="20"/>
          <w:szCs w:val="20"/>
          <w:color w:val="auto"/>
        </w:rPr>
      </w:pPr>
      <w:r>
        <w:rPr>
          <w:rFonts w:ascii="Arial" w:cs="Arial" w:eastAsia="Arial" w:hAnsi="Arial"/>
          <w:sz w:val="18"/>
          <w:szCs w:val="18"/>
          <w:color w:val="auto"/>
        </w:rPr>
        <w:t>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process of obtaining PMA approval, the FDA must determine that a proposed device is safe and effective for its intended use based, in part, on extensive data, including, but not limited to, technical, clinical trial, manufacturing and labeling data. The PMA process is typically required for devices that are deemed to pose the greatest risk, such as life-sustaining, life-supporting or implantable devices.</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FDA also allows the submission of a direct de-novo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510(k), de-novo or PMA process can be expensive, lengthy and unpredictable. The FDA can delay, limit, or deny clearance or approval of a device for many reasons, including:</w:t>
      </w:r>
    </w:p>
    <w:p>
      <w:pPr>
        <w:spacing w:after="0" w:line="63" w:lineRule="exact"/>
        <w:rPr>
          <w:sz w:val="20"/>
          <w:szCs w:val="20"/>
          <w:color w:val="auto"/>
        </w:rPr>
      </w:pPr>
    </w:p>
    <w:p>
      <w:pPr>
        <w:ind w:left="900" w:right="2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our clinical trials or the interpretation of data from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where required;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 and</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63" w:lineRule="exact"/>
        <w:rPr>
          <w:sz w:val="20"/>
          <w:szCs w:val="20"/>
          <w:color w:val="auto"/>
        </w:rPr>
      </w:pPr>
    </w:p>
    <w:p>
      <w:pPr>
        <w:ind w:left="900" w:hanging="383"/>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0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premarket approval of new diagnostic tests or services, new intended uses, or modifications to existing diagnostic tests or services;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regulatory clearance or premarket approvals that have already been granted; or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discussed above, we believe that our current line of diagnostic tests and their components are LDTs, subject to state licensing requirements and federal regulation by CMS under CLIA, although our COVID-19 testing program and select partnerships we may enter may cause us to be subject to additional FDA regulations discussed above.</w:t>
      </w:r>
    </w:p>
    <w:p>
      <w:pPr>
        <w:spacing w:after="0" w:line="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While we believe that we are currently in material compliance with applicable laws and regulations, it is possible that the FDA, or other regulatory agencies, would not agree with our determinations. If our products became become subject to 510(k) or other similar FDA regulations, we would need to comply with the applicable regulations or face significant civil and criminal penalties. In addition, IVDs and CDx tests are widely considered to be Class</w:t>
      </w:r>
    </w:p>
    <w:p>
      <w:pPr>
        <w:jc w:val="both"/>
        <w:ind w:firstLine="8"/>
        <w:spacing w:after="0" w:line="239" w:lineRule="auto"/>
        <w:tabs>
          <w:tab w:leader="none" w:pos="2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jc w:val="both"/>
        <w:spacing w:after="0" w:line="243"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or PMA approval of our future diagnostic tests and failure to obtain necessary clearances or approvals for our future diagnostic tests would adversely affect our ability to grow our business.</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success of any new diagnostic test or enhancement to an existing diagnostic test will depend on a number of factors, including our ability to, among others:</w:t>
      </w:r>
    </w:p>
    <w:p>
      <w:pPr>
        <w:spacing w:after="0" w:line="63" w:lineRule="exact"/>
        <w:rPr>
          <w:sz w:val="20"/>
          <w:szCs w:val="20"/>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 and introduce new diagnostic tests or enhancements to our existing diagnostic tests in a timely manner;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avoid infringing upon, misappropriating, or violating the intellectual property rights of third parties;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diagnostic tests with data from clinical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obtain the necessary regulatory clearances or approvals or certifications for new diagnostic tests or enhancements to existing diagnostic tests;</w:t>
      </w:r>
    </w:p>
    <w:p>
      <w:pPr>
        <w:spacing w:after="0" w:line="126" w:lineRule="exact"/>
        <w:rPr>
          <w:rFonts w:ascii="Arial" w:cs="Arial" w:eastAsia="Arial" w:hAnsi="Arial"/>
          <w:sz w:val="16"/>
          <w:szCs w:val="16"/>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diagnostic tests or modified diagnostic tests;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diagnostic tests.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or premarket approval of new diagnostic tests. Failure to receive clearance or approval for our new diagnostic tests would have an adverse effect on our ability to expand our business.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Modifications to our marketed tests may require new 510(k) clearances or PMA approvals, or may require us to cease marketing or recall the modified tests until clearances or approvals are obtained.</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Modifications to our diagnostic tests may require new regulatory approvals or clearances, including 510(k) clearances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premarket approval application. Where we determine that modifications to our diagnostic tests require a new 510(k) clearance or premarket approval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jc w:val="both"/>
        <w:spacing w:after="0" w:line="356" w:lineRule="auto"/>
        <w:rPr>
          <w:sz w:val="20"/>
          <w:szCs w:val="20"/>
          <w:color w:val="auto"/>
        </w:rPr>
      </w:pPr>
      <w:r>
        <w:rPr>
          <w:rFonts w:ascii="Arial" w:cs="Arial" w:eastAsia="Arial" w:hAnsi="Arial"/>
          <w:sz w:val="15"/>
          <w:szCs w:val="15"/>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Quality System Regulations (QSR codified at 21 C.F.R. § 820) for medical devices and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72" w:lineRule="exact"/>
        <w:rPr>
          <w:sz w:val="20"/>
          <w:szCs w:val="20"/>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recall, detention, or seizure of our diagnostic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of new diagnostic tests or modified versions of current diagnostic tests;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revocation of EUAs that have been authorized previously;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refusal to grant export approval for our diagnostic tests;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diagnostic tests and services may in the future be subject to product recalls that could harm our reputation, business and financial results.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6" w:name="page67"/>
    <w:bookmarkEnd w:id="66"/>
    <w:p>
      <w:pPr>
        <w:jc w:val="both"/>
        <w:ind w:right="20"/>
        <w:spacing w:after="0" w:line="291"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diagnostic tests.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Initiating and completing clinical trials necessary to support any future PMA applications,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jc w:val="both"/>
        <w:spacing w:after="0" w:line="322"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w:t>
      </w:r>
    </w:p>
    <w:p>
      <w:pPr>
        <w:spacing w:after="0" w:line="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8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the CPRA. That passed in November 2020. The CPRA will impose additional data protection obligations on companies doing business in California, including additional consumer rights, including regarding certain uses of sensitive data. It also creates a new California data protection agency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 changes to our operations or even prevent us from providing certain offerings in jurisdictions in which we currently operate and in which we may operate in the future.</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jc w:val="both"/>
        <w:spacing w:after="0" w:line="261" w:lineRule="auto"/>
        <w:rPr>
          <w:sz w:val="20"/>
          <w:szCs w:val="20"/>
          <w:color w:val="auto"/>
        </w:rPr>
      </w:pPr>
      <w:r>
        <w:rPr>
          <w:rFonts w:ascii="Arial" w:cs="Arial" w:eastAsia="Arial" w:hAnsi="Arial"/>
          <w:sz w:val="18"/>
          <w:szCs w:val="18"/>
          <w:color w:val="auto"/>
        </w:rPr>
        <w:t>to resolve allegations of non-compliance with these laws, any of which could adversely affect our ability to operate our business and our results of operations.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and the business associates with whom such covered entities contract for services. We are a covered entity under HIPAA when we are conducting our clinical trials. We are a covered entity with regard to our observational studies and clinical trials, and also a business associate under HIPAA for certain other business activities, and we execute business associate agreements with our clients.</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HIPPA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pacing w:after="0" w:line="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Complying with these various laws and regulations could cause us to incur substantial costs or require us to change our business practices, systems and compliance procedures in a manner adverse to our business.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eventually operate in a number of countries outside of the United States whose laws, including data privacy laws, may in some cases be more stringent than the requirements in the United States. For example, EU and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Certain of our processing activities are subject to the EU General Data Protection Regulation and the UK General Data Protection Regulation (collectively, the “GDPR”) – including, those involving pseudonymised / key-coded data - 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jc w:val="both"/>
        <w:spacing w:after="0" w:line="248" w:lineRule="auto"/>
        <w:rPr>
          <w:sz w:val="20"/>
          <w:szCs w:val="20"/>
          <w:color w:val="auto"/>
        </w:rPr>
      </w:pPr>
      <w:r>
        <w:rPr>
          <w:rFonts w:ascii="Arial" w:cs="Arial" w:eastAsia="Arial" w:hAnsi="Arial"/>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The CJEU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74" w:lineRule="exact"/>
        <w:rPr>
          <w:sz w:val="20"/>
          <w:szCs w:val="20"/>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FDA regulations, including those laws requiring the reporting of true, complete, and accurate information to the FDA authorities;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0" w:name="page71"/>
    <w:bookmarkEnd w:id="70"/>
    <w:p>
      <w:pPr>
        <w:jc w:val="both"/>
        <w:spacing w:after="0" w:line="272" w:lineRule="auto"/>
        <w:rPr>
          <w:sz w:val="20"/>
          <w:szCs w:val="20"/>
          <w:color w:val="auto"/>
        </w:rPr>
      </w:pPr>
      <w:r>
        <w:rPr>
          <w:rFonts w:ascii="Arial" w:cs="Arial" w:eastAsia="Arial" w:hAnsi="Arial"/>
          <w:sz w:val="16"/>
          <w:szCs w:val="16"/>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jc w:val="both"/>
        <w:spacing w:after="0" w:line="261" w:lineRule="auto"/>
        <w:rPr>
          <w:sz w:val="20"/>
          <w:szCs w:val="20"/>
          <w:color w:val="auto"/>
        </w:rPr>
      </w:pPr>
      <w:r>
        <w:rPr>
          <w:rFonts w:ascii="Arial" w:cs="Arial" w:eastAsia="Arial" w:hAnsi="Arial"/>
          <w:sz w:val="18"/>
          <w:szCs w:val="18"/>
          <w:color w:val="auto"/>
        </w:rPr>
        <w:t>commercialize our product candidates and generate revenues. It is also possible that patients enrolled in clinical trials will experience adverse side effects that are not currently part of the future product’s profile.</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80" w:lineRule="exact"/>
        <w:rPr>
          <w:sz w:val="20"/>
          <w:szCs w:val="20"/>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 to the extent our tests are covered by such programs;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differences in coverage among payers and the effect of patient co-payments or co-insurance;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payers;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codes and coding instructions governing our tests;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Nodify CDT and GeneStrat,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codes to tests that are not already described by a unique CPT code. VeriStrat and Nodify XL2 both have test specific CPT codes, but the GeneStrat and Nodify CDT tests do not at this time.</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jc w:val="both"/>
        <w:spacing w:after="0" w:line="261" w:lineRule="auto"/>
        <w:rPr>
          <w:sz w:val="20"/>
          <w:szCs w:val="20"/>
          <w:color w:val="auto"/>
        </w:rPr>
      </w:pPr>
      <w:r>
        <w:rPr>
          <w:rFonts w:ascii="Arial" w:cs="Arial" w:eastAsia="Arial" w:hAnsi="Arial"/>
          <w:sz w:val="18"/>
          <w:szCs w:val="18"/>
          <w:color w:val="auto"/>
        </w:rPr>
        <w:t>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may be impaired if we are unable to obtain, maintain and protect our intellectual property rights.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80" w:lineRule="exact"/>
        <w:rPr>
          <w:sz w:val="20"/>
          <w:szCs w:val="20"/>
          <w:color w:val="auto"/>
        </w:rPr>
      </w:pPr>
    </w:p>
    <w:p>
      <w:pPr>
        <w:ind w:left="900" w:hanging="383"/>
        <w:spacing w:after="0" w:line="261"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prevent our competitors from duplicating our diagnostic tests and products, including our COVID-19 testing program and Nodify XL2, Nodify CDT, GeneStrat and VeriStrat tests;</w:t>
      </w:r>
    </w:p>
    <w:p>
      <w:pPr>
        <w:spacing w:after="0" w:line="62"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allow us to gain or maintain a competitive advantage.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8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United States Patent and Trademark Office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jc w:val="both"/>
        <w:spacing w:after="0" w:line="261" w:lineRule="auto"/>
        <w:rPr>
          <w:sz w:val="20"/>
          <w:szCs w:val="20"/>
          <w:color w:val="auto"/>
        </w:rPr>
      </w:pPr>
      <w:r>
        <w:rPr>
          <w:rFonts w:ascii="Arial" w:cs="Arial" w:eastAsia="Arial" w:hAnsi="Arial"/>
          <w:sz w:val="18"/>
          <w:szCs w:val="18"/>
          <w:color w:val="auto"/>
        </w:rPr>
        <w:t>ability to protect our inventions, obtain, maintain, and enforce our intellectual property rights and, more generally, could affect the value of our intellectual property rights or narrow the scope of our owned and licensed patents.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4" w:name="page75"/>
    <w:bookmarkEnd w:id="74"/>
    <w:p>
      <w:pPr>
        <w:jc w:val="both"/>
        <w:spacing w:after="0"/>
        <w:rPr>
          <w:sz w:val="20"/>
          <w:szCs w:val="20"/>
          <w:color w:val="auto"/>
        </w:rPr>
      </w:pPr>
      <w:r>
        <w:rPr>
          <w:rFonts w:ascii="Arial" w:cs="Arial" w:eastAsia="Arial" w:hAnsi="Arial"/>
          <w:sz w:val="18"/>
          <w:szCs w:val="18"/>
          <w:color w:val="auto"/>
        </w:rPr>
        <w:t>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our COVID-19 testing program, either of the Nodify XL2 and Nodify CDT tests, or the VeriStrat and GeneStrat tests.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jc w:val="both"/>
        <w:spacing w:after="0" w:line="261" w:lineRule="auto"/>
        <w:rPr>
          <w:sz w:val="20"/>
          <w:szCs w:val="20"/>
          <w:color w:val="auto"/>
        </w:rPr>
      </w:pPr>
      <w:r>
        <w:rPr>
          <w:rFonts w:ascii="Arial" w:cs="Arial" w:eastAsia="Arial" w:hAnsi="Arial"/>
          <w:sz w:val="18"/>
          <w:szCs w:val="18"/>
          <w:color w:val="auto"/>
        </w:rPr>
        <w:t>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7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5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the initiation and continuation of patent litigation or other proceedings could have a material adverse effect on our ability to compete in the marketplace.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 or results of operations.</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jc w:val="both"/>
        <w:ind w:right="20"/>
        <w:spacing w:after="0" w:line="261" w:lineRule="auto"/>
        <w:rPr>
          <w:sz w:val="20"/>
          <w:szCs w:val="20"/>
          <w:color w:val="auto"/>
        </w:rPr>
      </w:pPr>
      <w:r>
        <w:rPr>
          <w:rFonts w:ascii="Arial" w:cs="Arial" w:eastAsia="Arial" w:hAnsi="Arial"/>
          <w:sz w:val="18"/>
          <w:szCs w:val="18"/>
          <w:color w:val="auto"/>
        </w:rPr>
        <w:t>developments. If securities analysts or investors perceive these results to be negative, it could have a substantial adverse effect on the price of our common stock.</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priority or inventorship of our patents and other intellectual property rights.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color w:val="auto"/>
        </w:rPr>
        <w:t>unenforceability, we would lose at least part, and perhaps all, of the patent protection on our diagnostic tests or any diagnostic tests, products and services that we may develop.</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aware of all third-party intellectual property rights potentially relating to our current or future diagnostic tests, products or services.</w:t>
      </w:r>
    </w:p>
    <w:p>
      <w:pPr>
        <w:spacing w:after="0" w:line="1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5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Any of the foregoing could have a material adverse effect on our competitive position, business, financial conditions, results of operations and prospects.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9" w:name="page80"/>
    <w:bookmarkEnd w:id="79"/>
    <w:p>
      <w:pPr>
        <w:spacing w:after="0" w:line="261" w:lineRule="auto"/>
        <w:rPr>
          <w:sz w:val="20"/>
          <w:szCs w:val="20"/>
          <w:color w:val="auto"/>
        </w:rPr>
      </w:pPr>
      <w:r>
        <w:rPr>
          <w:rFonts w:ascii="Arial" w:cs="Arial" w:eastAsia="Arial" w:hAnsi="Arial"/>
          <w:sz w:val="18"/>
          <w:szCs w:val="18"/>
          <w:color w:val="auto"/>
        </w:rPr>
        <w:t>Moreover, disputes may also arise between us and our current or future licensors regarding intellectual property rights subject to a license agreement, including those relating to:</w:t>
      </w:r>
    </w:p>
    <w:p>
      <w:pPr>
        <w:spacing w:after="0" w:line="63" w:lineRule="exact"/>
        <w:rPr>
          <w:sz w:val="20"/>
          <w:szCs w:val="20"/>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our licensor or its licensor had the right to grant the license agreement;</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third parties are entitled to compensation or equitable relief, such as an injunction, for our use of the intellectual property rights without their authorization;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involvement in the prosecution of licensed patents and our licensors’ overall patent enforcement strategy;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rights by our licensors and us and our collaborators;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If we do not prevail in such disputes, we may lose any or all of our rights under such license agreements.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4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jc w:val="both"/>
        <w:spacing w:after="0" w:line="262" w:lineRule="auto"/>
        <w:rPr>
          <w:sz w:val="20"/>
          <w:szCs w:val="20"/>
          <w:color w:val="auto"/>
        </w:rPr>
      </w:pPr>
      <w:r>
        <w:rPr>
          <w:rFonts w:ascii="Arial" w:cs="Arial" w:eastAsia="Arial" w:hAnsi="Arial"/>
          <w:sz w:val="17"/>
          <w:szCs w:val="17"/>
          <w:color w:val="auto"/>
        </w:rPr>
        <w:t>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on our diagnostic tests, products and services for an adequate amount of time.</w:t>
      </w:r>
    </w:p>
    <w:p>
      <w:pPr>
        <w:spacing w:after="0" w:line="12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7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jc w:val="both"/>
        <w:ind w:left="900" w:hanging="383"/>
        <w:spacing w:after="0" w:line="243"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others may be able to make diagnostic tests or products that are similar to our Nodify XL2, Nodify CDT, GeneStrat or VeriStrat tests or the COVID-19 tests that we use in our COVID-19 testing program or utilize similar technology that is not covered by the claims of our patents or that incorporates certain technology in our Nodify XL2, Nodify CDT, GeneStrat or VeriStrat tests or such COVID-19 tests that is in the public domain;</w:t>
      </w:r>
    </w:p>
    <w:p>
      <w:pPr>
        <w:spacing w:after="0" w:line="79"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left="900" w:hanging="383"/>
        <w:spacing w:after="0" w:line="261"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jc w:val="both"/>
        <w:ind w:left="900" w:hanging="383"/>
        <w:spacing w:after="0" w:line="24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7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rights.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04" w:lineRule="exact"/>
        <w:rPr>
          <w:sz w:val="20"/>
          <w:szCs w:val="20"/>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volume and customer mix for our COVID-19, Nodify XL2, Nodify CDT, GeneStrat and VeriStrat testing;</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introduction of new diagnostic tests or enhancements to such tests by us or others in our industry;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or certification for, and market new and enhanced diagnostic tests on a timely basis;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media exposure of our diagnostic tests or of those of others in our industry;</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103"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2" w:name="page83"/>
    <w:bookmarkEnd w:id="82"/>
    <w:p>
      <w:pPr>
        <w:jc w:val="both"/>
        <w:spacing w:after="0" w:line="262" w:lineRule="auto"/>
        <w:rPr>
          <w:sz w:val="20"/>
          <w:szCs w:val="20"/>
          <w:color w:val="auto"/>
        </w:rPr>
      </w:pPr>
      <w:r>
        <w:rPr>
          <w:rFonts w:ascii="Arial" w:cs="Arial" w:eastAsia="Arial" w:hAnsi="Arial"/>
          <w:sz w:val="17"/>
          <w:szCs w:val="17"/>
          <w:color w:val="auto"/>
        </w:rPr>
        <w:t>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6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Shares of our common stock may be at risk for delisting from the Nasdaq Global Select Market in the future and delisting may adversely affect the value of your investment in the Company.</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Shares of our common stock may be at risk of delisting from the Nasdaq Global Select Market if the bid price per share of our common stock does not remain above the applicable listing standards in the future. Moreover, there is no assurance that we will be able to take action to meet these listing standards if such bid price falls below the minimum required price. If our common stock were to be delisted, the liquidity of our common stock would be adversely affected and the market price of our common stock could decrease further. Our failure to be listed on NASDAQ or another established securities trading market or quotation system could have a material adverse effect on the value of your investment in the Company.</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of 2002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our IPO.</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74"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jc w:val="both"/>
        <w:spacing w:after="0" w:line="261" w:lineRule="auto"/>
        <w:rPr>
          <w:sz w:val="20"/>
          <w:szCs w:val="20"/>
          <w:color w:val="auto"/>
        </w:rPr>
      </w:pPr>
      <w:r>
        <w:rPr>
          <w:rFonts w:ascii="Arial" w:cs="Arial" w:eastAsia="Arial" w:hAnsi="Arial"/>
          <w:sz w:val="18"/>
          <w:szCs w:val="18"/>
          <w:color w:val="auto"/>
        </w:rPr>
        <w:t>from our assumptions, our operating results may be adversely affected and could fall below the expectations of securities analysts and investors, resulting in a decline in the market price of our common stock.</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approximately 66.3% of our outstanding common stock as of December 31, 2021.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expect to incur significant additional costs as a result of being a public company, which may adversely affect our business, financial condition and results of operations.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a result of our IPO completed in October 2020, we expect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These rules and regulations are expected to significantly increase our accounting, legal and financial compliance costs and make some activities more time-consuming. We also expect these rules and regulations to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becoming a publicly traded company may adversely affect our business, financial condition and results of operations.</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a result of becoming a public company, we are required, under Section 404 of the Sarbanes-Oxley Act to furnish a report by management on, among other things, the effectiveness of our internal control over financial reporting beginning with our Annual Report on Form 10-K for the year ended December 31, 2021.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5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6" w:lineRule="exact"/>
        <w:rPr>
          <w:sz w:val="20"/>
          <w:szCs w:val="20"/>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possibility that any enhancements to controls and procedures may still not be adequate to assure timely and accurate financial control.</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4" w:name="page85"/>
    <w:bookmarkEnd w:id="84"/>
    <w:p>
      <w:pPr>
        <w:jc w:val="both"/>
        <w:spacing w:after="0" w:line="261"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63" w:lineRule="exact"/>
        <w:rPr>
          <w:sz w:val="20"/>
          <w:szCs w:val="20"/>
          <w:color w:val="auto"/>
        </w:rPr>
      </w:pPr>
    </w:p>
    <w:p>
      <w:pPr>
        <w:jc w:val="both"/>
        <w:ind w:left="900" w:hanging="383"/>
        <w:spacing w:after="0" w:line="243"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79" w:lineRule="exact"/>
        <w:rPr>
          <w:rFonts w:ascii="Arial" w:cs="Arial" w:eastAsia="Arial" w:hAnsi="Arial"/>
          <w:sz w:val="18"/>
          <w:szCs w:val="18"/>
          <w:color w:val="auto"/>
        </w:rPr>
      </w:pPr>
    </w:p>
    <w:p>
      <w:pPr>
        <w:ind w:left="900" w:hanging="383"/>
        <w:spacing w:after="0"/>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15" w:lineRule="exact"/>
        <w:rPr>
          <w:rFonts w:ascii="Arial" w:cs="Arial" w:eastAsia="Arial" w:hAnsi="Arial"/>
          <w:sz w:val="17"/>
          <w:szCs w:val="17"/>
          <w:color w:val="auto"/>
        </w:rPr>
      </w:pPr>
    </w:p>
    <w:p>
      <w:pPr>
        <w:ind w:left="900" w:hanging="383"/>
        <w:spacing w:after="0" w:line="324"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 w:lineRule="exact"/>
        <w:rPr>
          <w:rFonts w:ascii="Arial" w:cs="Arial" w:eastAsia="Arial" w:hAnsi="Arial"/>
          <w:sz w:val="16"/>
          <w:szCs w:val="16"/>
          <w:color w:val="auto"/>
        </w:rPr>
      </w:pPr>
    </w:p>
    <w:p>
      <w:pPr>
        <w:ind w:left="900" w:hanging="383"/>
        <w:spacing w:after="0" w:line="291"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900" w:hanging="383"/>
        <w:spacing w:after="0" w:line="261"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articles of incorporation provisions to reduce our indemnification obligations to directors, officers, employees and agents.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headquarters is located in Boulder, Colorado, where we lease office and laboratory space, under an operating lease agreement that expires in January 2023, which has recently been amended to extend to January 2024. We also lease office and laboratory space located in De Soto, Kansas, under an operating lease agreement that expires in October 2023. A portion of our employees are located outside of Colorado and Kansas, and others work from home. We believe our existing facilities meet our current needs. We will need additional office space in the future as we continue to build and expand our development, commercial and support teams. We believe we can find suitable additional space in the future on commercially reasonable terms.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400" w:type="dxa"/>
            <w:vAlign w:val="bottom"/>
          </w:tcPr>
          <w:p>
            <w:pPr>
              <w:spacing w:after="0"/>
              <w:rPr>
                <w:sz w:val="19"/>
                <w:szCs w:val="19"/>
                <w:color w:val="auto"/>
              </w:rPr>
            </w:pPr>
          </w:p>
        </w:tc>
        <w:tc>
          <w:tcPr>
            <w:tcW w:w="3920" w:type="dxa"/>
            <w:vAlign w:val="bottom"/>
            <w:gridSpan w:val="3"/>
          </w:tcPr>
          <w:p>
            <w:pPr>
              <w:ind w:left="40"/>
              <w:spacing w:after="0"/>
              <w:rPr>
                <w:sz w:val="20"/>
                <w:szCs w:val="20"/>
                <w:color w:val="auto"/>
              </w:rPr>
            </w:pPr>
            <w:r>
              <w:rPr>
                <w:rFonts w:ascii="Arial" w:cs="Arial" w:eastAsia="Arial" w:hAnsi="Arial"/>
                <w:sz w:val="18"/>
                <w:szCs w:val="18"/>
                <w:b w:val="1"/>
                <w:bCs w:val="1"/>
                <w:color w:val="auto"/>
              </w:rPr>
              <w:t>Location</w:t>
            </w:r>
          </w:p>
        </w:tc>
        <w:tc>
          <w:tcPr>
            <w:tcW w:w="1940" w:type="dxa"/>
            <w:vAlign w:val="bottom"/>
          </w:tcPr>
          <w:p>
            <w:pPr>
              <w:ind w:left="40"/>
              <w:spacing w:after="0"/>
              <w:rPr>
                <w:sz w:val="20"/>
                <w:szCs w:val="20"/>
                <w:color w:val="auto"/>
              </w:rPr>
            </w:pPr>
            <w:r>
              <w:rPr>
                <w:rFonts w:ascii="Arial" w:cs="Arial" w:eastAsia="Arial" w:hAnsi="Arial"/>
                <w:sz w:val="18"/>
                <w:szCs w:val="18"/>
                <w:b w:val="1"/>
                <w:bCs w:val="1"/>
                <w:color w:val="auto"/>
              </w:rPr>
              <w:t>Use</w:t>
            </w:r>
          </w:p>
        </w:tc>
        <w:tc>
          <w:tcPr>
            <w:tcW w:w="200" w:type="dxa"/>
            <w:vAlign w:val="bottom"/>
          </w:tcPr>
          <w:p>
            <w:pPr>
              <w:spacing w:after="0"/>
              <w:rPr>
                <w:sz w:val="19"/>
                <w:szCs w:val="19"/>
                <w:color w:val="auto"/>
              </w:rPr>
            </w:pPr>
          </w:p>
        </w:tc>
        <w:tc>
          <w:tcPr>
            <w:tcW w:w="1800" w:type="dxa"/>
            <w:vAlign w:val="bottom"/>
          </w:tcPr>
          <w:p>
            <w:pPr>
              <w:jc w:val="right"/>
              <w:ind w:right="410"/>
              <w:spacing w:after="0"/>
              <w:rPr>
                <w:sz w:val="20"/>
                <w:szCs w:val="20"/>
                <w:color w:val="auto"/>
              </w:rPr>
            </w:pPr>
            <w:r>
              <w:rPr>
                <w:rFonts w:ascii="Arial" w:cs="Arial" w:eastAsia="Arial" w:hAnsi="Arial"/>
                <w:sz w:val="18"/>
                <w:szCs w:val="18"/>
                <w:b w:val="1"/>
                <w:bCs w:val="1"/>
                <w:color w:val="auto"/>
              </w:rPr>
              <w:t>Square Feet</w:t>
            </w:r>
          </w:p>
        </w:tc>
        <w:tc>
          <w:tcPr>
            <w:tcW w:w="18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196"/>
        </w:trPr>
        <w:tc>
          <w:tcPr>
            <w:tcW w:w="14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Boulder, Colorado</w:t>
            </w:r>
          </w:p>
        </w:tc>
        <w:tc>
          <w:tcPr>
            <w:tcW w:w="2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3"/>
              </w:rPr>
              <w:t>Office and laboratory</w:t>
            </w:r>
          </w:p>
        </w:tc>
        <w:tc>
          <w:tcPr>
            <w:tcW w:w="1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29,722</w:t>
            </w:r>
          </w:p>
        </w:tc>
        <w:tc>
          <w:tcPr>
            <w:tcW w:w="18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January 14, 2024</w:t>
            </w: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De Soto, Kansas</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3"/>
              </w:rPr>
              <w:t>Office and laboratory</w:t>
            </w:r>
          </w:p>
        </w:tc>
        <w:tc>
          <w:tcPr>
            <w:tcW w:w="1940" w:type="dxa"/>
            <w:vAlign w:val="bottom"/>
          </w:tcPr>
          <w:p>
            <w:pPr>
              <w:spacing w:after="0"/>
              <w:rPr>
                <w:sz w:val="20"/>
                <w:szCs w:val="20"/>
                <w:color w:val="auto"/>
              </w:rPr>
            </w:pP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9,066</w:t>
            </w:r>
          </w:p>
        </w:tc>
        <w:tc>
          <w:tcPr>
            <w:tcW w:w="18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October 31, 2023</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In September 2021, we reached a settlement agreement with the plaintiffs, which received preliminary approval from the Circuit Court of the City of St. Louis, State of Missouri (the Court) on November 10</w:t>
      </w:r>
      <w:r>
        <w:rPr>
          <w:rFonts w:ascii="Arial" w:cs="Arial" w:eastAsia="Arial" w:hAnsi="Arial"/>
          <w:sz w:val="24"/>
          <w:szCs w:val="24"/>
          <w:color w:val="auto"/>
          <w:vertAlign w:val="superscript"/>
        </w:rPr>
        <w:t>th</w:t>
      </w:r>
      <w:r>
        <w:rPr>
          <w:rFonts w:ascii="Arial" w:cs="Arial" w:eastAsia="Arial" w:hAnsi="Arial"/>
          <w:sz w:val="18"/>
          <w:szCs w:val="18"/>
          <w:color w:val="auto"/>
        </w:rPr>
        <w:t>, regarding a dispute involving the Telephone Consumer Protection Act (TCPA). On January 31, 2022, the Court approved the final settlement payment to third parties of approximately $210,000 which was accrued as a legal contingency during the year ended December 31, 2021. We are not presently a party to any other legal proceedings that, if determined adversely to us, would individually or taken together have a material adverse effect on our business, results of operations, financial condition,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920"/>
        <w:spacing w:after="0" w:line="42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common stock is traded on The NASDAQ Global Market under the symbol "BDSX." The high and low closing prices for our common stock on The NASDAQ Global Market from January 1, 2021 to December 31, 2021 were $31.21 and $4.09,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As of March 9, 2022, there were approximately 204 holders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in an at-the-market offering. The Company received net proceeds of $15.7 million after deducting underwriting discounts and commissions and offering expenses payable by the Company. The net proceeds received were used to, among other things, fund the partial repayment of the 2021 Term Loan (see – Part II - Item 8, Financial Statements and Supplementary Data).</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registered these shares under the Securities Act on a Registration Statement on Form S-3 (Registration No. 333-261095), which was filed on November 24, 2021 and declared effective on November 29,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were no sales of unregistered securities for the year ended December 31, 2021. From January 1, 2020 through December 31, 2020, we granted stock options under our 2016 and 2006 Stock Plans to purchase 0.8 million shares of our common stock at exercise prices ranging from $0.77 to $6.83 per share, and issued an aggregate of 0.4 million shares of common stock pursuant to the exercise of stock options with aggregate proceeds of approximately $1.3 million. These issuances were undertaken in reliance upon an exemption from registration under Rule 701 of the Securities Act of 1933.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our audited financial statements and related notes and other financial information included elsewhere in this Annual Report on Form 10-K.</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Forward-looking statements are not guarantees of future performance and are subject to risks and uncertainties that could cause actual results and events to differ from those anticipated.</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provided to supplement the audited financial statements and the related notes in Part II - Item 8 of this Annual Report on Form10-K.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2021 and 2020 has been derived from our audited financial statements included in this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a leading data-driven diagnostic solutions company leveraging state of the art technologies with our proprietary AI platform to discover, develop, and commercialize solutions for clinical unmet needs, with a primary focus in lung disease. By combining a technology multi-omic approach with a holistic view of the patient’s disease state, we believe our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w:t>
      </w:r>
    </w:p>
    <w:p>
      <w:pPr>
        <w:spacing w:after="0" w:line="7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core belief is that no single technology will answer all clinical questions that we encounter. Therefore, we employ multiple technologies, including genomics, transcriptomics, proteomics, and radiomics, and leverage our proprietary AI-based Diagnostic Cortex® platform to discover innovative diagnostic tests for clinical use. The Diagnostic Cortex is an extensively validated deep learning platform optimized for the discovery of diagnostic tests, which we believe overcomes standard machine learning challenges faced in life sciences research. Our data-driven and multi-omic approach is designed to enable us to discover diagnostic tests that answer critical clinical questions faced by physicians, researchers, and biopharmaceutical companies.</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academic partnerships, to continue to advance our platform. We have over 150,000 samples and data in our biobank, including tumor profiles and immune profiles, which are used for both internal and external research and development initiatives.</w:t>
      </w:r>
    </w:p>
    <w:p>
      <w:pPr>
        <w:spacing w:after="0" w:line="8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commercialized eight diagnostic tests which are currently available for use by physicians. Our Nodify XL2 and Nodify CDT tests, marketed as part of the Nodify Lung Nodule Risk Assessment testing strategy, assess the risk of lung cancer to help identify the most appropriate treatment pathway. We believe we are the only company to offer two commercial blood-based tests to help physicians reclassify risk of malignancy in patients with suspicious lung nodules. Our GeneStrat ddPCR, GeneStrat NGS, and VeriStrat tests, marketed as the IQLung testing strategy, are used following diagnosis of lung cancer to measure the presence of mutations in the tumor and the state of the patient’s immune system to establish the patient’s prognosis and help guide treatment decisions. The GeneStrat targeted tumor profiling test and the VeriStrat immune profiling test now have a less than 36-hour average turnaround time, down from the previous 72-hour average turnaround time, providing physicians with timely results to facilitate treatment decisions. In response to the COVID-19 pandemic, through our partnership with Bio-Rad, we commercialized the Biodesix WorkSafe™ testing program.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Then U.S. Health and Human Services Secretary Azar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jc w:val="both"/>
        <w:spacing w:after="0" w:line="252" w:lineRule="auto"/>
        <w:rPr>
          <w:sz w:val="20"/>
          <w:szCs w:val="20"/>
          <w:color w:val="auto"/>
        </w:rPr>
      </w:pPr>
      <w:r>
        <w:rPr>
          <w:rFonts w:ascii="Arial" w:cs="Arial" w:eastAsia="Arial" w:hAnsi="Arial"/>
          <w:sz w:val="17"/>
          <w:szCs w:val="17"/>
          <w:color w:val="auto"/>
        </w:rPr>
        <w:t>declared a public health emergency for COVID-19 in February 2020 which justified the authorization of emergency use of diagnostic tests for the detection and/or diagnosis of COVID-19. The Bio-Rad SARS-CoV-2 ddPCR test and the Platelia SARS-CoV-2 Total Ab test have been granted FDA EUA pursuant to the current emergency declaration.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and we cannot predict how long the EUAs for the SARS-CoV-2 tests will remain in place. In addition to the seven tests currently available to physicians, the Company launched the GeneStrat NGS™ (NGS) test, our 72-hour blood-based NGS test, in November 2021 to a select group of physicians, with broad US launch in the first quarter 2022.</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Prior to using the Bio-Rad SARS-CoV-2 tests as part of our testing program, we performed feasibility, verification, and validation studies, including developing software for process automation, sample accessioning, data management and reporting, all required to demonstrate the test operated as claimed by the manufacturer and as required by our certifying regulatory agencies for high complexity laboratory testing. We secured independent reference specimens run with EUA tests to validate these tests as fit for diagnostic use in our laboratories. Post-launch development support for these tests have included improvements in on-boarding new personnel, logistics of sample collection, sample receipt and data reporting, all required to support our testing program. Additional releases of the laboratory data management software are ongoing and planned for the foreseeable future.</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Beginning in the quarter ended June 30, 2021, we began partnering with GenScript Biotech Corporation to commercialize the blood-based cPass SARS-CoV-2 Neutralizing Antibody testing as a service. The test is the first surrogate neutralizing antibody test with FDA EUA and uses ELISA technology to qualitatively detect circulating neutralizing antibodies to the RBD in the spike protein of SARS-CoV-2 that are produced in response to vaccination or previous SARS-CoV-2 infection.</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These tests under the Biodesix WorkSafe testing program are utilized by healthcare providers, including hospitals and nursing homes, and are also offered to businesses and educational systems to assist in their back-to-work or back-to-school strategies. We have announced multiple partnerships for COVID-19 testing, and maintain an agreement with the State of Colorado to be one of the diagnostic companies to support widespread COVID-19 testing for the State. Additionally, we have overseen and managed onsite testing and validating testing for the Big Ten Conference athletic competitions through the term of our contract which expired on June 30, 2021.</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the eight diagnostic tests currently on the market, we perform over 30 assays for research use as part of our laboratory services that have been used by over 50 biopharmaceutical companies and academic partners. All of our diagnostic testing is performed at one of our two accredited, high-complexity clinical laboratories in Boulder, Colorado and De Soto, Kansas.</w:t>
      </w:r>
    </w:p>
    <w:p>
      <w:pPr>
        <w:spacing w:after="0" w:line="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our inception, we have performed over 500,000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funded our operations to date principally from net proceeds from the sales of our common stock through both an IPO and issuances from our Form S-3 shelf, the sale of convertible preferred stock, revenue from diagnostic testing and services, and the incurrence of indebtedness. We had cash and cash equivalents of $32.7 million and $62.1 million as of December 31,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there are several important factors that have impacted our operating performance and results of operations, including:</w:t>
      </w:r>
    </w:p>
    <w:p>
      <w:pPr>
        <w:spacing w:after="0" w:line="100" w:lineRule="exact"/>
        <w:rPr>
          <w:sz w:val="20"/>
          <w:szCs w:val="20"/>
          <w:color w:val="auto"/>
        </w:rPr>
      </w:pPr>
    </w:p>
    <w:p>
      <w:pPr>
        <w:jc w:val="both"/>
        <w:ind w:left="900" w:hanging="383"/>
        <w:spacing w:after="0" w:line="241"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Testing volume and customer mix. </w:t>
      </w:r>
      <w:r>
        <w:rPr>
          <w:rFonts w:ascii="Arial" w:cs="Arial" w:eastAsia="Arial" w:hAnsi="Arial"/>
          <w:sz w:val="18"/>
          <w:szCs w:val="18"/>
          <w:color w:val="auto"/>
        </w:rPr>
        <w:t>Our revenues and costs are affected by the volume of testing and mix of customers from period to period.</w:t>
      </w:r>
      <w:r>
        <w:rPr>
          <w:rFonts w:ascii="Arial" w:cs="Arial" w:eastAsia="Arial" w:hAnsi="Arial"/>
          <w:sz w:val="18"/>
          <w:szCs w:val="18"/>
          <w:b w:val="1"/>
          <w:bCs w:val="1"/>
          <w:color w:val="auto"/>
        </w:rPr>
        <w:t xml:space="preserve"> </w:t>
      </w:r>
      <w:r>
        <w:rPr>
          <w:rFonts w:ascii="Arial" w:cs="Arial" w:eastAsia="Arial" w:hAnsi="Arial"/>
          <w:sz w:val="18"/>
          <w:szCs w:val="18"/>
          <w:color w:val="auto"/>
        </w:rPr>
        <w:t>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9" w:name="page90"/>
    <w:bookmarkEnd w:id="89"/>
    <w:p>
      <w:pPr>
        <w:jc w:val="both"/>
        <w:ind w:left="900"/>
        <w:spacing w:after="0" w:line="294" w:lineRule="auto"/>
        <w:rPr>
          <w:sz w:val="20"/>
          <w:szCs w:val="20"/>
          <w:color w:val="auto"/>
        </w:rPr>
      </w:pPr>
      <w:r>
        <w:rPr>
          <w:rFonts w:ascii="Arial" w:cs="Arial" w:eastAsia="Arial" w:hAnsi="Arial"/>
          <w:sz w:val="16"/>
          <w:szCs w:val="16"/>
          <w:color w:val="auto"/>
        </w:rPr>
        <w:t>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35" w:lineRule="exact"/>
        <w:rPr>
          <w:sz w:val="20"/>
          <w:szCs w:val="20"/>
          <w:color w:val="auto"/>
        </w:rPr>
      </w:pPr>
    </w:p>
    <w:p>
      <w:pPr>
        <w:jc w:val="both"/>
        <w:ind w:left="900" w:hanging="383"/>
        <w:spacing w:after="0" w:line="264"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Reimbursement for clinical diagnostic testing. </w:t>
      </w:r>
      <w:r>
        <w:rPr>
          <w:rFonts w:ascii="Arial" w:cs="Arial" w:eastAsia="Arial" w:hAnsi="Arial"/>
          <w:sz w:val="17"/>
          <w:szCs w:val="17"/>
          <w:color w:val="auto"/>
        </w:rPr>
        <w:t>Our revenue depends on achieving broad coverage and reimbursement for our tests from</w:t>
      </w:r>
      <w:r>
        <w:rPr>
          <w:rFonts w:ascii="Arial" w:cs="Arial" w:eastAsia="Arial" w:hAnsi="Arial"/>
          <w:sz w:val="17"/>
          <w:szCs w:val="17"/>
          <w:b w:val="1"/>
          <w:bCs w:val="1"/>
          <w:color w:val="auto"/>
        </w:rPr>
        <w:t xml:space="preserve"> </w:t>
      </w:r>
      <w:r>
        <w:rPr>
          <w:rFonts w:ascii="Arial" w:cs="Arial" w:eastAsia="Arial" w:hAnsi="Arial"/>
          <w:sz w:val="17"/>
          <w:szCs w:val="17"/>
          <w:color w:val="auto"/>
        </w:rPr>
        <w:t>third-party payers, including both commercial and government payers.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61" w:lineRule="exact"/>
        <w:rPr>
          <w:rFonts w:ascii="Arial" w:cs="Arial" w:eastAsia="Arial" w:hAnsi="Arial"/>
          <w:sz w:val="17"/>
          <w:szCs w:val="17"/>
          <w:color w:val="auto"/>
        </w:rPr>
      </w:pPr>
    </w:p>
    <w:p>
      <w:pPr>
        <w:jc w:val="both"/>
        <w:ind w:left="900"/>
        <w:spacing w:after="0" w:line="272" w:lineRule="auto"/>
        <w:rPr>
          <w:rFonts w:ascii="Arial" w:cs="Arial" w:eastAsia="Arial" w:hAnsi="Arial"/>
          <w:sz w:val="17"/>
          <w:szCs w:val="17"/>
          <w:color w:val="auto"/>
        </w:rPr>
      </w:pPr>
      <w:r>
        <w:rPr>
          <w:rFonts w:ascii="Arial" w:cs="Arial" w:eastAsia="Arial" w:hAnsi="Arial"/>
          <w:sz w:val="16"/>
          <w:szCs w:val="16"/>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5" w:lineRule="exact"/>
        <w:rPr>
          <w:rFonts w:ascii="Arial" w:cs="Arial" w:eastAsia="Arial" w:hAnsi="Arial"/>
          <w:sz w:val="17"/>
          <w:szCs w:val="17"/>
          <w:color w:val="auto"/>
        </w:rPr>
      </w:pPr>
    </w:p>
    <w:p>
      <w:pPr>
        <w:jc w:val="both"/>
        <w:ind w:left="900" w:hanging="383"/>
        <w:spacing w:after="0" w:line="25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clinical studies and product innovation to support growth. </w:t>
      </w:r>
      <w:r>
        <w:rPr>
          <w:rFonts w:ascii="Arial" w:cs="Arial" w:eastAsia="Arial" w:hAnsi="Arial"/>
          <w:sz w:val="17"/>
          <w:szCs w:val="17"/>
          <w:color w:val="auto"/>
        </w:rPr>
        <w:t>A significant aspect of our business is our investment in research</w:t>
      </w:r>
      <w:r>
        <w:rPr>
          <w:rFonts w:ascii="Arial" w:cs="Arial" w:eastAsia="Arial" w:hAnsi="Arial"/>
          <w:sz w:val="17"/>
          <w:szCs w:val="17"/>
          <w:b w:val="1"/>
          <w:bCs w:val="1"/>
          <w:color w:val="auto"/>
        </w:rPr>
        <w:t xml:space="preserve"> </w:t>
      </w:r>
      <w:r>
        <w:rPr>
          <w:rFonts w:ascii="Arial" w:cs="Arial" w:eastAsia="Arial" w:hAnsi="Arial"/>
          <w:sz w:val="17"/>
          <w:szCs w:val="17"/>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which seeks to enroll up to 5,000 patients to continue our clinical understanding of the predictive and prognostic value of the VeriStrat test.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w:t>
      </w:r>
    </w:p>
    <w:p>
      <w:pPr>
        <w:spacing w:after="0" w:line="69" w:lineRule="exact"/>
        <w:rPr>
          <w:rFonts w:ascii="Arial" w:cs="Arial" w:eastAsia="Arial" w:hAnsi="Arial"/>
          <w:sz w:val="17"/>
          <w:szCs w:val="17"/>
          <w:color w:val="auto"/>
        </w:rPr>
      </w:pPr>
    </w:p>
    <w:p>
      <w:pPr>
        <w:jc w:val="both"/>
        <w:ind w:left="900"/>
        <w:spacing w:after="0" w:line="262" w:lineRule="auto"/>
        <w:rPr>
          <w:rFonts w:ascii="Arial" w:cs="Arial" w:eastAsia="Arial" w:hAnsi="Arial"/>
          <w:sz w:val="17"/>
          <w:szCs w:val="17"/>
          <w:color w:val="auto"/>
        </w:rPr>
      </w:pPr>
      <w:r>
        <w:rPr>
          <w:rFonts w:ascii="Arial" w:cs="Arial" w:eastAsia="Arial" w:hAnsi="Arial"/>
          <w:sz w:val="17"/>
          <w:szCs w:val="17"/>
          <w:color w:val="auto"/>
        </w:rPr>
        <w:t>Our clinical research has resulted in approximately 90 peer-reviewed publications for our tests. In addition to clinical studies, we are collaborating with investigators from multiple academic cancer centers.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60" w:lineRule="exact"/>
        <w:rPr>
          <w:rFonts w:ascii="Arial" w:cs="Arial" w:eastAsia="Arial" w:hAnsi="Arial"/>
          <w:sz w:val="17"/>
          <w:szCs w:val="17"/>
          <w:color w:val="auto"/>
        </w:rPr>
      </w:pPr>
    </w:p>
    <w:p>
      <w:pPr>
        <w:jc w:val="both"/>
        <w:ind w:left="900" w:hanging="383"/>
        <w:spacing w:after="0" w:line="254"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Ability to attract new biopharmaceutical customers and maintain and expand relationships with existing customers</w:t>
      </w:r>
      <w:r>
        <w:rPr>
          <w:rFonts w:ascii="Arial" w:cs="Arial" w:eastAsia="Arial" w:hAnsi="Arial"/>
          <w:sz w:val="17"/>
          <w:szCs w:val="17"/>
          <w:color w:val="auto"/>
        </w:rPr>
        <w:t>. Our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team promotes the broad utility of our products for biopharmaceutical companies in the United 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68" w:lineRule="exact"/>
        <w:rPr>
          <w:rFonts w:ascii="Arial" w:cs="Arial" w:eastAsia="Arial" w:hAnsi="Arial"/>
          <w:sz w:val="17"/>
          <w:szCs w:val="17"/>
          <w:color w:val="auto"/>
        </w:rPr>
      </w:pPr>
    </w:p>
    <w:p>
      <w:pPr>
        <w:jc w:val="both"/>
        <w:ind w:left="900" w:hanging="383"/>
        <w:spacing w:after="0" w:line="25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Motivating and expanding our field sales force and customer support team</w:t>
      </w:r>
      <w:r>
        <w:rPr>
          <w:rFonts w:ascii="Arial" w:cs="Arial" w:eastAsia="Arial" w:hAnsi="Arial"/>
          <w:sz w:val="17"/>
          <w:szCs w:val="17"/>
          <w:color w:val="auto"/>
        </w:rPr>
        <w:t>. Our field sales force is the primary point of contact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setting. These representatives of the company must cover expansive geographic regions which limits their time for interaction and education of our products in the clinical setting. We plan to invest heavily in the field sales force to increase the total number of sales representatives and thereby reduce the geographic footprint each representative must cover. This investment will allow the larger sales force to maximize their education and selling efforts and achieve greater returns. Additionally, we plan to invest in the Boulder-based marketing and customer support teams to continue to provide the field team with the resources to be successful in the field.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While each of these areas present significant opportunities for us, they also pose significant risks and challenges that we must address. See Part II, Item 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“Risk Factors” for more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COVID-19 pandemic has disrupted, and we expect will continue to disrupt, our lung diagnostic testing operations. To protect the health and well-being of our workforce, partners, vendors and customers, we provide voluntary COVID-19 testing for employees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7"/>
          <w:szCs w:val="17"/>
          <w:color w:val="auto"/>
        </w:rPr>
        <w:t>working on-site, implemented social distance and building entry policies at work, restricted travel and facility visits, and followed the States of Colorado and Kansas’ public health orders and the guidance from the CDC. Employees who can perform their duties remotely are asked to work from home and those on site are asked to follow our social distance guidelines. Our sales, marketing and business development efforts have also been constrained by our operational response to the COVID-19 pandemic. We expect to continue to adjust our operational norms to help slow the spread of COVID-19 in the coming months, including complying with government directives and guidelines as they are modified and supplemented.</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September 9, 2021, President Biden signed two new Executive Orders that would require vaccinations for all federal workers and contractors. In addition, it was also announced that the Department of Labor’s Occupational Safety and Health Administration (OSHA) and the CMS would each be releasing emergency rules that would respectively require (i) employers with 100 or more employees and (ii) workers in health care setting that receive Medicare and Medicaid reimbursement to implement vaccination and testing protocols. In January 2022, the United States Supreme Court blocked the Biden administration from enforcing its sweeping vaccine-or-test requirements for large private companies, but allowed a vaccine mandate to stand for medical facilities that take Medicare or Medicaid payments. We are currently a party to several federal contracts and in order to remain compliant with President Biden’s Executive Orders, all Biodesix teammates were required to have received an effective dose of the COVID-19 vaccine no later than January 4, 2022. Exemptions were requested for qualifying medical reasons or sincerely held religious belief, subject to review and approval.</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COVID-19 pandemic and the surge associated with the Delta and Omicron variants have negatively affected, and we expect will continue to negatively affect, our lung diagnostic testing-related revenue and our clinical studies. For example, cancer patients may have more limited access to hospitals, healthcare providers and medical resources as they take steps to control the spread of COVID-19. Our biopharmaceutical customers are facing challenges in recruiting patients and in conducting clinical trials to advance their pipelines, for which our tests could be utilized. As a result of the COVID-19 pandemic, beginning in the latter half of March 2020, we saw a decline in business with existing and new biopharmaceutical customers. We began to see recovery during the fourth quarter 2020 as our delivered tests exceeded first quarter 2020 delivered tests and we expect to continue to see the recovery extending into 2022; however, the rate of growth experienced since we began to see recovery is below our expectations and has been impacted by ongoing surges, such as the surge in the Delta and Omicron variants, which have negatively impacted patients willingness or ability to gain access to healthcare providers and medical resources. Further, our clinical studies, such as our ongoing INSIGHT and ALTITUDE studies, as well as our arrangements including contracted clinical studies with our biopharmaceutical customers, are expected to take longer to complete than what we expected before the outbreak of the COVID-19 pandemic. Our biopharmaceutical services revenue grew by approximately 20% during 2021 as compared to 2020; however, we are continuing to experience delays in clinical trials from across the country and world due to COVID-19 restrictions. We expect further improvement in our biopharmaceutical activities during 2022 as compared to 2021.</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Conversely, we experienced a significant increase in revenues related to an increase in the demand for our Biodesix WorkSafe testing program, our COVID-19 testing program, since the onset of the pandemic. COVID-19 diagnostic services contributed approximately $30.2 million and $28.3 million during fiscal years 2021 and 2020, respectively. The first quarter 2021 was our high-water mark for COVID-19 testing revenue. We experienced a steady decline in subsequent quarters as immunizations in the U.S. accelerated. We do not anticipate the need for COVID testing to be commensurate with the peak demand experienced during the first quarter 2021 and instead expect the demand to moderate as new variants and infection occur. The reduction in demand for COVID-19 diagnostic testing will be a key indicator of continued recovery and is taken as a positive sign for both our Lung Diagnostic and Biopharmaceutical Services as we head into 2022. There is no assurance that our COVID-19 testing program will continue to be accepted by the market or that other diagnostic tests will become more accepted, produce quicker results or are more accurate. Further, the longevity and extent of the COVID-19 pandemic is uncertain. If the pandemic were to dissipate, whether due to a significant decrease in new infections, due to acquiring herd immunity based on previous natural infection, and the availability and rapid distribution of vaccines, the evolution of variant strains that impact diagnostic test performance, or otherwise, the need for COVID-19 testing could decrease significantly and this could have an adverse effect on our results of operations and profitability. As a result, the increase in revenue due to any increase in demand for these diagnostic tests may not be indicative of our future revenue. See Part II., Item 1A. “Risk Factors” for a description of how the COVID-19 pandemic may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2021 Financial and Operational Highlights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generated record revenue in fiscal year 2021 of $54.5 million, representing an increase of 20% as compared to fiscal year 2020. The following were significant developments affecting our business, capital structure and liquidity during the year ended December 31, 2021 as compared to the same period in 2020 unless otherwise noted:</w:t>
      </w:r>
    </w:p>
    <w:p>
      <w:pPr>
        <w:spacing w:after="0" w:line="74" w:lineRule="exact"/>
        <w:rPr>
          <w:sz w:val="20"/>
          <w:szCs w:val="20"/>
          <w:color w:val="auto"/>
        </w:rPr>
      </w:pPr>
    </w:p>
    <w:p>
      <w:pPr>
        <w:ind w:left="620" w:right="20" w:hanging="343"/>
        <w:spacing w:after="0" w:line="261"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Total revenue of $7.2 million and $54.5 million for the fourth quarter and fiscal year 2021, respectively, with continued lung diagnostic year over year growth despite COVID-19 variant surges;</w:t>
      </w:r>
    </w:p>
    <w:p>
      <w:pPr>
        <w:spacing w:after="0" w:line="62" w:lineRule="exact"/>
        <w:rPr>
          <w:rFonts w:ascii="Arial" w:cs="Arial" w:eastAsia="Arial" w:hAnsi="Arial"/>
          <w:sz w:val="18"/>
          <w:szCs w:val="18"/>
          <w:color w:val="auto"/>
        </w:rPr>
      </w:pPr>
    </w:p>
    <w:p>
      <w:pPr>
        <w:ind w:left="620" w:hanging="343"/>
        <w:spacing w:after="0" w:line="261" w:lineRule="auto"/>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Core lung diagnostic revenue of $5.4 million and $18.7 million for the fourth quarter and fiscal year 2021, respectively, an increase of 48% and 49%. Nodify nodule management tests and sales force expansion continue to drive lung diagnostic growth;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1" w:name="page92"/>
    <w:bookmarkEnd w:id="91"/>
    <w:p>
      <w:pPr>
        <w:ind w:left="620" w:hanging="343"/>
        <w:spacing w:after="0" w:line="261"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Biopharmaceutical Services revenue of $1.4 million and $5.6 million for the fourth quarter and fiscal year 2021, respectively, a decrease of 29% and increase 20%;</w:t>
      </w:r>
    </w:p>
    <w:p>
      <w:pPr>
        <w:spacing w:after="0" w:line="62" w:lineRule="exact"/>
        <w:rPr>
          <w:rFonts w:ascii="Arial" w:cs="Arial" w:eastAsia="Arial" w:hAnsi="Arial"/>
          <w:sz w:val="18"/>
          <w:szCs w:val="18"/>
          <w:color w:val="auto"/>
        </w:rPr>
      </w:pPr>
    </w:p>
    <w:p>
      <w:pPr>
        <w:jc w:val="both"/>
        <w:ind w:left="620" w:hanging="343"/>
        <w:spacing w:after="0" w:line="248"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COVID-19 testing revenue of $0.4 million and $30.2 million for the fourth quarter and fiscal year 2021, respectively, a decrease of 98% and increase 7%. The decline over the fourth quarter of 2020 is commensurate with the shift away from lab-based testing and towards point-of-care and at-home rapid antigen testing during much of the back half of 2021;</w:t>
      </w:r>
    </w:p>
    <w:p>
      <w:pPr>
        <w:spacing w:after="0" w:line="73" w:lineRule="exact"/>
        <w:rPr>
          <w:rFonts w:ascii="Arial" w:cs="Arial" w:eastAsia="Arial" w:hAnsi="Arial"/>
          <w:sz w:val="18"/>
          <w:szCs w:val="18"/>
          <w:color w:val="auto"/>
        </w:rPr>
      </w:pPr>
    </w:p>
    <w:p>
      <w:pPr>
        <w:ind w:left="620" w:hanging="343"/>
        <w:spacing w:after="0" w:line="261"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Fourth quarter 2021 gross margin of $4.7 million or 65% as a percentage of revenue as compared to 46% primarily driven by the mix shift of sales to higher-margin core lung diagnostics and away from lower-margin COVID-19 testing;</w:t>
      </w:r>
    </w:p>
    <w:p>
      <w:pPr>
        <w:spacing w:after="0" w:line="62" w:lineRule="exact"/>
        <w:rPr>
          <w:rFonts w:ascii="Arial" w:cs="Arial" w:eastAsia="Arial" w:hAnsi="Arial"/>
          <w:sz w:val="18"/>
          <w:szCs w:val="18"/>
          <w:color w:val="auto"/>
        </w:rPr>
      </w:pPr>
    </w:p>
    <w:p>
      <w:pPr>
        <w:ind w:left="620" w:hanging="343"/>
        <w:spacing w:after="0" w:line="261"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expenses (excluding direct costs and expenses) of $16.4 million and $64.9 million for the fourth quarter and fiscal year 2021, an increase of 9% and 40% as the Company doubled the size of the lung focused direct and dedicated sales force in 2021;</w:t>
      </w:r>
    </w:p>
    <w:p>
      <w:pPr>
        <w:spacing w:after="0" w:line="62" w:lineRule="exact"/>
        <w:rPr>
          <w:rFonts w:ascii="Arial" w:cs="Arial" w:eastAsia="Arial" w:hAnsi="Arial"/>
          <w:sz w:val="18"/>
          <w:szCs w:val="18"/>
          <w:color w:val="auto"/>
        </w:rPr>
      </w:pPr>
    </w:p>
    <w:p>
      <w:pPr>
        <w:ind w:left="620" w:hanging="343"/>
        <w:spacing w:after="0"/>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loss of $13.3 million and $43.2 million for the fourth quarter and fiscal year 2021, respectively, an increase of 193% and 38%;</w:t>
      </w:r>
    </w:p>
    <w:p>
      <w:pPr>
        <w:spacing w:after="0" w:line="103" w:lineRule="exact"/>
        <w:rPr>
          <w:rFonts w:ascii="Arial" w:cs="Arial" w:eastAsia="Arial" w:hAnsi="Arial"/>
          <w:sz w:val="18"/>
          <w:szCs w:val="18"/>
          <w:color w:val="auto"/>
        </w:rPr>
      </w:pPr>
    </w:p>
    <w:p>
      <w:pPr>
        <w:ind w:left="620" w:hanging="343"/>
        <w:spacing w:after="0" w:line="261" w:lineRule="auto"/>
        <w:tabs>
          <w:tab w:leader="none" w:pos="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and cash equivalents of $32.7 million, inclusive of a fourth quarter 2021 equity capital issuance of $15.7 million in net proceeds and the partial prepayment of $20 million of the 2021 Term Loan.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core lung diagnostics testing and (ii) COVID-19 testing.</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Cost of diagnostic testing generally consists of cost of materials, direct labor, including bonus, employee benefits,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2" w:name="page93"/>
    <w:bookmarkEnd w:id="92"/>
    <w:p>
      <w:pPr>
        <w:jc w:val="both"/>
        <w:spacing w:after="0" w:line="261" w:lineRule="auto"/>
        <w:rPr>
          <w:sz w:val="20"/>
          <w:szCs w:val="20"/>
          <w:color w:val="auto"/>
        </w:rPr>
      </w:pPr>
      <w:r>
        <w:rPr>
          <w:rFonts w:ascii="Arial" w:cs="Arial" w:eastAsia="Arial" w:hAnsi="Arial"/>
          <w:sz w:val="18"/>
          <w:szCs w:val="18"/>
          <w:color w:val="auto"/>
        </w:rPr>
        <w:t>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Research and development expenses consist of costs incurred to develop technology and include salaries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Internal expenses include employee-related costs, including salaries and related benefits for employees engaged in research and development functions. We do not track internal costs by product candidate because these costs are deployed across multiple programs and, as such, are not separately classified.</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goods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general and administrative expenses include costs for our executive, accounting, finance, legal and human resources functions. These expenses consist principally of salaries, bonuses, employee benefits,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connection with the purchase transaction of Indi, we recorded contingent consideration pertaining to the amounts potentially payable to Indi shareholder pursuant to the terms of the asset purchase agreement. The fair value of contingent consideration was assessed at each balance sheet date and changes, if any, to the fair value are recognized as operating expenses within the statement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3" w:name="page94"/>
    <w:bookmarkEnd w:id="93"/>
    <w:p>
      <w:pPr>
        <w:jc w:val="both"/>
        <w:spacing w:after="0" w:line="257" w:lineRule="auto"/>
        <w:rPr>
          <w:sz w:val="20"/>
          <w:szCs w:val="20"/>
          <w:color w:val="auto"/>
        </w:rPr>
      </w:pPr>
      <w:r>
        <w:rPr>
          <w:rFonts w:ascii="Arial" w:cs="Arial" w:eastAsia="Arial" w:hAnsi="Arial"/>
          <w:sz w:val="17"/>
          <w:szCs w:val="17"/>
          <w:color w:val="auto"/>
        </w:rPr>
        <w:t>The Company met the gross margin target of $2.0 million for three consecutive months during the three months ended June 30, 2021.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included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Interest Income</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Interest expense consists of cash and non-cash interest from our 2021 Term Loan, the 2018 Notes, Paycheck Protection Program loan, convertible debt and changes in the value of our contingent consideration associated with the passage of time subsequent to the achievement of the contingency in the second quarter 2021. Our convertible debt, along with the related accrued interest, was automatically converted to 1,848,280 shares of our common stock upon completion of our IPO in October 2020. Interest income, which is included in ‘Other income, net’ in the statements of operations consists of income earned on our cash and cash equivalents.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significant components of our results of operations for the periods presented (in thousands, except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gridSpan w:val="5"/>
          </w:tcPr>
          <w:p>
            <w:pPr>
              <w:jc w:val="right"/>
              <w:ind w:right="430"/>
              <w:spacing w:after="0"/>
              <w:rPr>
                <w:sz w:val="20"/>
                <w:szCs w:val="20"/>
                <w:color w:val="auto"/>
              </w:rPr>
            </w:pPr>
            <w:r>
              <w:rPr>
                <w:rFonts w:ascii="Arial" w:cs="Arial" w:eastAsia="Arial" w:hAnsi="Arial"/>
                <w:sz w:val="18"/>
                <w:szCs w:val="18"/>
                <w:b w:val="1"/>
                <w:bCs w:val="1"/>
                <w:color w:val="auto"/>
                <w:w w:val="94"/>
              </w:rPr>
              <w:t>Year Ended December 31,</w:t>
            </w:r>
          </w:p>
        </w:tc>
        <w:tc>
          <w:tcPr>
            <w:tcW w:w="340" w:type="dxa"/>
            <w:vAlign w:val="bottom"/>
          </w:tcPr>
          <w:p>
            <w:pPr>
              <w:spacing w:after="0"/>
              <w:rPr>
                <w:sz w:val="19"/>
                <w:szCs w:val="19"/>
                <w:color w:val="auto"/>
              </w:rPr>
            </w:pPr>
          </w:p>
        </w:tc>
        <w:tc>
          <w:tcPr>
            <w:tcW w:w="1300" w:type="dxa"/>
            <w:vAlign w:val="bottom"/>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196"/>
        </w:trPr>
        <w:tc>
          <w:tcPr>
            <w:tcW w:w="57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54,506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45,557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Direct costs and expenses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30,518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21,998</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39 %</w:t>
            </w: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12,789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10,818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1,971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50,517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34,857</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45 %</w:t>
            </w: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98 %</w:t>
            </w:r>
          </w:p>
        </w:tc>
      </w:tr>
      <w:tr>
        <w:trPr>
          <w:trHeight w:val="196"/>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95,446</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68,491</w:t>
            </w:r>
          </w:p>
        </w:tc>
        <w:tc>
          <w:tcPr>
            <w:tcW w:w="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26,955</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12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(40,940 )</w:t>
            </w:r>
          </w:p>
        </w:tc>
        <w:tc>
          <w:tcPr>
            <w:tcW w:w="260" w:type="dxa"/>
            <w:vAlign w:val="bottom"/>
          </w:tcPr>
          <w:p>
            <w:pPr>
              <w:spacing w:after="0"/>
              <w:rPr>
                <w:sz w:val="17"/>
                <w:szCs w:val="17"/>
                <w:color w:val="auto"/>
              </w:rPr>
            </w:pPr>
          </w:p>
        </w:tc>
        <w:tc>
          <w:tcPr>
            <w:tcW w:w="11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(22,934 )</w:t>
            </w:r>
          </w:p>
        </w:tc>
        <w:tc>
          <w:tcPr>
            <w:tcW w:w="340" w:type="dxa"/>
            <w:vAlign w:val="bottom"/>
          </w:tcPr>
          <w:p>
            <w:pPr>
              <w:spacing w:after="0"/>
              <w:rPr>
                <w:sz w:val="17"/>
                <w:szCs w:val="17"/>
                <w:color w:val="auto"/>
              </w:rPr>
            </w:pPr>
          </w:p>
        </w:tc>
        <w:tc>
          <w:tcPr>
            <w:tcW w:w="10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(18,006 )</w:t>
            </w:r>
          </w:p>
        </w:tc>
        <w:tc>
          <w:tcPr>
            <w:tcW w:w="22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(79 )%</w:t>
            </w: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(expense) income</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(4,508 )</w:t>
            </w:r>
          </w:p>
        </w:tc>
        <w:tc>
          <w:tcPr>
            <w:tcW w:w="260" w:type="dxa"/>
            <w:vAlign w:val="bottom"/>
          </w:tcPr>
          <w:p>
            <w:pPr>
              <w:spacing w:after="0"/>
              <w:rPr>
                <w:sz w:val="17"/>
                <w:szCs w:val="17"/>
                <w:color w:val="auto"/>
              </w:rPr>
            </w:pPr>
          </w:p>
        </w:tc>
        <w:tc>
          <w:tcPr>
            <w:tcW w:w="11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(7,604 )</w:t>
            </w:r>
          </w:p>
        </w:tc>
        <w:tc>
          <w:tcPr>
            <w:tcW w:w="340" w:type="dxa"/>
            <w:vAlign w:val="bottom"/>
          </w:tcPr>
          <w:p>
            <w:pPr>
              <w:spacing w:after="0"/>
              <w:rPr>
                <w:sz w:val="17"/>
                <w:szCs w:val="17"/>
                <w:color w:val="auto"/>
              </w:rPr>
            </w:pPr>
          </w:p>
        </w:tc>
        <w:tc>
          <w:tcPr>
            <w:tcW w:w="10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(3,096 )</w:t>
            </w:r>
          </w:p>
        </w:tc>
        <w:tc>
          <w:tcPr>
            <w:tcW w:w="2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(41 )%</w:t>
            </w:r>
          </w:p>
        </w:tc>
      </w:tr>
      <w:tr>
        <w:trPr>
          <w:trHeight w:val="203"/>
        </w:trPr>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(1,252 )</w:t>
            </w: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1"/>
              <w:spacing w:after="0" w:line="202" w:lineRule="exact"/>
              <w:rPr>
                <w:sz w:val="20"/>
                <w:szCs w:val="20"/>
                <w:color w:val="auto"/>
              </w:rPr>
            </w:pPr>
            <w:r>
              <w:rPr>
                <w:rFonts w:ascii="Arial" w:cs="Arial" w:eastAsia="Arial" w:hAnsi="Arial"/>
                <w:sz w:val="18"/>
                <w:szCs w:val="18"/>
                <w:color w:val="auto"/>
              </w:rPr>
              <w:t>(1,252 )</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Gain on debt extinguishments, net</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2,298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100 %</w:t>
            </w:r>
          </w:p>
        </w:tc>
      </w:tr>
      <w:tr>
        <w:trPr>
          <w:trHeight w:val="203"/>
        </w:trPr>
        <w:tc>
          <w:tcPr>
            <w:tcW w:w="5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(9 )</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102 %</w:t>
            </w:r>
          </w:p>
        </w:tc>
      </w:tr>
      <w:tr>
        <w:trPr>
          <w:trHeight w:val="20"/>
        </w:trPr>
        <w:tc>
          <w:tcPr>
            <w:tcW w:w="57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200" w:type="dxa"/>
            <w:vAlign w:val="bottom"/>
          </w:tcPr>
          <w:p>
            <w:pPr>
              <w:spacing w:after="0"/>
              <w:rPr>
                <w:sz w:val="17"/>
                <w:szCs w:val="17"/>
                <w:color w:val="auto"/>
              </w:rPr>
            </w:pPr>
          </w:p>
        </w:tc>
        <w:tc>
          <w:tcPr>
            <w:tcW w:w="12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(2,219 )</w:t>
            </w:r>
          </w:p>
        </w:tc>
        <w:tc>
          <w:tcPr>
            <w:tcW w:w="260" w:type="dxa"/>
            <w:vAlign w:val="bottom"/>
          </w:tcPr>
          <w:p>
            <w:pPr>
              <w:spacing w:after="0"/>
              <w:rPr>
                <w:sz w:val="17"/>
                <w:szCs w:val="17"/>
                <w:color w:val="auto"/>
              </w:rPr>
            </w:pPr>
          </w:p>
        </w:tc>
        <w:tc>
          <w:tcPr>
            <w:tcW w:w="11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(8,416 )</w:t>
            </w:r>
          </w:p>
        </w:tc>
        <w:tc>
          <w:tcPr>
            <w:tcW w:w="340" w:type="dxa"/>
            <w:vAlign w:val="bottom"/>
          </w:tcPr>
          <w:p>
            <w:pPr>
              <w:spacing w:after="0"/>
              <w:rPr>
                <w:sz w:val="17"/>
                <w:szCs w:val="17"/>
                <w:color w:val="auto"/>
              </w:rPr>
            </w:pPr>
          </w:p>
        </w:tc>
        <w:tc>
          <w:tcPr>
            <w:tcW w:w="10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(6,197 )</w:t>
            </w:r>
          </w:p>
        </w:tc>
        <w:tc>
          <w:tcPr>
            <w:tcW w:w="22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(74 )%</w:t>
            </w:r>
          </w:p>
        </w:tc>
      </w:tr>
      <w:tr>
        <w:trPr>
          <w:trHeight w:val="236"/>
        </w:trPr>
        <w:tc>
          <w:tcPr>
            <w:tcW w:w="5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(43,159</w:t>
            </w:r>
          </w:p>
        </w:tc>
        <w:tc>
          <w:tcPr>
            <w:tcW w:w="220" w:type="dxa"/>
            <w:vAlign w:val="bottom"/>
            <w:tcBorders>
              <w:bottom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(31,350</w:t>
            </w:r>
          </w:p>
        </w:tc>
        <w:tc>
          <w:tcPr>
            <w:tcW w:w="220" w:type="dxa"/>
            <w:vAlign w:val="bottom"/>
            <w:tcBorders>
              <w:bottom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(11,809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-1085215</wp:posOffset>
            </wp:positionV>
            <wp:extent cx="5969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-1085215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-1085215</wp:posOffset>
            </wp:positionV>
            <wp:extent cx="603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-1085215</wp:posOffset>
            </wp:positionV>
            <wp:extent cx="19748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-296545</wp:posOffset>
            </wp:positionV>
            <wp:extent cx="5969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-296545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-296545</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-296545</wp:posOffset>
            </wp:positionV>
            <wp:extent cx="19748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-24765</wp:posOffset>
            </wp:positionV>
            <wp:extent cx="1974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1974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48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generate revenue from our diagnostic tests and services that we provide. Our revenues for the periods indicated were as follows (in thousands, except percentages):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4"/>
              </w:rPr>
              <w:t>Year Ended December 31,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196"/>
        </w:trPr>
        <w:tc>
          <w:tcPr>
            <w:tcW w:w="5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Diagnostic revenue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48,937</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40,919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8,018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Services revenue</w:t>
            </w: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5,569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4,638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20 %</w:t>
            </w:r>
          </w:p>
        </w:tc>
      </w:tr>
      <w:tr>
        <w:trPr>
          <w:trHeight w:val="236"/>
        </w:trPr>
        <w:tc>
          <w:tcPr>
            <w:tcW w:w="5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54,506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45,557</w:t>
            </w: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342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342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43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1714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Total revenue increased $8.9 million or 20% for the year ended December 31, 2021 compared to the year ended December 31, 2020.</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Diagnostic test revenue increased $8.0 million or 20% for the year ended December 31, 2021 compared to the year ended December 31, 2020. The primary driver of the increase in revenue for diagnostic testing was attributable to the success in our targeted strategy of growth in our core lung diagnostic testing. Lung diagnostic revenue grew by $6.1 million or 49% for the year ended December 31, 2021 compared to the same period in 2020 driven primarily from an increase in Nodify XL2 and Nodify CDT tests delivered. We began to see recovery during the fourth quarter 2020 in lung diagnostic testing as our delivered tests exceeded first quarter 2020 delivered tests as healthcare practitioners, including pulmonologists, increasingly returned to pre-pandemic related care. The increase in Diagnostic test revenue was also attributable to the expansion of the sales organization during fiscal year 2021. However, the Company’s sales efforts continued to be impacted by the COVID-19 pandemic and the surge associated with the Delta and Omicron variants which have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negatively affected, and we expect may continue to negatively affect, the growth rate of our lung diagnostic testing-related revenue and our clinical studies.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to lung diagnostic testing revenue, our COVID-19 testing revenue increased by $1.9 million, or 7% from $28.3 million in fiscal year 2020 to $30.2 million in 2021 due primarily to the delivery of our COVID-19 tests that were delivered in the first half of 2021. The first quarter 2021 was our peak for COVID-19 testing revenue but we have experienced a substantial decline in COVID-19 testing revenue subsequently as a result of the expiration of our contract with the Big Ten during the second quarter 2021 and as immunizations in the U.S. accelerated. The longevity and extent of COVID-19 revenue is uncertain and may not be indicative of our future revenue and we expect it to vary based on new variants and rates of infection.</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Services revenue increased $0.9 million or 20% for the year ended December 31, 2021 compared to the year ended December 31, 2020, due primarily to the recovery in testing volumes from clinical studies and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and expenses</w:t>
      </w:r>
    </w:p>
    <w:p>
      <w:pPr>
        <w:spacing w:after="0" w:line="10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Direct costs and expenses related to revenue increased $8.5 million or 39% for the year ended December 31, 2021 compared to the year ended December 31, 2020. The increase in direct costs and expenses is primarily driven by the increase in lung diagnostic tests delivered during the year ended December 31, 2021 compared to the same period in 2020 and an increase in cost per COVID-19 test.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Research and development expenses increased $2.0 million or 18% for the year ended December 31, 2021 compared to the year ended December 31, 2020. The increase in cost was due primarily to increased employee compensation and benefits costs associated with non-cash stock-based compensation as a result of the transition from a private to a public company and increased headcount of our research and development personnel, partially offset by decreased spending on clinical trials.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external and internal costs for the years ended December 31, 2021 and 2020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196"/>
        </w:trPr>
        <w:tc>
          <w:tcPr>
            <w:tcW w:w="5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expenses: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03"/>
        </w:trPr>
        <w:tc>
          <w:tcPr>
            <w:tcW w:w="5660" w:type="dxa"/>
            <w:vAlign w:val="bottom"/>
          </w:tcPr>
          <w:p>
            <w:pPr>
              <w:ind w:left="200"/>
              <w:spacing w:after="0" w:line="202" w:lineRule="exact"/>
              <w:rPr>
                <w:sz w:val="20"/>
                <w:szCs w:val="20"/>
                <w:color w:val="auto"/>
              </w:rPr>
            </w:pPr>
            <w:r>
              <w:rPr>
                <w:rFonts w:ascii="Arial" w:cs="Arial" w:eastAsia="Arial" w:hAnsi="Arial"/>
                <w:sz w:val="18"/>
                <w:szCs w:val="18"/>
                <w:color w:val="auto"/>
              </w:rPr>
              <w:t>Clinical trials and associated costs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2,061</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2,487</w:t>
            </w: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(426 )</w:t>
            </w:r>
          </w:p>
        </w:tc>
        <w:tc>
          <w:tcPr>
            <w:tcW w:w="2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(17 )%</w:t>
            </w:r>
          </w:p>
        </w:tc>
      </w:tr>
      <w:tr>
        <w:trPr>
          <w:trHeight w:val="203"/>
        </w:trPr>
        <w:tc>
          <w:tcPr>
            <w:tcW w:w="56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external costs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35 %</w:t>
            </w:r>
          </w:p>
        </w:tc>
      </w:tr>
      <w:tr>
        <w:trPr>
          <w:trHeight w:val="20"/>
        </w:trPr>
        <w:tc>
          <w:tcPr>
            <w:tcW w:w="56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380"/>
              <w:spacing w:after="0" w:line="196" w:lineRule="exact"/>
              <w:rPr>
                <w:sz w:val="20"/>
                <w:szCs w:val="20"/>
                <w:color w:val="auto"/>
              </w:rPr>
            </w:pPr>
            <w:r>
              <w:rPr>
                <w:rFonts w:ascii="Arial" w:cs="Arial" w:eastAsia="Arial" w:hAnsi="Arial"/>
                <w:sz w:val="18"/>
                <w:szCs w:val="18"/>
                <w:color w:val="auto"/>
              </w:rPr>
              <w:t>Total external costs</w:t>
            </w:r>
          </w:p>
        </w:tc>
        <w:tc>
          <w:tcPr>
            <w:tcW w:w="2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5,871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5,310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11 %</w:t>
            </w:r>
          </w:p>
        </w:tc>
      </w:tr>
      <w:tr>
        <w:trPr>
          <w:trHeight w:val="203"/>
        </w:trPr>
        <w:tc>
          <w:tcPr>
            <w:tcW w:w="5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Internal expenses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26 %</w:t>
            </w:r>
          </w:p>
        </w:tc>
      </w:tr>
      <w:tr>
        <w:trPr>
          <w:trHeight w:val="20"/>
        </w:trPr>
        <w:tc>
          <w:tcPr>
            <w:tcW w:w="56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96"/>
        </w:trPr>
        <w:tc>
          <w:tcPr>
            <w:tcW w:w="566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12,789</w:t>
            </w:r>
          </w:p>
        </w:tc>
        <w:tc>
          <w:tcPr>
            <w:tcW w:w="200" w:type="dxa"/>
            <w:vAlign w:val="bottom"/>
          </w:tcPr>
          <w:p>
            <w:pPr>
              <w:spacing w:after="0"/>
              <w:rPr>
                <w:sz w:val="17"/>
                <w:szCs w:val="17"/>
                <w:color w:val="auto"/>
              </w:rPr>
            </w:pP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10,818</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18 %</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-424815</wp:posOffset>
            </wp:positionV>
            <wp:extent cx="431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-424815</wp:posOffset>
            </wp:positionV>
            <wp:extent cx="431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-424815</wp:posOffset>
            </wp:positionV>
            <wp:extent cx="60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-424815</wp:posOffset>
            </wp:positionV>
            <wp:extent cx="1968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-159385</wp:posOffset>
            </wp:positionV>
            <wp:extent cx="431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-159385</wp:posOffset>
            </wp:positionV>
            <wp:extent cx="431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6032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-159385</wp:posOffset>
            </wp:positionV>
            <wp:extent cx="1968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General and Administrative</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Sales, marketing, general and administrative expenses increased $15.7 million or 45% for the year ended December 31, 2021 compared to the year ended December 31, 2020. This increase was driven primarily by increases in employee compensation and benefits associated with expansion of the Company’s workforce and increased non-cash share-based compensation expense. This increase is also the result of increases in non-employee costs associated with legal and other fees as a result of the transition from a private to a public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Change in fair value of contingent consideration increased $0.8 million or 98% for the year ended December 31, 2021 compared to the year ended December 31, 2020. The increase is a result of the change in fair value to reflect the passage of time, changes in discount rate, as well as estimates regarding the period in which targets that trigger the payment of contingent consideration will be achieved and subsequently paid. The gross margin target was met during the three months ended June 30, 2021.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Interest expense decreased $3.1 million or 41% for the year ended December 31, 2021 compared to the year ended December 31, 2020. This decline was due to a decrease of interest expense related to convertible notes, which were converted to common stock upon the completion of our IPO in October 2020, and a decrease resulting from the refinancing of our term loan, reducing near-term interest costs. Partially offsetting this decline is the increase to contingent consideration recorded as ‘Interest expense’ resulting from the passage of time and fixed payment schedule during the year ended December 31, 2021 of $2.2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the year ended December 31, 2020, we recognized a charge for the change in estimated fair value of our warrant liability related to warrants issued in connection with our Series G preferred stock of $1.3 million. Effective with the closing of our initial public offering in October 2020, the warrants to purchase Series G preferred stock were automatically converted to warrants to acquire common stock and the carrying value of the warrants of $1.6 million were reclassified to additional paid-in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Debt Extinguishment, net</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the year ended December 31, 2021, we recognized a $2.3 million net gain on debt extinguishment. The Company recorded a gain on debt extinguishment of $3.1 million related to the legal release and forgiveness of the Paycheck Protection Program Loan in full. The gain was partially offset by losses on debt extinguishment of $0.7 million and $0.1 million resulting from the repayment and termination of our 2018 secured promissory note with Innovatus and the write-off of debt issuance costs associated with a $20 million prepayment of our 2021 Term Loan,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expense, net for the year ended December 31, 2021 is primarily attributable to a loss on disposal of property and equipment. Other income, net for the year ended December 31, 2020 was primarily attributable to sublease income from two subleases that expired in the second and third quarter of 2020 and a gain on disposal of property and equipment.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an emerging growth company and, as such, have yet to generate positive cash flows from operations. We have funded our operating activities primarily through financing activities, which include both debt and equity offerings. In October 2020, we completed an IPO, resulting in net proceeds of approximately $63.8 million after deducting offering costs, underwriting discounts and commissions.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As a result of the pandemic, the Company diversified its diagnostic testing beyond lung diagnostic testing to include the critical service of COVID-19 diagnostic testing. Beginning in the third quarter 2020, the Company’s COVID-19 testing services began to experience rapid growth with a peak in the first quarter 2021; however, subsequent to this peak, we have experienced a rapid decline in COVID-19 testing revenue primarily as a result of a few significant contracts that have expired as well as the ongoing increase in COVID-19 vaccination rates across the U.S. In addition, the COVID-19 pandemic negatively affected, and we expect may continue to negatively affect, our lung diagnostic testing-related revenue and our clinical studies. We began to see recovery beginning in the fourth quarter 2020 as our core lung diagnostics delivered tests exceeded first quarter 2020 delivered tests and have experienced continued recovery during 2021 as lung diagnostic revenue grew 49% during 2021 as compared to 2020. However, given the continuation of the pandemic through COVID-19 variants, including the associated hospitalization surges and the impact on the medical ecosystem, which include clinical studies and pulmonary practices, the demand for our lung diagnostic testing and biopharmaceutical services has not recovered in line with our expectation from the time of our IPO. While the full outcome of the COVID-19 pandemic is unknown, it continues to negatively impact our ability to grow and scale our business in line with our expectations and disclosures at the time of our IPO. As a result, the items identified above have had an adverse effect on our revenue, results of operations and cash flows.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March 2021, we completed the closing of our 2021 Term Loan for a principal amount of $30 million and extinguished our prior 2018 term loan for $25.9 million. The 2021 Term Loan contains customary affirmative covenants, including covenants regarding compliance with applicable laws and regulation, payment of taxes, insurance coverage, notice of certain events, and reporting requirements. Further, the 2021 Term Loan contains customary negative covenants limiting the ability to, among other things, incur future debt, transfer assets except for the ordinary course of business, make acquisitions, make certain restricted payments, and sell assets, subject to certain exceptions. The 2021 Term Loan requires the Company to comply with a minimum liquidity ratio covenant (as defined in the 2021 Term Loan) of not less than 0.95 to 1.00, and has a trailing six-month rolling revenue requirement of not less than 70% of the Company’s projected revenue performed at the end each reporting period.</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second quarter 2021, the Company determined that it would apply for forgiveness under the SBA’s Loan Forgiveness program, a change from its previous intent to repay. Subsequently, in July 2021 the Company applied for loan forgiveness and on August 17, 2021, the Company received legal release and formal notification that the PPP Loan was forgiven in full. As of and for the three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6" w:name="page97"/>
    <w:bookmarkEnd w:id="96"/>
    <w:p>
      <w:pPr>
        <w:jc w:val="both"/>
        <w:spacing w:after="0" w:line="261" w:lineRule="auto"/>
        <w:rPr>
          <w:sz w:val="20"/>
          <w:szCs w:val="20"/>
          <w:color w:val="auto"/>
        </w:rPr>
      </w:pPr>
      <w:r>
        <w:rPr>
          <w:rFonts w:ascii="Arial" w:cs="Arial" w:eastAsia="Arial" w:hAnsi="Arial"/>
          <w:sz w:val="18"/>
          <w:szCs w:val="18"/>
          <w:color w:val="auto"/>
        </w:rPr>
        <w:t>months ended September 30, 2021, the Company reduced the ‘Current portion of notes payable’ and recorded a gain on extinguishment in the statements of operations for the $3.1 million forgiven.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September 30, 2021, we entered into the Consent and First Amendment to Loan and Security Agreement (the 2021 Term Loan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declines below $40 million.</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by the Company.</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December 31, 2021, we entered into the Consent and Second Amendment to Loan and Security Agreement (Second Amendment) to, among other things, amend our 2021 Term Loan and First Amendment to obtain consent for the $4.6 million January 2022 milestone payment under the Indi APA, repay $20 million in outstanding principal on December 31, 2021, waive the $600,000 prepayment fee on the $20 million Term Loan repayment, and waive the minimum revenue covenant as of December 31, 2021 and modify the minimum revenue requirement to not less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prepay the $20 million in outstanding principal, thereby eliminating the restricted cash collateral account. As of December 31, 2021, the Company was in compliance with all restrictive and financial covenants associated with its borrowings.</w:t>
      </w:r>
    </w:p>
    <w:p>
      <w:pPr>
        <w:spacing w:after="0" w:line="7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As of December 31, 2021, we maintained cash and cash equivalents of $32.7 million and we have $10 million in principal balance remaining on our 2021 Term Loan. We have incurred significant losses since inception and, as a result, we have funded our operations to date primarily through the sale of common stock in our IPO in October 2020,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 Disclosure of Uncertainties about an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Ability to Continue as a Going Concern</w:t>
      </w:r>
      <w:r>
        <w:rPr>
          <w:rFonts w:ascii="Arial" w:cs="Arial" w:eastAsia="Arial" w:hAnsi="Arial"/>
          <w:sz w:val="17"/>
          <w:szCs w:val="17"/>
          <w:color w:val="auto"/>
        </w:rPr>
        <w:t>, the Company is required to evaluate whether there is substantial doubt about its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each reporting period, including interim periods. In evaluating the Company’s ability to continue as a going concern, management projected its cash flow sources and needs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meet our obligations as they come due may be impacted by our ability to remain compliant with financial covenants in our 2021 Term Loan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Based on our current operating plan, unless we raise additional capital (debt or equity) or obtain waiver from complying with such financial covenants, we expect that we will be unable to maintain our financial covenants under our 2021 Term Loan during the next twelve months, which could result in an Event of Default, as defined, causing an acceleration of the outstanding balance. We have taken steps to improve our liquidity through and the actions noted above and have also undertaken several proactive measures to mitigate the financial and operational impacts of COVID-19 through the reduction of planned capital expenditures and certain operating expenses but we do not expect that these actions alone will be sufficient to maintain our financial covenants. In addition, we have entered into negotiations with certain creditors to modify existing terms of arrangements to delay near term cash requirements and extend the period of payments; however, those negotiations are not final at this time and may not result in final agreement. We plan to raise additional funding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nor can there be any assurance that the Company will be a beneficiary of the COVID-19 Action Plan.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revenues, results of operations and cash flows have been materially adversely impacted by the items noted above. We expect to continue to incur significant expenses for the foreseeable future and to incur operating losses in the near term while we make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7" w:name="page98"/>
    <w:bookmarkEnd w:id="97"/>
    <w:p>
      <w:pPr>
        <w:jc w:val="both"/>
        <w:spacing w:after="0" w:line="243" w:lineRule="auto"/>
        <w:rPr>
          <w:sz w:val="20"/>
          <w:szCs w:val="20"/>
          <w:color w:val="auto"/>
        </w:rPr>
      </w:pPr>
      <w:r>
        <w:rPr>
          <w:rFonts w:ascii="Arial" w:cs="Arial" w:eastAsia="Arial" w:hAnsi="Arial"/>
          <w:sz w:val="18"/>
          <w:szCs w:val="18"/>
          <w:color w:val="auto"/>
        </w:rPr>
        <w:t>investments to support our anticipated growth. Our current operating plan, which is in part determined based on our most recent historical actual results and trends, along with the items noted above, raises substantial doubt about the Company’s ability to continue as a going concern. Our audited financial statements have been prepared assuming we will continue as a going concern and do not include any adjustments that might be necessary should we be unable to continue as a going concern.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10"/>
        </w:trPr>
        <w:tc>
          <w:tcPr>
            <w:tcW w:w="7680" w:type="dxa"/>
            <w:vAlign w:val="bottom"/>
          </w:tcPr>
          <w:p>
            <w:pPr>
              <w:spacing w:after="0"/>
              <w:rPr>
                <w:sz w:val="20"/>
                <w:szCs w:val="20"/>
                <w:color w:val="auto"/>
              </w:rPr>
            </w:pPr>
            <w:r>
              <w:rPr>
                <w:rFonts w:ascii="Arial" w:cs="Arial" w:eastAsia="Arial" w:hAnsi="Arial"/>
                <w:sz w:val="18"/>
                <w:szCs w:val="18"/>
                <w:color w:val="auto"/>
              </w:rPr>
              <w:t>The following summarizes our cash flows for the periods indicated (in thousands):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76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flows (used in) provided by:</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104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w w:val="88"/>
              </w:rPr>
              <w:t>(28,223 )</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(21,366 )</w:t>
            </w: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(2,547 )</w:t>
            </w:r>
          </w:p>
        </w:tc>
        <w:tc>
          <w:tcPr>
            <w:tcW w:w="10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(2,927 )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10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1,262</w:t>
            </w:r>
          </w:p>
        </w:tc>
        <w:tc>
          <w:tcPr>
            <w:tcW w:w="2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81,131</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increase in cash and cash equivalents and restricted cash</w:t>
            </w:r>
          </w:p>
        </w:tc>
        <w:tc>
          <w:tcPr>
            <w:tcW w:w="1040" w:type="dxa"/>
            <w:vAlign w:val="bottom"/>
            <w:tcBorders>
              <w:bottom w:val="single" w:sz="8" w:color="auto"/>
            </w:tcBorders>
            <w:shd w:val="clear" w:color="auto" w:fill="CCEEFF"/>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(29,508</w:t>
            </w:r>
          </w:p>
        </w:tc>
        <w:tc>
          <w:tcPr>
            <w:tcW w:w="260" w:type="dxa"/>
            <w:vAlign w:val="bottom"/>
            <w:tcBorders>
              <w:bottom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56,838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cash flows resulted in a net decrease in cash of $29.5 million during the year ended December 31, 2021 compared to a net increase in cash of $56.8 million for the year ended December 31, 2020. For the year ended December 31, 2021, net cash used in operating activities increased by approximately $6.9 million, primarily due to a year-over-year increase in net loss of $11.8 million and decrease in non-cash adjustments to net loss of $4.5 million driven primarily by a decrease in amortization of convertible notes debt discount in 2020 of $4.4 million and an increase in net gain on debt extinguishment in 2021 of $2.3 million. This is partially offset by an increase in stock-based compensation expense of $1.2 million, increase in contingent consideration of $0.8 million, and increase in other non-cash items of $0.2 million. In addition, the Company experienced favorable changes in net working capital of $9.4 million primarily as a result of increased cash collections from customers, partially offset by increased payments to vendors.</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cash used in investing activities during the year ended December 31, 2021 totaled $2.5 million, a decrease of $0.4 million compared to the same period in 2020. The decrease in net cash used in investing activities was primarily due to payments in 2020 to acquire Oncimmune assets that are not present in 2021. This is partially offset by an increase in purchases of property and equipment during 2021 in support of our operations.</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Net cash provided by financing activities during the year ended December 31, 2021 totaled $1.3 million, a decrease of $79.9 million compared to the same period in 2020. The net cash provided by financing activities for the year ended December 31, 2021 primarily resulted from $15.7 million net proceeds from our at-the-money public offering, net proceeds from our 2021 Term Loan of $29.9 million, and proceeds from the issuance of common stock under the ESPP and exercise of stock options of approximately $1.0 million, primarily offset by the repayment of $25.3 million from our 2018 Term Loan and a $20 million prepayment on our 2021 Term Loan. The net cash provided by financing activities for the year ended December 31, 2020 primarily resulted from $72.0 million gross proceeds from our initial public offering, $13.0 million in proceeds from the issuance of convertible notes payable, $1.3 million proceeds from stock option exercises, and $3.1 from proceeds from our paycheck protection program loan, offset by equity financing and other costs associated with our initial public offering of $8.3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non-cancelable contractual obligations and commitments as of December 31, 2021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 xml:space="preserve">Payments due by period </w:t>
            </w:r>
            <w:r>
              <w:rPr>
                <w:rFonts w:ascii="Arial" w:cs="Arial" w:eastAsia="Arial" w:hAnsi="Arial"/>
                <w:sz w:val="24"/>
                <w:szCs w:val="24"/>
                <w:b w:val="1"/>
                <w:bCs w:val="1"/>
                <w:color w:val="auto"/>
                <w:vertAlign w:val="superscript"/>
              </w:rPr>
              <w:t>(1)</w:t>
            </w:r>
          </w:p>
        </w:tc>
        <w:tc>
          <w:tcPr>
            <w:tcW w:w="8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70"/>
              <w:spacing w:after="0" w:line="156"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rPr>
              <w:t>1 to 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89"/>
              </w:rPr>
              <w:t>4 to 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line="156" w:lineRule="exact"/>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years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5"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2"/>
                <w:szCs w:val="22"/>
                <w:color w:val="auto"/>
                <w:vertAlign w:val="superscript"/>
              </w:rPr>
              <w:t>(2)</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Borrowings and interest </w:t>
            </w:r>
            <w:r>
              <w:rPr>
                <w:rFonts w:ascii="Arial" w:cs="Arial" w:eastAsia="Arial" w:hAnsi="Arial"/>
                <w:sz w:val="23"/>
                <w:szCs w:val="23"/>
                <w:color w:val="auto"/>
                <w:vertAlign w:val="superscript"/>
              </w:rPr>
              <w:t>(3)</w:t>
            </w:r>
          </w:p>
        </w:tc>
        <w:tc>
          <w:tcPr>
            <w:tcW w:w="200" w:type="dxa"/>
            <w:vAlign w:val="bottom"/>
          </w:tcPr>
          <w:p>
            <w:pPr>
              <w:spacing w:after="0"/>
              <w:rPr>
                <w:sz w:val="17"/>
                <w:szCs w:val="17"/>
                <w:color w:val="auto"/>
              </w:rPr>
            </w:pPr>
          </w:p>
        </w:tc>
        <w:tc>
          <w:tcPr>
            <w:tcW w:w="9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14,386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8,486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7"/>
                <w:szCs w:val="17"/>
                <w:color w:val="auto"/>
              </w:rPr>
              <w:t xml:space="preserve">Fair value of contingent consideration </w:t>
            </w:r>
            <w:r>
              <w:rPr>
                <w:rFonts w:ascii="Arial" w:cs="Arial" w:eastAsia="Arial" w:hAnsi="Arial"/>
                <w:sz w:val="23"/>
                <w:szCs w:val="23"/>
                <w:color w:val="auto"/>
                <w:vertAlign w:val="superscript"/>
              </w:rPr>
              <w:t>(4)</w:t>
            </w: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37,000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18,500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18,500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16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52,323</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19,807</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24,026</w:t>
            </w:r>
          </w:p>
        </w:tc>
        <w:tc>
          <w:tcPr>
            <w:tcW w:w="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8,490</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ind w:left="7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-159385</wp:posOffset>
            </wp:positionV>
            <wp:extent cx="774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-159385</wp:posOffset>
            </wp:positionV>
            <wp:extent cx="768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-159385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23"/>
          <w:szCs w:val="23"/>
          <w:color w:val="auto"/>
          <w:vertAlign w:val="superscript"/>
        </w:rPr>
      </w:pPr>
      <w:r>
        <w:rPr>
          <w:rFonts w:ascii="Arial" w:cs="Arial" w:eastAsia="Arial" w:hAnsi="Arial"/>
          <w:sz w:val="16"/>
          <w:szCs w:val="16"/>
          <w:color w:val="auto"/>
        </w:rPr>
        <w:t>Royalty payments that we may owe are not included as the amount and timing of such payments is uncertain.</w:t>
      </w:r>
    </w:p>
    <w:p>
      <w:pPr>
        <w:spacing w:after="0" w:line="37" w:lineRule="exact"/>
        <w:rPr>
          <w:rFonts w:ascii="Arial" w:cs="Arial" w:eastAsia="Arial" w:hAnsi="Arial"/>
          <w:sz w:val="23"/>
          <w:szCs w:val="23"/>
          <w:color w:val="auto"/>
          <w:vertAlign w:val="superscript"/>
        </w:rPr>
      </w:pPr>
    </w:p>
    <w:p>
      <w:pPr>
        <w:ind w:left="380" w:hanging="372"/>
        <w:spacing w:after="0" w:line="196" w:lineRule="auto"/>
        <w:tabs>
          <w:tab w:leader="none" w:pos="380" w:val="left"/>
        </w:tabs>
        <w:numPr>
          <w:ilvl w:val="0"/>
          <w:numId w:val="61"/>
        </w:numPr>
        <w:rPr>
          <w:rFonts w:ascii="Arial" w:cs="Arial" w:eastAsia="Arial" w:hAnsi="Arial"/>
          <w:sz w:val="23"/>
          <w:szCs w:val="23"/>
          <w:color w:val="auto"/>
          <w:vertAlign w:val="superscript"/>
        </w:rPr>
      </w:pPr>
      <w:r>
        <w:rPr>
          <w:rFonts w:ascii="Arial" w:cs="Arial" w:eastAsia="Arial" w:hAnsi="Arial"/>
          <w:sz w:val="16"/>
          <w:szCs w:val="16"/>
          <w:color w:val="auto"/>
        </w:rPr>
        <w:t>We are obligated under non-cancellable operating leases for all of our facilities. Lease terms for our facilities range from less than one to three years and generally require us to pay real estate taxes, certain insurance and operating costs.</w:t>
      </w:r>
    </w:p>
    <w:p>
      <w:pPr>
        <w:spacing w:after="0" w:line="1" w:lineRule="exact"/>
        <w:rPr>
          <w:rFonts w:ascii="Arial" w:cs="Arial" w:eastAsia="Arial" w:hAnsi="Arial"/>
          <w:sz w:val="23"/>
          <w:szCs w:val="23"/>
          <w:color w:val="auto"/>
          <w:vertAlign w:val="superscript"/>
        </w:rPr>
      </w:pPr>
    </w:p>
    <w:p>
      <w:pPr>
        <w:ind w:left="380" w:hanging="372"/>
        <w:spacing w:after="0" w:line="197" w:lineRule="auto"/>
        <w:tabs>
          <w:tab w:leader="none" w:pos="380" w:val="left"/>
        </w:tabs>
        <w:numPr>
          <w:ilvl w:val="0"/>
          <w:numId w:val="61"/>
        </w:numPr>
        <w:rPr>
          <w:rFonts w:ascii="Arial" w:cs="Arial" w:eastAsia="Arial" w:hAnsi="Arial"/>
          <w:sz w:val="23"/>
          <w:szCs w:val="23"/>
          <w:color w:val="auto"/>
          <w:vertAlign w:val="superscript"/>
        </w:rPr>
      </w:pPr>
      <w:r>
        <w:rPr>
          <w:rFonts w:ascii="Arial" w:cs="Arial" w:eastAsia="Arial" w:hAnsi="Arial"/>
          <w:sz w:val="17"/>
          <w:szCs w:val="17"/>
          <w:color w:val="auto"/>
        </w:rPr>
        <w:t>Includes the 2021 Term Loan payments of principal, interest and final payment fee of $2.7 million payment due upon loan maturity.</w:t>
      </w:r>
    </w:p>
    <w:p>
      <w:pPr>
        <w:spacing w:after="0" w:line="28" w:lineRule="exact"/>
        <w:rPr>
          <w:rFonts w:ascii="Arial" w:cs="Arial" w:eastAsia="Arial" w:hAnsi="Arial"/>
          <w:sz w:val="23"/>
          <w:szCs w:val="23"/>
          <w:color w:val="auto"/>
          <w:vertAlign w:val="superscript"/>
        </w:rPr>
      </w:pPr>
    </w:p>
    <w:p>
      <w:pPr>
        <w:jc w:val="both"/>
        <w:ind w:left="380" w:hanging="372"/>
        <w:spacing w:after="0" w:line="221" w:lineRule="auto"/>
        <w:tabs>
          <w:tab w:leader="none" w:pos="380" w:val="left"/>
        </w:tabs>
        <w:numPr>
          <w:ilvl w:val="0"/>
          <w:numId w:val="61"/>
        </w:numPr>
        <w:rPr>
          <w:rFonts w:ascii="Arial" w:cs="Arial" w:eastAsia="Arial" w:hAnsi="Arial"/>
          <w:sz w:val="23"/>
          <w:szCs w:val="23"/>
          <w:color w:val="auto"/>
          <w:vertAlign w:val="superscript"/>
        </w:rPr>
      </w:pPr>
      <w:r>
        <w:rPr>
          <w:rFonts w:ascii="Arial" w:cs="Arial" w:eastAsia="Arial" w:hAnsi="Arial"/>
          <w:sz w:val="17"/>
          <w:szCs w:val="17"/>
          <w:color w:val="auto"/>
        </w:rPr>
        <w:t>The gross margin target associated with the purchase transaction of Indi was achieved in the quarter ending June 30, 2021, giving rise to the previously disclosed contingent obligations of $37.0 million in the aggregate payable through the issuance of Company’s shares of common stock subject to a fixed price put option. The Company entered into an amendment in August 2021 to the original agreement in which all parties agreed to forgo the issuance of shares of common stock of the Company that would otherwise be issued to it, and the Company will instead make six quarterly installment payments of $4.6 million beginning in January 2022 and a final payment of approximately $9.3 million in July 2023 for a total of $37.0 million. The aggregate amount of payments owed by the Company under this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8" w:name="page99"/>
    <w:bookmarkEnd w:id="98"/>
    <w:p>
      <w:pPr>
        <w:ind w:left="380"/>
        <w:spacing w:after="0"/>
        <w:rPr>
          <w:sz w:val="20"/>
          <w:szCs w:val="20"/>
          <w:color w:val="auto"/>
        </w:rPr>
      </w:pPr>
      <w:r>
        <w:rPr>
          <w:rFonts w:ascii="Arial" w:cs="Arial" w:eastAsia="Arial" w:hAnsi="Arial"/>
          <w:sz w:val="17"/>
          <w:szCs w:val="17"/>
          <w:color w:val="auto"/>
        </w:rPr>
        <w:t>amendment is the same as if Indi had exercised the put right or the Company had exercised the call right provided for in the original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primarily relate to our fair value estimates, and are described in greater detail in Note 2 to our financial statements in Part 8 of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Diagnostic test revenues are recognized upon completion of our performance obligation to the deliver test results to our customer, either the prescribing physician or third-party to which we contracted for services to be performed. We consider diagnostic testing to be completed upon the delivery of test results to our customer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the historical amount of time until payment by a payer and historical price concessions granted to groups of customers. These estimates require significant judgment by management.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Service revenues are recognized upon completion of our performance obligation to deliver testing results for assay development and testing services.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dramatic swings in our overall net revenue line from quarter to quarter.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and Grant Date Fair Value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Share-based compensation related to stock options granted to our employees, directors and non-employees is measured at the grant date based on the fair value of the award. For our service-based awards, the fair value of each award is recognized as expense on a straight-line basis over the requisite service period, which is generally the vesting period of the respective awards. Compensation expense for share-based awards with performance conditions is recognized based upon the probability the performance conditions will be met as defined in the grant. Restricted stock units are measured at their grant date fair value using the closing price of our common stock on the date of grant and recognized to expense on a straight-line basis over the vesting period of each award. We estimate forfeitures and adjust these estimates to actual forfeitures as they occur.</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use the Black-Scholes option-pricing model to estimate the fair value of our share-based option awards, which requires assumptions to be made related to expected term of an award, expected volatility, the risk-free rate and expected dividend yield. Following the completion of our initial public offering, our Board of Directors has determined the fair value of our common stock is based on our closing price as reported on the date of grant on the primary stock exchange on which our common stock is traded. Changes in these subjective assumptions can materially affect the estimated value of equity grants and the share-based compensation that we record in our financial statements.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Based on our current analysis expect the adoption to result in the recognition of approximately $1.5 million of right of use assets and associated lease liabilities, inclusive of both lease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99" w:name="page100"/>
    <w:bookmarkEnd w:id="99"/>
    <w:p>
      <w:pPr>
        <w:jc w:val="both"/>
        <w:spacing w:after="0" w:line="291" w:lineRule="auto"/>
        <w:rPr>
          <w:sz w:val="20"/>
          <w:szCs w:val="20"/>
          <w:color w:val="auto"/>
        </w:rPr>
      </w:pPr>
      <w:r>
        <w:rPr>
          <w:rFonts w:ascii="Arial" w:cs="Arial" w:eastAsia="Arial" w:hAnsi="Arial"/>
          <w:sz w:val="17"/>
          <w:szCs w:val="17"/>
          <w:color w:val="auto"/>
        </w:rPr>
        <w:t>non-lease components, in our balance sheet and do not expect any material impact to our statement of operations or statement of cash flows. We are implementing new processes and internal controls over lease recognition, which will ultimately assist in the application of the new lease standard.</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xml:space="preserve"> (ASC Topic 326).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exposed to market risk for changes in interest rates related primarily to our cash and cash equivalents, marketable securities and our indebtedness, including our outstanding 2021 Term Loan. As of December 31, 2021, we had $10 million outstanding on the 2021 Term Loan subject to a floating per annum rate equal to the greater of (i) 2.00% above the prime rate, or (ii) 5.25%. Historically, we have not entered into derivative agreements such as interest rate caps and swaps to manage our floating interest rate exposure.</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Periodically throughout the year, we have maintained balances in various operating accounts in excess of federally insured limits. Our cash and cash equivalents are funds held in checking and bank savings accounts, primarily at two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8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2021, a hypothetical 100 basis point increase in interest rates would not have a material impact on our investment portfolio,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and supplementary data are as set forth in the index to the financial statements on page F-1.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as such term is defined in Exchange Act Rules 13a-15(f). Under the supervision and with the participation of our Chief Executive Officer and Chief Financial Officer, we conducted an evaluation of the effectiveness of our internal control over financial reporting as of December 31, 2021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2021, the Company's internal control over financial reporting was effective based on the criteria set forth by COSO.</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rules of the Securities and Exchange Commission for newly public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quarter ended December 31, 2021, there were no changes that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information required by this item with respect to directors is incorporated by reference from the information under the captions "Board and Corporate Governance Matters—Election of Directors" and "—Director Independence" contained in our Proxy Statement to be filed with the Securities and Exchange Commission within 120 days of the fiscal year ended December 31, 2021 in connection with the solicitation of proxies for our 2022 Annual Meeting of Stockholders (the Proxy Statement). Certain information required by this item concerning executive officers is set forth in the Proxy Statement under the caption "Executive Compensation—Executive Officers" and is incorporated herein by reference.</w:t>
      </w:r>
    </w:p>
    <w:p>
      <w:pPr>
        <w:spacing w:after="0" w:line="66"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"Stock Ownership—Delinquent Section 16(a) Reports" in the Proxy Statement and is incorporated herein by reference.</w:t>
      </w:r>
    </w:p>
    <w:p>
      <w:pPr>
        <w:spacing w:after="0" w:line="7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2970 Wilderness Place, Suite 100, Boulder, Colorado 80301.</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Board of Directors has appointed an Audit Committee, comprised of Ms. Jean Franchi, as Chairwoman, Mr. Hany Massarany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under "Executive Compensation" contained in the Proxy Statement and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"Stock Ownership—Security Ownership of Certain Beneficial Owners and Management" and "Executive Compensation—Equity Compensation Plan Information" contained in the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"Board and Corporate Governance Matters— Certain Relationships and Related Party Transactions" and "—Director Independence" contained in the Proxy Statement and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"Audit Matters—Principal Accountant Fees and Services" contained in the Proxy Statement and is incorporated herein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760" w:right="7580" w:hanging="752"/>
        <w:spacing w:after="0" w:line="387" w:lineRule="auto"/>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Documents filed as a part of the report. 1. Financial Statements</w:t>
      </w:r>
    </w:p>
    <w:p>
      <w:pPr>
        <w:spacing w:after="0" w:line="264" w:lineRule="exact"/>
        <w:rPr>
          <w:sz w:val="20"/>
          <w:szCs w:val="20"/>
          <w:color w:val="auto"/>
        </w:rPr>
      </w:pPr>
    </w:p>
    <w:p>
      <w:pPr>
        <w:ind w:left="1140" w:hanging="383"/>
        <w:spacing w:after="0"/>
        <w:tabs>
          <w:tab w:leader="none" w:pos="1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4" w:lineRule="exact"/>
        <w:rPr>
          <w:sz w:val="20"/>
          <w:szCs w:val="20"/>
          <w:color w:val="auto"/>
        </w:rPr>
      </w:pPr>
    </w:p>
    <w:p>
      <w:pPr>
        <w:ind w:left="760"/>
        <w:spacing w:after="0" w:line="261"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3.   See Item 15(b) below. Each management contract or compensating plan or arrangement required to be filed has been identified.</w:t>
      </w:r>
    </w:p>
    <w:p>
      <w:pPr>
        <w:spacing w:after="0" w:line="115" w:lineRule="exact"/>
        <w:rPr>
          <w:sz w:val="20"/>
          <w:szCs w:val="20"/>
          <w:color w:val="auto"/>
        </w:rPr>
      </w:pPr>
    </w:p>
    <w:p>
      <w:pPr>
        <w:ind w:left="760" w:hanging="752"/>
        <w:spacing w:after="0"/>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20" w:type="dxa"/>
            <w:vAlign w:val="bottom"/>
            <w:gridSpan w:val="32"/>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7"/>
        </w:trPr>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gridSpan w:val="32"/>
            <w:vMerge w:val="restart"/>
          </w:tcPr>
          <w:p>
            <w:pPr>
              <w:ind w:left="9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3"/>
        </w:trPr>
        <w:tc>
          <w:tcPr>
            <w:tcW w:w="96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4"/>
              </w:rPr>
            </w:pPr>
            <w:hyperlink r:id="rId167">
              <w:r>
                <w:rPr>
                  <w:rFonts w:ascii="Arial" w:cs="Arial" w:eastAsia="Arial" w:hAnsi="Arial"/>
                  <w:sz w:val="18"/>
                  <w:szCs w:val="18"/>
                  <w:color w:val="0000FF"/>
                  <w:w w:val="94"/>
                </w:rPr>
                <w:t>Amended and Restated Certificate of Incorporation of Biodesix, Inc., dated October 30, 2020 (incorporated by reference to Exhibit 3.1</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to the Company’s Quarterly Report on Form 10-Q filed with the SEC on December 10,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Amended and Restated Bylaws of Biodesix, Inc. (incorporated by reference to Exhibit 3.2 to the Company’s Quarterly Report on Form</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10-Q filed with the SEC on October 12,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rPr>
            </w:pPr>
            <w:hyperlink r:id="rId169">
              <w:r>
                <w:rPr>
                  <w:rFonts w:ascii="Arial" w:cs="Arial" w:eastAsia="Arial" w:hAnsi="Arial"/>
                  <w:sz w:val="18"/>
                  <w:szCs w:val="18"/>
                  <w:color w:val="0000FF"/>
                </w:rPr>
                <w:t>Specimen stock certificate evidencing shares of Common Stock (incorporated by reference to Exhibit 4.1 to the Company’s</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69">
              <w:r>
                <w:rPr>
                  <w:rFonts w:ascii="Arial" w:cs="Arial" w:eastAsia="Arial" w:hAnsi="Arial"/>
                  <w:sz w:val="18"/>
                  <w:szCs w:val="18"/>
                  <w:color w:val="0000FF"/>
                  <w:w w:val="91"/>
                </w:rPr>
                <w:t>Registration Statement on Form S-1/A filed with the SEC on October 21, 2020).</w:t>
              </w:r>
            </w:hyperlink>
          </w:p>
        </w:tc>
        <w:tc>
          <w:tcPr>
            <w:tcW w:w="42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Eleventh Amended and Restated Investor Rights Agreement, by and among Biodesix, Inc. and the investors listed on Exhibit A</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170">
              <w:r>
                <w:rPr>
                  <w:rFonts w:ascii="Arial" w:cs="Arial" w:eastAsia="Arial" w:hAnsi="Arial"/>
                  <w:sz w:val="18"/>
                  <w:szCs w:val="18"/>
                  <w:color w:val="0000FF"/>
                  <w:w w:val="93"/>
                </w:rPr>
                <w:t>thereto, dated October 10, 2018 (incorporated by reference to Exhibit 4.2 to the Company’s Registration Statement on Form S-1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Borders>
              <w:bottom w:val="single" w:sz="8" w:color="0000FF"/>
            </w:tcBorders>
            <w:gridSpan w:val="20"/>
          </w:tcPr>
          <w:p>
            <w:pPr>
              <w:spacing w:after="0"/>
              <w:rPr>
                <w:rFonts w:ascii="Arial" w:cs="Arial" w:eastAsia="Arial" w:hAnsi="Arial"/>
                <w:sz w:val="18"/>
                <w:szCs w:val="18"/>
                <w:color w:val="0000FF"/>
                <w:w w:val="97"/>
              </w:rPr>
            </w:pPr>
            <w:hyperlink r:id="rId171">
              <w:r>
                <w:rPr>
                  <w:rFonts w:ascii="Arial" w:cs="Arial" w:eastAsia="Arial" w:hAnsi="Arial"/>
                  <w:sz w:val="18"/>
                  <w:szCs w:val="18"/>
                  <w:color w:val="0000FF"/>
                  <w:w w:val="97"/>
                </w:rPr>
                <w:t>Warrant held by Innovatus Life Sciences Lending Fund I, LP, to Purchase Series G Preferred Stock, dated February 23, 3018</w:t>
              </w:r>
            </w:hyperlink>
          </w:p>
        </w:tc>
        <w:tc>
          <w:tcPr>
            <w:tcW w:w="20" w:type="dxa"/>
            <w:vAlign w:val="bottom"/>
            <w:tcBorders>
              <w:bottom w:val="single" w:sz="8" w:color="0000EE"/>
            </w:tcBorders>
          </w:tcPr>
          <w:p>
            <w:pPr>
              <w:spacing w:after="0"/>
              <w:rPr>
                <w:sz w:val="24"/>
                <w:szCs w:val="24"/>
                <w:color w:val="auto"/>
              </w:rPr>
            </w:pPr>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80" w:type="dxa"/>
            <w:vAlign w:val="bottom"/>
            <w:tcBorders>
              <w:bottom w:val="single" w:sz="8" w:color="0000FF"/>
            </w:tcBorders>
            <w:gridSpan w:val="21"/>
          </w:tcPr>
          <w:p>
            <w:pPr>
              <w:spacing w:after="0" w:line="156" w:lineRule="exact"/>
              <w:rPr>
                <w:rFonts w:ascii="Arial" w:cs="Arial" w:eastAsia="Arial" w:hAnsi="Arial"/>
                <w:sz w:val="18"/>
                <w:szCs w:val="18"/>
                <w:color w:val="0000FF"/>
                <w:w w:val="95"/>
              </w:rPr>
            </w:pPr>
            <w:hyperlink r:id="rId171">
              <w:r>
                <w:rPr>
                  <w:rFonts w:ascii="Arial" w:cs="Arial" w:eastAsia="Arial" w:hAnsi="Arial"/>
                  <w:sz w:val="18"/>
                  <w:szCs w:val="18"/>
                  <w:color w:val="0000FF"/>
                  <w:w w:val="95"/>
                </w:rPr>
                <w:t>(incorporated by reference to Exhibit 4.3 to the Company’s Registration Statement on Form S-1 filed with the SEC on October 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2020).</w:t>
              </w:r>
            </w:hyperlink>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20" w:type="dxa"/>
            <w:vAlign w:val="bottom"/>
            <w:tcBorders>
              <w:bottom w:val="single" w:sz="8" w:color="0000FF"/>
            </w:tcBorders>
            <w:gridSpan w:val="15"/>
          </w:tcPr>
          <w:p>
            <w:pPr>
              <w:spacing w:after="0"/>
              <w:rPr>
                <w:rFonts w:ascii="Arial" w:cs="Arial" w:eastAsia="Arial" w:hAnsi="Arial"/>
                <w:sz w:val="18"/>
                <w:szCs w:val="18"/>
                <w:color w:val="0000FF"/>
                <w:w w:val="91"/>
              </w:rPr>
            </w:pPr>
            <w:hyperlink r:id="rId172">
              <w:r>
                <w:rPr>
                  <w:rFonts w:ascii="Arial" w:cs="Arial" w:eastAsia="Arial" w:hAnsi="Arial"/>
                  <w:sz w:val="18"/>
                  <w:szCs w:val="18"/>
                  <w:color w:val="0000FF"/>
                  <w:w w:val="91"/>
                </w:rPr>
                <w:t>Secured Promissory Note held by Innovatus Life Sciences Lending Fund I, LP, in Biodesix, Inc., dated February 23, 2018</w:t>
              </w:r>
            </w:hyperlink>
          </w:p>
        </w:tc>
        <w:tc>
          <w:tcPr>
            <w:tcW w:w="12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gridSpan w:val="36"/>
          </w:tcPr>
          <w:p>
            <w:pPr>
              <w:spacing w:after="0" w:line="156" w:lineRule="exact"/>
              <w:rPr>
                <w:rFonts w:ascii="Arial" w:cs="Arial" w:eastAsia="Arial" w:hAnsi="Arial"/>
                <w:sz w:val="18"/>
                <w:szCs w:val="18"/>
                <w:color w:val="0000FF"/>
                <w:w w:val="98"/>
              </w:rPr>
            </w:pPr>
            <w:hyperlink r:id="rId172">
              <w:r>
                <w:rPr>
                  <w:rFonts w:ascii="Arial" w:cs="Arial" w:eastAsia="Arial" w:hAnsi="Arial"/>
                  <w:sz w:val="18"/>
                  <w:szCs w:val="18"/>
                  <w:color w:val="0000FF"/>
                  <w:w w:val="98"/>
                </w:rPr>
                <w:t>(incorporated by reference to Exhibit 4.4 to the Company’s Registration Statement on Form S-1 filed with the SEC on October 2,</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172">
              <w:r>
                <w:rPr>
                  <w:rFonts w:ascii="Arial" w:cs="Arial" w:eastAsia="Arial" w:hAnsi="Arial"/>
                  <w:sz w:val="18"/>
                  <w:szCs w:val="18"/>
                  <w:color w:val="0000FF"/>
                  <w:w w:val="90"/>
                </w:rPr>
                <w:t>2020).</w:t>
              </w:r>
            </w:hyperlink>
          </w:p>
        </w:tc>
        <w:tc>
          <w:tcPr>
            <w:tcW w:w="20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6"/>
              </w:rPr>
            </w:pPr>
            <w:hyperlink r:id="rId173">
              <w:r>
                <w:rPr>
                  <w:rFonts w:ascii="Arial" w:cs="Arial" w:eastAsia="Arial" w:hAnsi="Arial"/>
                  <w:sz w:val="18"/>
                  <w:szCs w:val="18"/>
                  <w:color w:val="0000FF"/>
                  <w:w w:val="96"/>
                </w:rPr>
                <w:t>Description of Securities Registered Under Section 12 of the Securities Exchange Act of 1934 (incorporated by reference to Exhibit</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4.</w:t>
              </w:r>
              <w:r>
                <w:rPr>
                  <w:rFonts w:ascii="Arial" w:cs="Arial" w:eastAsia="Arial" w:hAnsi="Arial"/>
                  <w:sz w:val="18"/>
                  <w:szCs w:val="18"/>
                  <w:u w:val="single" w:color="auto"/>
                  <w:color w:val="0000FF"/>
                  <w:w w:val="91"/>
                </w:rPr>
                <w:t>5</w:t>
              </w:r>
              <w:r>
                <w:rPr>
                  <w:rFonts w:ascii="Arial" w:cs="Arial" w:eastAsia="Arial" w:hAnsi="Arial"/>
                  <w:sz w:val="18"/>
                  <w:szCs w:val="18"/>
                  <w:color w:val="0000FF"/>
                  <w:w w:val="91"/>
                </w:rPr>
                <w:t xml:space="preserve"> to the Company's Form 10-K filed with the SEC on March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6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8"/>
              </w:rPr>
            </w:pPr>
            <w:hyperlink r:id="rId174">
              <w:r>
                <w:rPr>
                  <w:rFonts w:ascii="Arial" w:cs="Arial" w:eastAsia="Arial" w:hAnsi="Arial"/>
                  <w:sz w:val="18"/>
                  <w:szCs w:val="18"/>
                  <w:color w:val="0000FF"/>
                  <w:w w:val="98"/>
                </w:rPr>
                <w:t>Biodesix, Inc. Amended and Restated 2006 Employee, Director and Consultant Stock Plan, as amended to date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reference to Exhibit 10.1 to the Company’s Registration Statement on Form S-1/A filed with the SEC on October 9, 2020).</w:t>
              </w:r>
            </w:hyperlink>
          </w:p>
        </w:tc>
        <w:tc>
          <w:tcPr>
            <w:tcW w:w="11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40" w:type="dxa"/>
            <w:vAlign w:val="bottom"/>
            <w:tcBorders>
              <w:bottom w:val="single" w:sz="8" w:color="0000FF"/>
            </w:tcBorders>
            <w:gridSpan w:val="24"/>
          </w:tcPr>
          <w:p>
            <w:pPr>
              <w:spacing w:after="0"/>
              <w:rPr>
                <w:rFonts w:ascii="Arial" w:cs="Arial" w:eastAsia="Arial" w:hAnsi="Arial"/>
                <w:sz w:val="18"/>
                <w:szCs w:val="18"/>
                <w:color w:val="0000FF"/>
              </w:rPr>
            </w:pPr>
            <w:hyperlink r:id="rId175">
              <w:r>
                <w:rPr>
                  <w:rFonts w:ascii="Arial" w:cs="Arial" w:eastAsia="Arial" w:hAnsi="Arial"/>
                  <w:sz w:val="18"/>
                  <w:szCs w:val="18"/>
                  <w:color w:val="0000FF"/>
                </w:rPr>
                <w:t>Form of Stock Option Grant Notice under the Amended and Restated 2006 Employee, Director and Consultant Stock Plan</w:t>
              </w:r>
            </w:hyperlink>
          </w:p>
        </w:tc>
        <w:tc>
          <w:tcPr>
            <w:tcW w:w="20" w:type="dxa"/>
            <w:vAlign w:val="bottom"/>
            <w:tcBorders>
              <w:bottom w:val="single" w:sz="8" w:color="0000EE"/>
            </w:tcBorders>
          </w:tcPr>
          <w:p>
            <w:pPr>
              <w:spacing w:after="0"/>
              <w:rPr>
                <w:sz w:val="24"/>
                <w:szCs w:val="24"/>
                <w:color w:val="auto"/>
              </w:rPr>
            </w:pPr>
          </w:p>
        </w:tc>
        <w:tc>
          <w:tcPr>
            <w:tcW w:w="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60" w:type="dxa"/>
            <w:vAlign w:val="bottom"/>
            <w:tcBorders>
              <w:bottom w:val="single" w:sz="8" w:color="0000FF"/>
            </w:tcBorders>
            <w:gridSpan w:val="25"/>
          </w:tcPr>
          <w:p>
            <w:pPr>
              <w:spacing w:after="0" w:line="156"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(incorporated by reference to Exhibit 10.2.1 to the Company’s Registration Statement on Form S-1/A filed with the SEC on October 9,</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480" w:type="dxa"/>
            <w:vAlign w:val="bottom"/>
            <w:tcBorders>
              <w:bottom w:val="single" w:sz="8" w:color="0000FF"/>
            </w:tcBorders>
          </w:tcPr>
          <w:p>
            <w:pPr>
              <w:spacing w:after="0" w:line="156" w:lineRule="exact"/>
              <w:rPr>
                <w:rFonts w:ascii="Arial" w:cs="Arial" w:eastAsia="Arial" w:hAnsi="Arial"/>
                <w:sz w:val="18"/>
                <w:szCs w:val="18"/>
                <w:color w:val="0000FF"/>
                <w:w w:val="90"/>
              </w:rPr>
            </w:pPr>
            <w:hyperlink r:id="rId175">
              <w:r>
                <w:rPr>
                  <w:rFonts w:ascii="Arial" w:cs="Arial" w:eastAsia="Arial" w:hAnsi="Arial"/>
                  <w:sz w:val="18"/>
                  <w:szCs w:val="18"/>
                  <w:color w:val="0000FF"/>
                  <w:w w:val="90"/>
                </w:rPr>
                <w:t>2020).</w:t>
              </w:r>
            </w:hyperlink>
          </w:p>
        </w:tc>
        <w:tc>
          <w:tcPr>
            <w:tcW w:w="2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100"/>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6"/>
              </w:rPr>
            </w:pPr>
            <w:hyperlink r:id="rId176">
              <w:r>
                <w:rPr>
                  <w:rFonts w:ascii="Arial" w:cs="Arial" w:eastAsia="Arial" w:hAnsi="Arial"/>
                  <w:sz w:val="18"/>
                  <w:szCs w:val="18"/>
                  <w:color w:val="0000FF"/>
                  <w:w w:val="96"/>
                </w:rPr>
                <w:t>Form of Option Agreement under the Amended and Restated 2006 Employee, Director and Consultant Stock Plan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reference to Exhibit 10.2.2 to the Company’s Registration Statement on Form S-1/A filed with the SEC on October 9,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6"/>
              </w:rPr>
            </w:pPr>
            <w:hyperlink r:id="rId177">
              <w:r>
                <w:rPr>
                  <w:rFonts w:ascii="Arial" w:cs="Arial" w:eastAsia="Arial" w:hAnsi="Arial"/>
                  <w:sz w:val="18"/>
                  <w:szCs w:val="18"/>
                  <w:color w:val="0000FF"/>
                  <w:w w:val="96"/>
                </w:rPr>
                <w:t>Form of Notice of Exercise under the Amended and Restated 2006 Employee, Director and Consultant Stock Plan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740" w:type="dxa"/>
            <w:vAlign w:val="bottom"/>
            <w:tcBorders>
              <w:top w:val="single" w:sz="8" w:color="0000FF"/>
            </w:tcBorders>
            <w:gridSpan w:val="19"/>
          </w:tcPr>
          <w:p>
            <w:pPr>
              <w:spacing w:after="0" w:line="156" w:lineRule="exact"/>
              <w:rPr>
                <w:rFonts w:ascii="Arial" w:cs="Arial" w:eastAsia="Arial" w:hAnsi="Arial"/>
                <w:sz w:val="18"/>
                <w:szCs w:val="18"/>
                <w:color w:val="0000FF"/>
                <w:w w:val="98"/>
              </w:rPr>
            </w:pPr>
            <w:hyperlink r:id="rId177">
              <w:r>
                <w:rPr>
                  <w:rFonts w:ascii="Arial" w:cs="Arial" w:eastAsia="Arial" w:hAnsi="Arial"/>
                  <w:sz w:val="18"/>
                  <w:szCs w:val="18"/>
                  <w:color w:val="0000FF"/>
                  <w:w w:val="98"/>
                </w:rPr>
                <w:t>reference to Exhibit 10.2.3 to the Company’s Registration Statement on Form S-1/A filed with the SEC on October 9, 2020).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rPr>
            </w:pPr>
            <w:hyperlink r:id="rId178">
              <w:r>
                <w:rPr>
                  <w:rFonts w:ascii="Arial" w:cs="Arial" w:eastAsia="Arial" w:hAnsi="Arial"/>
                  <w:sz w:val="18"/>
                  <w:szCs w:val="18"/>
                  <w:color w:val="0000FF"/>
                </w:rPr>
                <w:t>Biodesix, Inc. 2016 Equity Incentive Plan, as amended to date (incorporated by reference to Exhibit 10.3 to the Company’s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Registration Statement on Form S-1 filed 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rPr>
            </w:pPr>
            <w:hyperlink r:id="rId179">
              <w:r>
                <w:rPr>
                  <w:rFonts w:ascii="Arial" w:cs="Arial" w:eastAsia="Arial" w:hAnsi="Arial"/>
                  <w:sz w:val="18"/>
                  <w:szCs w:val="18"/>
                  <w:color w:val="0000FF"/>
                </w:rPr>
                <w:t>Form of Stock Option Grant Notice under the 2016 Equity Incentive Plan (incorporated by reference to Exhibit 10.4.1 to the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Company’s Registration Statement on Form S-1/A filed with the SEC on October 9, 2020).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260" w:type="dxa"/>
            <w:vAlign w:val="bottom"/>
            <w:tcBorders>
              <w:right w:val="single" w:sz="8" w:color="0000FF"/>
            </w:tcBorders>
            <w:gridSpan w:val="4"/>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9"/>
              </w:rPr>
            </w:pPr>
            <w:hyperlink r:id="rId180">
              <w:r>
                <w:rPr>
                  <w:rFonts w:ascii="Arial" w:cs="Arial" w:eastAsia="Arial" w:hAnsi="Arial"/>
                  <w:sz w:val="18"/>
                  <w:szCs w:val="18"/>
                  <w:color w:val="0000FF"/>
                  <w:w w:val="99"/>
                </w:rPr>
                <w:t>Form of Option Agreement under the 2016 Equity Incentive Plan (incorporated by reference to Exhibit 10.4.2 to the Company’s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80">
              <w:r>
                <w:rPr>
                  <w:rFonts w:ascii="Arial" w:cs="Arial" w:eastAsia="Arial" w:hAnsi="Arial"/>
                  <w:sz w:val="18"/>
                  <w:szCs w:val="18"/>
                  <w:color w:val="0000FF"/>
                </w:rPr>
                <w:t>Registration Statement on Form S-1/A filed with the SEC on October 9, 2020).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9"/>
              </w:rPr>
            </w:pPr>
            <w:hyperlink r:id="rId181">
              <w:r>
                <w:rPr>
                  <w:rFonts w:ascii="Arial" w:cs="Arial" w:eastAsia="Arial" w:hAnsi="Arial"/>
                  <w:sz w:val="18"/>
                  <w:szCs w:val="18"/>
                  <w:color w:val="0000FF"/>
                  <w:w w:val="99"/>
                </w:rPr>
                <w:t>Form of Notice of Exercise under the 2016 Equity Incentive Plan (incorporated by reference to Exhibit 10.4.3 to the Company’s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81">
              <w:r>
                <w:rPr>
                  <w:rFonts w:ascii="Arial" w:cs="Arial" w:eastAsia="Arial" w:hAnsi="Arial"/>
                  <w:sz w:val="18"/>
                  <w:szCs w:val="18"/>
                  <w:color w:val="0000FF"/>
                </w:rPr>
                <w:t>Registration Statement on Form S-1/A filed with the SEC on October 9, 2020).</w:t>
              </w:r>
            </w:hyperlink>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FF"/>
            </w:tcBorders>
            <w:gridSpan w:val="4"/>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4"/>
              </w:rPr>
            </w:pPr>
            <w:hyperlink r:id="rId182">
              <w:r>
                <w:rPr>
                  <w:rFonts w:ascii="Arial" w:cs="Arial" w:eastAsia="Arial" w:hAnsi="Arial"/>
                  <w:sz w:val="18"/>
                  <w:szCs w:val="18"/>
                  <w:color w:val="0000FF"/>
                  <w:w w:val="94"/>
                </w:rPr>
                <w:t>Biodesix, Inc. 2020 Equity Incentive Plan (incorporated by reference to Exhibit 10.5 to the Company’s Registration Statement on Form</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S-1/A filed with the SEC on October 26, 2020).</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tcBorders>
              <w:right w:val="single" w:sz="8" w:color="0000EE"/>
            </w:tcBorders>
            <w:gridSpan w:val="4"/>
            <w:shd w:val="clear" w:color="auto" w:fill="0000FF"/>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4"/>
              </w:rPr>
            </w:pPr>
            <w:hyperlink r:id="rId183">
              <w:r>
                <w:rPr>
                  <w:rFonts w:ascii="Arial" w:cs="Arial" w:eastAsia="Arial" w:hAnsi="Arial"/>
                  <w:sz w:val="18"/>
                  <w:szCs w:val="18"/>
                  <w:color w:val="0000FF"/>
                  <w:w w:val="94"/>
                </w:rPr>
                <w:t>Forms of Stock Option Grant Notice, Option Agreement and Notice of Exercise under the 2020 Equity Incentive Plan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reference to Exhibit 10.5.1 to the Company's Form 10-K filed with the SEC on March 16,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0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960" w:type="dxa"/>
            <w:vAlign w:val="bottom"/>
          </w:tcPr>
          <w:p>
            <w:pPr>
              <w:ind w:left="10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80" w:type="dxa"/>
            <w:vAlign w:val="bottom"/>
            <w:gridSpan w:val="36"/>
          </w:tcPr>
          <w:p>
            <w:pPr>
              <w:spacing w:after="0"/>
              <w:rPr>
                <w:rFonts w:ascii="Arial" w:cs="Arial" w:eastAsia="Arial" w:hAnsi="Arial"/>
                <w:sz w:val="18"/>
                <w:szCs w:val="18"/>
                <w:color w:val="0000FF"/>
                <w:w w:val="98"/>
              </w:rPr>
            </w:pPr>
            <w:hyperlink r:id="rId184">
              <w:r>
                <w:rPr>
                  <w:rFonts w:ascii="Arial" w:cs="Arial" w:eastAsia="Arial" w:hAnsi="Arial"/>
                  <w:sz w:val="18"/>
                  <w:szCs w:val="18"/>
                  <w:color w:val="0000FF"/>
                  <w:w w:val="98"/>
                </w:rPr>
                <w:t>Forms of Restricted Stock Unit Award Grant Notice and Award Agreement under the 2020 Equity Incentive Plan (incorporated by</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84">
              <w:r>
                <w:rPr>
                  <w:rFonts w:ascii="Arial" w:cs="Arial" w:eastAsia="Arial" w:hAnsi="Arial"/>
                  <w:sz w:val="18"/>
                  <w:szCs w:val="18"/>
                  <w:color w:val="0000FF"/>
                </w:rPr>
                <w:t>reference to Exhibit 10.5.2 to the Company's Form 10-Q filed with the SEC on August 10, 2021).</w:t>
              </w:r>
            </w:hyperlink>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750"/>
        </w:trPr>
        <w:tc>
          <w:tcPr>
            <w:tcW w:w="96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5280" w:type="dxa"/>
            <w:vAlign w:val="bottom"/>
            <w:tcBorders>
              <w:top w:val="single" w:sz="8" w:color="0000FF"/>
            </w:tcBorders>
            <w:gridSpan w:val="5"/>
          </w:tcPr>
          <w:p>
            <w:pPr>
              <w:ind w:left="4100"/>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9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380" w:type="dxa"/>
            <w:vAlign w:val="bottom"/>
          </w:tcPr>
          <w:p>
            <w:pPr>
              <w:ind w:left="100"/>
              <w:spacing w:after="0"/>
              <w:rPr>
                <w:sz w:val="20"/>
                <w:szCs w:val="20"/>
                <w:color w:val="auto"/>
              </w:rPr>
            </w:pPr>
            <w:r>
              <w:rPr>
                <w:rFonts w:ascii="Arial" w:cs="Arial" w:eastAsia="Arial" w:hAnsi="Arial"/>
                <w:sz w:val="18"/>
                <w:szCs w:val="18"/>
                <w:color w:val="auto"/>
              </w:rPr>
              <w:t>10.6+**</w:t>
            </w:r>
          </w:p>
        </w:tc>
        <w:tc>
          <w:tcPr>
            <w:tcW w:w="10100" w:type="dxa"/>
            <w:vAlign w:val="bottom"/>
            <w:gridSpan w:val="33"/>
          </w:tcPr>
          <w:p>
            <w:pPr>
              <w:spacing w:after="0"/>
              <w:rPr>
                <w:rFonts w:ascii="Arial" w:cs="Arial" w:eastAsia="Arial" w:hAnsi="Arial"/>
                <w:sz w:val="18"/>
                <w:szCs w:val="18"/>
                <w:color w:val="0000FF"/>
              </w:rPr>
            </w:pPr>
            <w:hyperlink r:id="rId187">
              <w:r>
                <w:rPr>
                  <w:rFonts w:ascii="Arial" w:cs="Arial" w:eastAsia="Arial" w:hAnsi="Arial"/>
                  <w:sz w:val="18"/>
                  <w:szCs w:val="18"/>
                  <w:color w:val="0000FF"/>
                </w:rPr>
                <w:t>Biodesix, Inc. 2020 Employee Stock Purchase Plan (incorporated by reference to Exhibit 10.6 to the Company’s Registration</w:t>
              </w:r>
            </w:hyperlink>
          </w:p>
        </w:tc>
      </w:tr>
      <w:tr>
        <w:trPr>
          <w:trHeight w:val="156"/>
        </w:trPr>
        <w:tc>
          <w:tcPr>
            <w:tcW w:w="138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187">
              <w:r>
                <w:rPr>
                  <w:rFonts w:ascii="Arial" w:cs="Arial" w:eastAsia="Arial" w:hAnsi="Arial"/>
                  <w:sz w:val="18"/>
                  <w:szCs w:val="18"/>
                  <w:color w:val="0000FF"/>
                  <w:w w:val="91"/>
                </w:rPr>
                <w:t>Statement on Form S-1/A filed with the SEC on October 26,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50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10.7.1+**</w:t>
            </w:r>
          </w:p>
        </w:tc>
        <w:tc>
          <w:tcPr>
            <w:tcW w:w="10100" w:type="dxa"/>
            <w:vAlign w:val="bottom"/>
            <w:gridSpan w:val="33"/>
          </w:tcPr>
          <w:p>
            <w:pPr>
              <w:spacing w:after="0"/>
              <w:rPr>
                <w:rFonts w:ascii="Arial" w:cs="Arial" w:eastAsia="Arial" w:hAnsi="Arial"/>
                <w:sz w:val="18"/>
                <w:szCs w:val="18"/>
                <w:color w:val="0000FF"/>
                <w:w w:val="97"/>
              </w:rPr>
            </w:pPr>
            <w:hyperlink r:id="rId188">
              <w:r>
                <w:rPr>
                  <w:rFonts w:ascii="Arial" w:cs="Arial" w:eastAsia="Arial" w:hAnsi="Arial"/>
                  <w:sz w:val="18"/>
                  <w:szCs w:val="18"/>
                  <w:color w:val="0000FF"/>
                  <w:w w:val="97"/>
                </w:rPr>
                <w:t>Biodesix, Inc., First Amended Bonus-to-Options Program, adopted by the Board of Directors on October 15, 2010 (incorporated by</w:t>
              </w:r>
            </w:hyperlink>
          </w:p>
        </w:tc>
      </w:tr>
      <w:tr>
        <w:trPr>
          <w:trHeight w:val="156"/>
        </w:trPr>
        <w:tc>
          <w:tcPr>
            <w:tcW w:w="138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reference to Exhibit 10.5.1 to the Company’s Registration Statement on Form S-1 filed 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10.7.2+**</w:t>
            </w:r>
          </w:p>
        </w:tc>
        <w:tc>
          <w:tcPr>
            <w:tcW w:w="10100" w:type="dxa"/>
            <w:vAlign w:val="bottom"/>
            <w:gridSpan w:val="33"/>
          </w:tcPr>
          <w:p>
            <w:pPr>
              <w:spacing w:after="0"/>
              <w:rPr>
                <w:rFonts w:ascii="Arial" w:cs="Arial" w:eastAsia="Arial" w:hAnsi="Arial"/>
                <w:sz w:val="18"/>
                <w:szCs w:val="18"/>
                <w:color w:val="0000FF"/>
                <w:w w:val="97"/>
              </w:rPr>
            </w:pPr>
            <w:hyperlink r:id="rId189">
              <w:r>
                <w:rPr>
                  <w:rFonts w:ascii="Arial" w:cs="Arial" w:eastAsia="Arial" w:hAnsi="Arial"/>
                  <w:sz w:val="18"/>
                  <w:szCs w:val="18"/>
                  <w:color w:val="0000FF"/>
                  <w:w w:val="97"/>
                </w:rPr>
                <w:t>Biodesix, Inc., Second Amended Bonus-to-Options Program, adopted by the Board of Directors on June 21, 2011 (incorporated by</w:t>
              </w:r>
            </w:hyperlink>
          </w:p>
        </w:tc>
      </w:tr>
      <w:tr>
        <w:trPr>
          <w:trHeight w:val="156"/>
        </w:trPr>
        <w:tc>
          <w:tcPr>
            <w:tcW w:w="1380" w:type="dxa"/>
            <w:vAlign w:val="bottom"/>
          </w:tcPr>
          <w:p>
            <w:pPr>
              <w:spacing w:after="0"/>
              <w:rPr>
                <w:sz w:val="13"/>
                <w:szCs w:val="13"/>
                <w:color w:val="auto"/>
              </w:rPr>
            </w:pPr>
          </w:p>
        </w:tc>
        <w:tc>
          <w:tcPr>
            <w:tcW w:w="100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89">
              <w:r>
                <w:rPr>
                  <w:rFonts w:ascii="Arial" w:cs="Arial" w:eastAsia="Arial" w:hAnsi="Arial"/>
                  <w:sz w:val="18"/>
                  <w:szCs w:val="18"/>
                  <w:color w:val="0000FF"/>
                </w:rPr>
                <w:t>reference to Exhibit 10.5.2 to the Company’s Registration Statement on Form S-1 filed with the SEC on October 2, 2020).</w:t>
              </w:r>
            </w:hyperlink>
          </w:p>
        </w:tc>
        <w:tc>
          <w:tcPr>
            <w:tcW w:w="2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10.7.3+**</w:t>
            </w:r>
          </w:p>
        </w:tc>
        <w:tc>
          <w:tcPr>
            <w:tcW w:w="10100" w:type="dxa"/>
            <w:vAlign w:val="bottom"/>
            <w:gridSpan w:val="33"/>
          </w:tcPr>
          <w:p>
            <w:pPr>
              <w:spacing w:after="0"/>
              <w:rPr>
                <w:rFonts w:ascii="Arial" w:cs="Arial" w:eastAsia="Arial" w:hAnsi="Arial"/>
                <w:sz w:val="18"/>
                <w:szCs w:val="18"/>
                <w:color w:val="0000FF"/>
                <w:w w:val="94"/>
              </w:rPr>
            </w:pPr>
            <w:hyperlink r:id="rId190">
              <w:r>
                <w:rPr>
                  <w:rFonts w:ascii="Arial" w:cs="Arial" w:eastAsia="Arial" w:hAnsi="Arial"/>
                  <w:sz w:val="18"/>
                  <w:szCs w:val="18"/>
                  <w:color w:val="0000FF"/>
                  <w:w w:val="94"/>
                </w:rPr>
                <w:t>Biodesix, Inc., Third Amended Bonus-to-Options Program, adopted by the Board of Directors on December 31, 2015 (incorporated by</w:t>
              </w:r>
            </w:hyperlink>
          </w:p>
        </w:tc>
      </w:tr>
      <w:tr>
        <w:trPr>
          <w:trHeight w:val="156"/>
        </w:trPr>
        <w:tc>
          <w:tcPr>
            <w:tcW w:w="138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90">
              <w:r>
                <w:rPr>
                  <w:rFonts w:ascii="Arial" w:cs="Arial" w:eastAsia="Arial" w:hAnsi="Arial"/>
                  <w:sz w:val="18"/>
                  <w:szCs w:val="18"/>
                  <w:color w:val="0000FF"/>
                </w:rPr>
                <w:t>reference to Exhibit 10.5.3 to the Company’s Registration Statement on Form S-1 filed 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10.8.1+**</w:t>
            </w:r>
          </w:p>
        </w:tc>
        <w:tc>
          <w:tcPr>
            <w:tcW w:w="10100" w:type="dxa"/>
            <w:vAlign w:val="bottom"/>
            <w:gridSpan w:val="33"/>
          </w:tcPr>
          <w:p>
            <w:pPr>
              <w:spacing w:after="0"/>
              <w:rPr>
                <w:rFonts w:ascii="Arial" w:cs="Arial" w:eastAsia="Arial" w:hAnsi="Arial"/>
                <w:sz w:val="18"/>
                <w:szCs w:val="18"/>
                <w:color w:val="0000FF"/>
                <w:w w:val="96"/>
              </w:rPr>
            </w:pPr>
            <w:hyperlink r:id="rId191">
              <w:r>
                <w:rPr>
                  <w:rFonts w:ascii="Arial" w:cs="Arial" w:eastAsia="Arial" w:hAnsi="Arial"/>
                  <w:sz w:val="18"/>
                  <w:szCs w:val="18"/>
                  <w:color w:val="0000FF"/>
                  <w:w w:val="96"/>
                </w:rPr>
                <w:t>Form of Stock Option Grant Notice under the Biodesix, Inc. Bonus-To-Options Program (incorporated by reference to Exhibit 10.6.1</w:t>
              </w:r>
            </w:hyperlink>
          </w:p>
        </w:tc>
      </w:tr>
      <w:tr>
        <w:trPr>
          <w:trHeight w:val="155"/>
        </w:trPr>
        <w:tc>
          <w:tcPr>
            <w:tcW w:w="138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to the Company’s Registration Statement on Form S-1/A filed with the SEC on October 9, 2020).</w:t>
              </w:r>
            </w:hyperlink>
          </w:p>
        </w:tc>
        <w:tc>
          <w:tcPr>
            <w:tcW w:w="28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10.8.2+**</w:t>
            </w:r>
          </w:p>
        </w:tc>
        <w:tc>
          <w:tcPr>
            <w:tcW w:w="10100" w:type="dxa"/>
            <w:vAlign w:val="bottom"/>
            <w:gridSpan w:val="33"/>
          </w:tcPr>
          <w:p>
            <w:pPr>
              <w:spacing w:after="0"/>
              <w:rPr>
                <w:rFonts w:ascii="Arial" w:cs="Arial" w:eastAsia="Arial" w:hAnsi="Arial"/>
                <w:sz w:val="18"/>
                <w:szCs w:val="18"/>
                <w:color w:val="0000FF"/>
                <w:w w:val="97"/>
              </w:rPr>
            </w:pPr>
            <w:hyperlink r:id="rId192">
              <w:r>
                <w:rPr>
                  <w:rFonts w:ascii="Arial" w:cs="Arial" w:eastAsia="Arial" w:hAnsi="Arial"/>
                  <w:sz w:val="18"/>
                  <w:szCs w:val="18"/>
                  <w:color w:val="0000FF"/>
                  <w:w w:val="97"/>
                </w:rPr>
                <w:t>Form of Option Agreement under the Biodesix, Inc. Bonus-To-Options Program (incorporated by reference to Exhibit 10.6.2 to the</w:t>
              </w:r>
            </w:hyperlink>
          </w:p>
        </w:tc>
      </w:tr>
      <w:tr>
        <w:trPr>
          <w:trHeight w:val="155"/>
        </w:trPr>
        <w:tc>
          <w:tcPr>
            <w:tcW w:w="1380" w:type="dxa"/>
            <w:vAlign w:val="bottom"/>
          </w:tcPr>
          <w:p>
            <w:pPr>
              <w:spacing w:after="0"/>
              <w:rPr>
                <w:sz w:val="13"/>
                <w:szCs w:val="13"/>
                <w:color w:val="auto"/>
              </w:rPr>
            </w:pPr>
          </w:p>
        </w:tc>
        <w:tc>
          <w:tcPr>
            <w:tcW w:w="97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Company’s Registration Statement on Form S-1/A filed with the SEC on October 9,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10.9+**</w:t>
            </w:r>
          </w:p>
        </w:tc>
        <w:tc>
          <w:tcPr>
            <w:tcW w:w="10100" w:type="dxa"/>
            <w:vAlign w:val="bottom"/>
            <w:gridSpan w:val="33"/>
          </w:tcPr>
          <w:p>
            <w:pPr>
              <w:spacing w:after="0"/>
              <w:rPr>
                <w:rFonts w:ascii="Arial" w:cs="Arial" w:eastAsia="Arial" w:hAnsi="Arial"/>
                <w:sz w:val="18"/>
                <w:szCs w:val="18"/>
                <w:color w:val="0000FF"/>
                <w:w w:val="96"/>
              </w:rPr>
            </w:pPr>
            <w:hyperlink r:id="rId193">
              <w:r>
                <w:rPr>
                  <w:rFonts w:ascii="Arial" w:cs="Arial" w:eastAsia="Arial" w:hAnsi="Arial"/>
                  <w:sz w:val="18"/>
                  <w:szCs w:val="18"/>
                  <w:color w:val="0000FF"/>
                  <w:w w:val="96"/>
                </w:rPr>
                <w:t>Form of Indemnification Agreement, by and between Biodesix, Inc. and each of its directors and executive officers (incorporated by</w:t>
              </w:r>
            </w:hyperlink>
          </w:p>
        </w:tc>
      </w:tr>
      <w:tr>
        <w:trPr>
          <w:trHeight w:val="155"/>
        </w:trPr>
        <w:tc>
          <w:tcPr>
            <w:tcW w:w="1380" w:type="dxa"/>
            <w:vAlign w:val="bottom"/>
          </w:tcPr>
          <w:p>
            <w:pPr>
              <w:spacing w:after="0"/>
              <w:rPr>
                <w:sz w:val="13"/>
                <w:szCs w:val="13"/>
                <w:color w:val="auto"/>
              </w:rPr>
            </w:pPr>
          </w:p>
        </w:tc>
        <w:tc>
          <w:tcPr>
            <w:tcW w:w="1004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93">
              <w:r>
                <w:rPr>
                  <w:rFonts w:ascii="Arial" w:cs="Arial" w:eastAsia="Arial" w:hAnsi="Arial"/>
                  <w:sz w:val="18"/>
                  <w:szCs w:val="18"/>
                  <w:color w:val="0000FF"/>
                </w:rPr>
                <w:t>reference to Exhibit 10.7 to the Company’s Registration Statement on Form S-1/A filed with the SEC on October 14,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10.10.1†+**</w:t>
            </w:r>
          </w:p>
        </w:tc>
        <w:tc>
          <w:tcPr>
            <w:tcW w:w="10100" w:type="dxa"/>
            <w:vAlign w:val="bottom"/>
            <w:gridSpan w:val="33"/>
          </w:tcPr>
          <w:p>
            <w:pPr>
              <w:spacing w:after="0"/>
              <w:rPr>
                <w:rFonts w:ascii="Arial" w:cs="Arial" w:eastAsia="Arial" w:hAnsi="Arial"/>
                <w:sz w:val="18"/>
                <w:szCs w:val="18"/>
                <w:color w:val="0000FF"/>
                <w:w w:val="94"/>
              </w:rPr>
            </w:pPr>
            <w:hyperlink r:id="rId194">
              <w:r>
                <w:rPr>
                  <w:rFonts w:ascii="Arial" w:cs="Arial" w:eastAsia="Arial" w:hAnsi="Arial"/>
                  <w:sz w:val="18"/>
                  <w:szCs w:val="18"/>
                  <w:color w:val="0000FF"/>
                  <w:w w:val="94"/>
                </w:rPr>
                <w:t>Executive Employment Letter, by and between Biodesix, Inc. and Scott Hutton, dated February 16, 2018 (incorporated by reference to</w:t>
              </w:r>
            </w:hyperlink>
          </w:p>
        </w:tc>
      </w:tr>
      <w:tr>
        <w:trPr>
          <w:trHeight w:val="156"/>
        </w:trPr>
        <w:tc>
          <w:tcPr>
            <w:tcW w:w="138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Exhibit 10.9.1 to the Company’s Registration Statement on Form S-1 filed with the SEC on October 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10.10.2†+**</w:t>
            </w:r>
          </w:p>
        </w:tc>
        <w:tc>
          <w:tcPr>
            <w:tcW w:w="10100" w:type="dxa"/>
            <w:vAlign w:val="bottom"/>
            <w:gridSpan w:val="33"/>
          </w:tcPr>
          <w:p>
            <w:pPr>
              <w:spacing w:after="0"/>
              <w:rPr>
                <w:rFonts w:ascii="Arial" w:cs="Arial" w:eastAsia="Arial" w:hAnsi="Arial"/>
                <w:sz w:val="18"/>
                <w:szCs w:val="18"/>
                <w:color w:val="0000FF"/>
                <w:w w:val="94"/>
              </w:rPr>
            </w:pPr>
            <w:hyperlink r:id="rId195">
              <w:r>
                <w:rPr>
                  <w:rFonts w:ascii="Arial" w:cs="Arial" w:eastAsia="Arial" w:hAnsi="Arial"/>
                  <w:sz w:val="18"/>
                  <w:szCs w:val="18"/>
                  <w:color w:val="0000FF"/>
                  <w:w w:val="94"/>
                </w:rPr>
                <w:t>Executive Employment Letter, by and between Biodesix, Inc. and Scott Hutton, dated February 23, 2020 (incorporated by reference to</w:t>
              </w:r>
            </w:hyperlink>
          </w:p>
        </w:tc>
      </w:tr>
      <w:tr>
        <w:trPr>
          <w:trHeight w:val="156"/>
        </w:trPr>
        <w:tc>
          <w:tcPr>
            <w:tcW w:w="1380" w:type="dxa"/>
            <w:vAlign w:val="bottom"/>
          </w:tcPr>
          <w:p>
            <w:pPr>
              <w:spacing w:after="0"/>
              <w:rPr>
                <w:sz w:val="13"/>
                <w:szCs w:val="13"/>
                <w:color w:val="auto"/>
              </w:rPr>
            </w:pPr>
          </w:p>
        </w:tc>
        <w:tc>
          <w:tcPr>
            <w:tcW w:w="98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Exhibit 10.9.2 to the Company’s Registration Statement on Form S-1 filed with the SEC on October 2,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10.11.1†+**</w:t>
            </w:r>
          </w:p>
        </w:tc>
        <w:tc>
          <w:tcPr>
            <w:tcW w:w="10100" w:type="dxa"/>
            <w:vAlign w:val="bottom"/>
            <w:gridSpan w:val="33"/>
          </w:tcPr>
          <w:p>
            <w:pPr>
              <w:spacing w:after="0"/>
              <w:rPr>
                <w:rFonts w:ascii="Arial" w:cs="Arial" w:eastAsia="Arial" w:hAnsi="Arial"/>
                <w:sz w:val="18"/>
                <w:szCs w:val="18"/>
                <w:color w:val="0000FF"/>
                <w:w w:val="98"/>
              </w:rPr>
            </w:pPr>
            <w:hyperlink r:id="rId196">
              <w:r>
                <w:rPr>
                  <w:rFonts w:ascii="Arial" w:cs="Arial" w:eastAsia="Arial" w:hAnsi="Arial"/>
                  <w:sz w:val="18"/>
                  <w:szCs w:val="18"/>
                  <w:color w:val="0000FF"/>
                  <w:w w:val="98"/>
                </w:rPr>
                <w:t>Employment Letter, by and between Biodesix, Inc. and Robin Harper Cowie, dated March 11, 2011 (incorporated by reference to</w:t>
              </w:r>
            </w:hyperlink>
          </w:p>
        </w:tc>
      </w:tr>
      <w:tr>
        <w:trPr>
          <w:trHeight w:val="156"/>
        </w:trPr>
        <w:tc>
          <w:tcPr>
            <w:tcW w:w="138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96">
              <w:r>
                <w:rPr>
                  <w:rFonts w:ascii="Arial" w:cs="Arial" w:eastAsia="Arial" w:hAnsi="Arial"/>
                  <w:sz w:val="18"/>
                  <w:szCs w:val="18"/>
                  <w:color w:val="0000FF"/>
                  <w:w w:val="91"/>
                </w:rPr>
                <w:t>Exhibit 10.10.1 to the Company’s Registration Statement on Form S-1 filed with the SEC on October 2,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19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10.11.2†+**</w:t>
            </w:r>
          </w:p>
        </w:tc>
        <w:tc>
          <w:tcPr>
            <w:tcW w:w="10100" w:type="dxa"/>
            <w:vAlign w:val="bottom"/>
            <w:gridSpan w:val="33"/>
          </w:tcPr>
          <w:p>
            <w:pPr>
              <w:spacing w:after="0"/>
              <w:rPr>
                <w:rFonts w:ascii="Arial" w:cs="Arial" w:eastAsia="Arial" w:hAnsi="Arial"/>
                <w:sz w:val="18"/>
                <w:szCs w:val="18"/>
                <w:color w:val="0000FF"/>
                <w:w w:val="98"/>
              </w:rPr>
            </w:pPr>
            <w:hyperlink r:id="rId197">
              <w:r>
                <w:rPr>
                  <w:rFonts w:ascii="Arial" w:cs="Arial" w:eastAsia="Arial" w:hAnsi="Arial"/>
                  <w:sz w:val="18"/>
                  <w:szCs w:val="18"/>
                  <w:color w:val="0000FF"/>
                  <w:w w:val="98"/>
                </w:rPr>
                <w:t>Executive Employment Letter, by and between Biodesix, Inc. and Robin Harper Cowie, dated February 23, 2020 (incorporated by</w:t>
              </w:r>
            </w:hyperlink>
          </w:p>
        </w:tc>
      </w:tr>
      <w:tr>
        <w:trPr>
          <w:trHeight w:val="156"/>
        </w:trPr>
        <w:tc>
          <w:tcPr>
            <w:tcW w:w="138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reference to Exhibit 10.10.2 to the Company’s Registration Statement on Form S-1 filed with the SEC on October 2, 2020).</w:t>
              </w:r>
            </w:hyperlink>
          </w:p>
        </w:tc>
        <w:tc>
          <w:tcPr>
            <w:tcW w:w="84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10.12+**</w:t>
            </w:r>
          </w:p>
        </w:tc>
        <w:tc>
          <w:tcPr>
            <w:tcW w:w="10100" w:type="dxa"/>
            <w:vAlign w:val="bottom"/>
            <w:gridSpan w:val="33"/>
          </w:tcPr>
          <w:p>
            <w:pPr>
              <w:spacing w:after="0"/>
              <w:rPr>
                <w:rFonts w:ascii="Arial" w:cs="Arial" w:eastAsia="Arial" w:hAnsi="Arial"/>
                <w:sz w:val="18"/>
                <w:szCs w:val="18"/>
                <w:color w:val="0000FF"/>
                <w:w w:val="97"/>
              </w:rPr>
            </w:pPr>
            <w:hyperlink r:id="rId198">
              <w:r>
                <w:rPr>
                  <w:rFonts w:ascii="Arial" w:cs="Arial" w:eastAsia="Arial" w:hAnsi="Arial"/>
                  <w:sz w:val="18"/>
                  <w:szCs w:val="18"/>
                  <w:color w:val="0000FF"/>
                  <w:w w:val="97"/>
                </w:rPr>
                <w:t>Consulting Agreement, by and between David Brunel and Biodesix, Inc., dated September 19, 2020 (incorporated by reference to</w:t>
              </w:r>
            </w:hyperlink>
          </w:p>
        </w:tc>
      </w:tr>
      <w:tr>
        <w:trPr>
          <w:trHeight w:val="155"/>
        </w:trPr>
        <w:tc>
          <w:tcPr>
            <w:tcW w:w="138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Exhibit 10.11 to the Company’s Registration Statement on Form S-1 filed with the SEC on October 2, 2020).</w:t>
              </w:r>
            </w:hyperlink>
          </w:p>
        </w:tc>
        <w:tc>
          <w:tcPr>
            <w:tcW w:w="20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10.13.1†**</w:t>
            </w:r>
          </w:p>
        </w:tc>
        <w:tc>
          <w:tcPr>
            <w:tcW w:w="10100" w:type="dxa"/>
            <w:vAlign w:val="bottom"/>
            <w:gridSpan w:val="33"/>
          </w:tcPr>
          <w:p>
            <w:pPr>
              <w:spacing w:after="0"/>
              <w:rPr>
                <w:rFonts w:ascii="Arial" w:cs="Arial" w:eastAsia="Arial" w:hAnsi="Arial"/>
                <w:sz w:val="18"/>
                <w:szCs w:val="18"/>
                <w:color w:val="0000FF"/>
                <w:w w:val="96"/>
              </w:rPr>
            </w:pPr>
            <w:hyperlink r:id="rId199">
              <w:r>
                <w:rPr>
                  <w:rFonts w:ascii="Arial" w:cs="Arial" w:eastAsia="Arial" w:hAnsi="Arial"/>
                  <w:sz w:val="18"/>
                  <w:szCs w:val="18"/>
                  <w:color w:val="0000FF"/>
                  <w:w w:val="96"/>
                </w:rPr>
                <w:t>Office Lease between Aero-Tech Investments, LLC and Biodesix, Inc., dated October 5, 2011 (incorporated by reference to Exhibit</w:t>
              </w:r>
            </w:hyperlink>
          </w:p>
        </w:tc>
      </w:tr>
      <w:tr>
        <w:trPr>
          <w:trHeight w:val="155"/>
        </w:trPr>
        <w:tc>
          <w:tcPr>
            <w:tcW w:w="1380" w:type="dxa"/>
            <w:vAlign w:val="bottom"/>
          </w:tcPr>
          <w:p>
            <w:pPr>
              <w:spacing w:after="0"/>
              <w:rPr>
                <w:sz w:val="13"/>
                <w:szCs w:val="13"/>
                <w:color w:val="auto"/>
              </w:rPr>
            </w:pPr>
          </w:p>
        </w:tc>
        <w:tc>
          <w:tcPr>
            <w:tcW w:w="100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10.</w:t>
              </w:r>
              <w:r>
                <w:rPr>
                  <w:rFonts w:ascii="Arial" w:cs="Arial" w:eastAsia="Arial" w:hAnsi="Arial"/>
                  <w:sz w:val="18"/>
                  <w:szCs w:val="18"/>
                  <w:u w:val="single" w:color="auto"/>
                  <w:color w:val="0000FF"/>
                </w:rPr>
                <w:t>11</w:t>
              </w:r>
              <w:r>
                <w:rPr>
                  <w:rFonts w:ascii="Arial" w:cs="Arial" w:eastAsia="Arial" w:hAnsi="Arial"/>
                  <w:sz w:val="18"/>
                  <w:szCs w:val="18"/>
                  <w:color w:val="0000FF"/>
                </w:rPr>
                <w:t xml:space="preserve"> to the Company’s Registration Statement on Form S-1/A filed with the SEC on October 9,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1"/>
        </w:trPr>
        <w:tc>
          <w:tcPr>
            <w:tcW w:w="1380" w:type="dxa"/>
            <w:vAlign w:val="bottom"/>
          </w:tcPr>
          <w:p>
            <w:pPr>
              <w:ind w:left="100"/>
              <w:spacing w:after="0"/>
              <w:rPr>
                <w:sz w:val="20"/>
                <w:szCs w:val="20"/>
                <w:color w:val="auto"/>
              </w:rPr>
            </w:pPr>
            <w:r>
              <w:rPr>
                <w:rFonts w:ascii="Arial" w:cs="Arial" w:eastAsia="Arial" w:hAnsi="Arial"/>
                <w:sz w:val="18"/>
                <w:szCs w:val="18"/>
                <w:color w:val="auto"/>
              </w:rPr>
              <w:t>10.13.2*</w:t>
            </w:r>
          </w:p>
        </w:tc>
        <w:tc>
          <w:tcPr>
            <w:tcW w:w="7460" w:type="dxa"/>
            <w:vAlign w:val="bottom"/>
            <w:tcBorders>
              <w:top w:val="single" w:sz="8" w:color="0000FF"/>
            </w:tcBorders>
            <w:gridSpan w:val="9"/>
          </w:tcPr>
          <w:p>
            <w:pPr>
              <w:spacing w:after="0"/>
              <w:rPr>
                <w:rFonts w:ascii="Arial" w:cs="Arial" w:eastAsia="Arial" w:hAnsi="Arial"/>
                <w:sz w:val="18"/>
                <w:szCs w:val="18"/>
                <w:color w:val="0000FF"/>
                <w:w w:val="97"/>
              </w:rPr>
            </w:pPr>
            <w:hyperlink w:anchor="page137">
              <w:r>
                <w:rPr>
                  <w:rFonts w:ascii="Arial" w:cs="Arial" w:eastAsia="Arial" w:hAnsi="Arial"/>
                  <w:sz w:val="18"/>
                  <w:szCs w:val="18"/>
                  <w:color w:val="0000FF"/>
                  <w:w w:val="97"/>
                </w:rPr>
                <w:t>Office Lease between Aero-Tech Investments, LLC and Biodesix, Inc., dated January 24, 2022.</w:t>
              </w:r>
            </w:hyperlink>
          </w:p>
        </w:tc>
        <w:tc>
          <w:tcPr>
            <w:tcW w:w="2640" w:type="dxa"/>
            <w:vAlign w:val="bottom"/>
            <w:gridSpan w:val="24"/>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FF"/>
            </w:tcBorders>
            <w:gridSpan w:val="3"/>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10.14†**</w:t>
            </w:r>
          </w:p>
        </w:tc>
        <w:tc>
          <w:tcPr>
            <w:tcW w:w="10100" w:type="dxa"/>
            <w:vAlign w:val="bottom"/>
            <w:gridSpan w:val="33"/>
          </w:tcPr>
          <w:p>
            <w:pPr>
              <w:spacing w:after="0"/>
              <w:rPr>
                <w:rFonts w:ascii="Arial" w:cs="Arial" w:eastAsia="Arial" w:hAnsi="Arial"/>
                <w:sz w:val="18"/>
                <w:szCs w:val="18"/>
                <w:color w:val="0000FF"/>
              </w:rPr>
            </w:pPr>
            <w:hyperlink r:id="rId200">
              <w:r>
                <w:rPr>
                  <w:rFonts w:ascii="Arial" w:cs="Arial" w:eastAsia="Arial" w:hAnsi="Arial"/>
                  <w:sz w:val="18"/>
                  <w:szCs w:val="18"/>
                  <w:color w:val="0000FF"/>
                </w:rPr>
                <w:t>Lease Assignment of De Soto Facility, dated November 1, 2019 (incorporated by reference to Exhibit 10.13 to the Company’s</w:t>
              </w:r>
            </w:hyperlink>
          </w:p>
        </w:tc>
      </w:tr>
      <w:tr>
        <w:trPr>
          <w:trHeight w:val="155"/>
        </w:trPr>
        <w:tc>
          <w:tcPr>
            <w:tcW w:w="1380" w:type="dxa"/>
            <w:vAlign w:val="bottom"/>
          </w:tcPr>
          <w:p>
            <w:pPr>
              <w:spacing w:after="0"/>
              <w:rPr>
                <w:sz w:val="13"/>
                <w:szCs w:val="13"/>
                <w:color w:val="auto"/>
              </w:rPr>
            </w:pPr>
          </w:p>
        </w:tc>
        <w:tc>
          <w:tcPr>
            <w:tcW w:w="994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Registration Statement on Form S-1 filed with the SEC on October 2, 2020).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right w:val="single" w:sz="8" w:color="0000EE"/>
            </w:tcBorders>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10.15.1†**</w:t>
            </w:r>
          </w:p>
        </w:tc>
        <w:tc>
          <w:tcPr>
            <w:tcW w:w="10100" w:type="dxa"/>
            <w:vAlign w:val="bottom"/>
            <w:gridSpan w:val="33"/>
          </w:tcPr>
          <w:p>
            <w:pPr>
              <w:spacing w:after="0"/>
              <w:rPr>
                <w:rFonts w:ascii="Arial" w:cs="Arial" w:eastAsia="Arial" w:hAnsi="Arial"/>
                <w:sz w:val="18"/>
                <w:szCs w:val="18"/>
                <w:color w:val="0000FF"/>
                <w:w w:val="96"/>
              </w:rPr>
            </w:pPr>
            <w:hyperlink r:id="rId201">
              <w:r>
                <w:rPr>
                  <w:rFonts w:ascii="Arial" w:cs="Arial" w:eastAsia="Arial" w:hAnsi="Arial"/>
                  <w:sz w:val="18"/>
                  <w:szCs w:val="18"/>
                  <w:color w:val="0000FF"/>
                  <w:w w:val="96"/>
                </w:rPr>
                <w:t>Loan and Security Agreement, by and among Innovatus Life Sciences Lending Fund I, LP, the Lenders listed therein, and Biodesix,</w:t>
              </w:r>
            </w:hyperlink>
          </w:p>
        </w:tc>
      </w:tr>
      <w:tr>
        <w:trPr>
          <w:trHeight w:val="155"/>
        </w:trPr>
        <w:tc>
          <w:tcPr>
            <w:tcW w:w="1380" w:type="dxa"/>
            <w:vAlign w:val="bottom"/>
          </w:tcPr>
          <w:p>
            <w:pPr>
              <w:spacing w:after="0"/>
              <w:rPr>
                <w:sz w:val="13"/>
                <w:szCs w:val="13"/>
                <w:color w:val="auto"/>
              </w:rPr>
            </w:pPr>
          </w:p>
        </w:tc>
        <w:tc>
          <w:tcPr>
            <w:tcW w:w="1002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201">
              <w:r>
                <w:rPr>
                  <w:rFonts w:ascii="Arial" w:cs="Arial" w:eastAsia="Arial" w:hAnsi="Arial"/>
                  <w:sz w:val="18"/>
                  <w:szCs w:val="18"/>
                  <w:color w:val="0000FF"/>
                  <w:w w:val="95"/>
                </w:rPr>
                <w:t>Inc., dated February 23, 2018 (incorporated by reference to Exhibit 10.13.1 to the Company’s Registration Statement on Form S-1/A</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986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filed with the SEC on October 9, 2020).</w:t>
              </w:r>
            </w:hyperlink>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290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gridSpan w:val="7"/>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10.15.2†**</w:t>
            </w:r>
          </w:p>
        </w:tc>
        <w:tc>
          <w:tcPr>
            <w:tcW w:w="9820" w:type="dxa"/>
            <w:vAlign w:val="bottom"/>
            <w:tcBorders>
              <w:bottom w:val="single" w:sz="8" w:color="0000FF"/>
            </w:tcBorders>
            <w:gridSpan w:val="19"/>
          </w:tcPr>
          <w:p>
            <w:pPr>
              <w:spacing w:after="0"/>
              <w:rPr>
                <w:rFonts w:ascii="Arial" w:cs="Arial" w:eastAsia="Arial" w:hAnsi="Arial"/>
                <w:sz w:val="18"/>
                <w:szCs w:val="18"/>
                <w:color w:val="0000FF"/>
                <w:w w:val="97"/>
              </w:rPr>
            </w:pPr>
            <w:hyperlink r:id="rId202">
              <w:r>
                <w:rPr>
                  <w:rFonts w:ascii="Arial" w:cs="Arial" w:eastAsia="Arial" w:hAnsi="Arial"/>
                  <w:sz w:val="18"/>
                  <w:szCs w:val="18"/>
                  <w:color w:val="0000FF"/>
                  <w:w w:val="97"/>
                </w:rPr>
                <w:t>Limited Consent Agreement and Second Amendment to Loan and Security Agreement, by and among Innovatus Life Sciences</w:t>
              </w:r>
            </w:hyperlink>
          </w:p>
        </w:tc>
        <w:tc>
          <w:tcPr>
            <w:tcW w:w="20" w:type="dxa"/>
            <w:vAlign w:val="bottom"/>
            <w:tcBorders>
              <w:bottom w:val="single" w:sz="8" w:color="0000EE"/>
            </w:tcBorders>
          </w:tcPr>
          <w:p>
            <w:pPr>
              <w:spacing w:after="0"/>
              <w:rPr>
                <w:sz w:val="24"/>
                <w:szCs w:val="24"/>
                <w:color w:val="auto"/>
              </w:rPr>
            </w:pPr>
          </w:p>
        </w:tc>
        <w:tc>
          <w:tcPr>
            <w:tcW w:w="260" w:type="dxa"/>
            <w:vAlign w:val="bottom"/>
            <w:gridSpan w:val="13"/>
          </w:tcPr>
          <w:p>
            <w:pPr>
              <w:spacing w:after="0"/>
              <w:rPr>
                <w:sz w:val="24"/>
                <w:szCs w:val="24"/>
                <w:color w:val="auto"/>
              </w:rPr>
            </w:pPr>
          </w:p>
        </w:tc>
      </w:tr>
      <w:tr>
        <w:trPr>
          <w:trHeight w:val="155"/>
        </w:trPr>
        <w:tc>
          <w:tcPr>
            <w:tcW w:w="1380" w:type="dxa"/>
            <w:vAlign w:val="bottom"/>
          </w:tcPr>
          <w:p>
            <w:pPr>
              <w:spacing w:after="0"/>
              <w:rPr>
                <w:sz w:val="13"/>
                <w:szCs w:val="13"/>
                <w:color w:val="auto"/>
              </w:rPr>
            </w:pPr>
          </w:p>
        </w:tc>
        <w:tc>
          <w:tcPr>
            <w:tcW w:w="9840" w:type="dxa"/>
            <w:vAlign w:val="bottom"/>
            <w:tcBorders>
              <w:bottom w:val="single" w:sz="8" w:color="0000FF"/>
            </w:tcBorders>
            <w:gridSpan w:val="20"/>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Lending Fund I, LP, the Lenders listed therein, and Biodesix, Inc., dated June 30, 2018, as amended to date (incorporated by reference</w:t>
              </w:r>
            </w:hyperlink>
          </w:p>
        </w:tc>
        <w:tc>
          <w:tcPr>
            <w:tcW w:w="120" w:type="dxa"/>
            <w:vAlign w:val="bottom"/>
            <w:tcBorders>
              <w:bottom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80" w:type="dxa"/>
            <w:vAlign w:val="bottom"/>
          </w:tcPr>
          <w:p>
            <w:pPr>
              <w:spacing w:after="0"/>
              <w:rPr>
                <w:sz w:val="13"/>
                <w:szCs w:val="13"/>
                <w:color w:val="auto"/>
              </w:rPr>
            </w:pPr>
          </w:p>
        </w:tc>
        <w:tc>
          <w:tcPr>
            <w:tcW w:w="9960" w:type="dxa"/>
            <w:vAlign w:val="bottom"/>
            <w:gridSpan w:val="26"/>
          </w:tcPr>
          <w:p>
            <w:pPr>
              <w:spacing w:after="0" w:line="156" w:lineRule="exact"/>
              <w:rPr>
                <w:rFonts w:ascii="Arial" w:cs="Arial" w:eastAsia="Arial" w:hAnsi="Arial"/>
                <w:sz w:val="18"/>
                <w:szCs w:val="18"/>
                <w:color w:val="0000FF"/>
              </w:rPr>
            </w:pPr>
            <w:hyperlink r:id="rId202">
              <w:r>
                <w:rPr>
                  <w:rFonts w:ascii="Arial" w:cs="Arial" w:eastAsia="Arial" w:hAnsi="Arial"/>
                  <w:sz w:val="18"/>
                  <w:szCs w:val="18"/>
                  <w:color w:val="0000FF"/>
                </w:rPr>
                <w:t>to Exhibit 10.14.2 to the Company’s Registration Statement on Form S-1 filed with the SEC on October 2, 2020).</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7280" w:type="dxa"/>
            <w:vAlign w:val="bottom"/>
            <w:gridSpan w:val="8"/>
            <w:shd w:val="clear" w:color="auto" w:fill="0000FF"/>
          </w:tcPr>
          <w:p>
            <w:pPr>
              <w:spacing w:after="0" w:line="20" w:lineRule="exact"/>
              <w:rPr>
                <w:sz w:val="1"/>
                <w:szCs w:val="1"/>
                <w:color w:val="auto"/>
              </w:rPr>
            </w:pPr>
          </w:p>
        </w:tc>
        <w:tc>
          <w:tcPr>
            <w:tcW w:w="920" w:type="dxa"/>
            <w:vAlign w:val="bottom"/>
            <w:tcBorders>
              <w:right w:val="single" w:sz="8" w:color="0000EE"/>
            </w:tcBorders>
            <w:gridSpan w:val="5"/>
            <w:shd w:val="clear" w:color="auto" w:fill="0000FF"/>
          </w:tcPr>
          <w:p>
            <w:pPr>
              <w:spacing w:after="0" w:line="20" w:lineRule="exact"/>
              <w:rPr>
                <w:sz w:val="1"/>
                <w:szCs w:val="1"/>
                <w:color w:val="auto"/>
              </w:rPr>
            </w:pPr>
          </w:p>
        </w:tc>
        <w:tc>
          <w:tcPr>
            <w:tcW w:w="186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380" w:type="dxa"/>
            <w:vAlign w:val="bottom"/>
          </w:tcPr>
          <w:p>
            <w:pPr>
              <w:ind w:left="100"/>
              <w:spacing w:after="0"/>
              <w:rPr>
                <w:sz w:val="20"/>
                <w:szCs w:val="20"/>
                <w:color w:val="auto"/>
              </w:rPr>
            </w:pPr>
            <w:r>
              <w:rPr>
                <w:rFonts w:ascii="Arial" w:cs="Arial" w:eastAsia="Arial" w:hAnsi="Arial"/>
                <w:sz w:val="18"/>
                <w:szCs w:val="18"/>
                <w:color w:val="auto"/>
              </w:rPr>
              <w:t>10.16**</w:t>
            </w:r>
          </w:p>
        </w:tc>
        <w:tc>
          <w:tcPr>
            <w:tcW w:w="10100" w:type="dxa"/>
            <w:vAlign w:val="bottom"/>
            <w:gridSpan w:val="33"/>
          </w:tcPr>
          <w:p>
            <w:pPr>
              <w:spacing w:after="0"/>
              <w:rPr>
                <w:rFonts w:ascii="Arial" w:cs="Arial" w:eastAsia="Arial" w:hAnsi="Arial"/>
                <w:sz w:val="18"/>
                <w:szCs w:val="18"/>
                <w:color w:val="0000FF"/>
                <w:w w:val="94"/>
              </w:rPr>
            </w:pPr>
            <w:hyperlink r:id="rId203">
              <w:r>
                <w:rPr>
                  <w:rFonts w:ascii="Arial" w:cs="Arial" w:eastAsia="Arial" w:hAnsi="Arial"/>
                  <w:sz w:val="18"/>
                  <w:szCs w:val="18"/>
                  <w:color w:val="0000FF"/>
                  <w:w w:val="94"/>
                </w:rPr>
                <w:t>Patent Assignment between Biodesix, Inc., and Integrated Diagnostics, Inc., dated June 30, 2018 (incorporated by reference to Exhibit</w:t>
              </w:r>
            </w:hyperlink>
          </w:p>
        </w:tc>
      </w:tr>
      <w:tr>
        <w:trPr>
          <w:trHeight w:val="155"/>
        </w:trPr>
        <w:tc>
          <w:tcPr>
            <w:tcW w:w="1380" w:type="dxa"/>
            <w:vAlign w:val="bottom"/>
          </w:tcPr>
          <w:p>
            <w:pPr>
              <w:spacing w:after="0"/>
              <w:rPr>
                <w:sz w:val="13"/>
                <w:szCs w:val="13"/>
                <w:color w:val="auto"/>
              </w:rPr>
            </w:pPr>
          </w:p>
        </w:tc>
        <w:tc>
          <w:tcPr>
            <w:tcW w:w="100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03">
              <w:r>
                <w:rPr>
                  <w:rFonts w:ascii="Arial" w:cs="Arial" w:eastAsia="Arial" w:hAnsi="Arial"/>
                  <w:sz w:val="18"/>
                  <w:szCs w:val="18"/>
                  <w:color w:val="0000FF"/>
                </w:rPr>
                <w:t>10.</w:t>
              </w:r>
              <w:r>
                <w:rPr>
                  <w:rFonts w:ascii="Arial" w:cs="Arial" w:eastAsia="Arial" w:hAnsi="Arial"/>
                  <w:sz w:val="18"/>
                  <w:szCs w:val="18"/>
                  <w:u w:val="single" w:color="auto"/>
                  <w:color w:val="0000FF"/>
                </w:rPr>
                <w:t>15</w:t>
              </w:r>
              <w:r>
                <w:rPr>
                  <w:rFonts w:ascii="Arial" w:cs="Arial" w:eastAsia="Arial" w:hAnsi="Arial"/>
                  <w:sz w:val="18"/>
                  <w:szCs w:val="18"/>
                  <w:color w:val="0000FF"/>
                </w:rPr>
                <w:t xml:space="preserve"> to the Company’s Registration Statement on Form S-1 filed with the SEC on October 2, 2020).</w:t>
              </w:r>
            </w:hyperlink>
          </w:p>
        </w:tc>
        <w:tc>
          <w:tcPr>
            <w:tcW w:w="40" w:type="dxa"/>
            <w:vAlign w:val="bottom"/>
            <w:gridSpan w:val="2"/>
          </w:tcPr>
          <w:p>
            <w:pPr>
              <w:spacing w:after="0"/>
              <w:rPr>
                <w:sz w:val="13"/>
                <w:szCs w:val="13"/>
                <w:color w:val="auto"/>
              </w:rPr>
            </w:pPr>
          </w:p>
        </w:tc>
      </w:tr>
      <w:tr>
        <w:trPr>
          <w:trHeight w:val="750"/>
        </w:trPr>
        <w:tc>
          <w:tcPr>
            <w:tcW w:w="1380" w:type="dxa"/>
            <w:vAlign w:val="bottom"/>
          </w:tcPr>
          <w:p>
            <w:pPr>
              <w:spacing w:after="0"/>
              <w:rPr>
                <w:sz w:val="24"/>
                <w:szCs w:val="24"/>
                <w:color w:val="auto"/>
              </w:rPr>
            </w:pPr>
          </w:p>
        </w:tc>
        <w:tc>
          <w:tcPr>
            <w:tcW w:w="4880" w:type="dxa"/>
            <w:vAlign w:val="bottom"/>
            <w:tcBorders>
              <w:top w:val="single" w:sz="8" w:color="0000FF"/>
            </w:tcBorders>
            <w:gridSpan w:val="2"/>
          </w:tcPr>
          <w:p>
            <w:pPr>
              <w:ind w:left="4100"/>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38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060" w:type="dxa"/>
            <w:vAlign w:val="bottom"/>
          </w:tcPr>
          <w:p>
            <w:pPr>
              <w:ind w:left="300"/>
              <w:spacing w:after="0"/>
              <w:rPr>
                <w:rFonts w:ascii="Arial" w:cs="Arial" w:eastAsia="Arial" w:hAnsi="Arial"/>
                <w:sz w:val="18"/>
                <w:szCs w:val="18"/>
                <w:u w:val="single" w:color="auto"/>
                <w:color w:val="0000FF"/>
                <w:w w:val="94"/>
              </w:rPr>
            </w:pPr>
            <w:hyperlink r:id="rId206">
              <w:r>
                <w:rPr>
                  <w:rFonts w:ascii="Arial" w:cs="Arial" w:eastAsia="Arial" w:hAnsi="Arial"/>
                  <w:sz w:val="18"/>
                  <w:szCs w:val="18"/>
                  <w:u w:val="single" w:color="auto"/>
                  <w:color w:val="0000FF"/>
                  <w:w w:val="94"/>
                </w:rPr>
                <w:t>IP Assignment Agreement between Oncimmune Limited, and Biodesix, Inc., dated October 31, 2019 (incorporated by reference to</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Exhibit 10.15 to the Company’s Registration Statement on Form S-1/A filed 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060" w:type="dxa"/>
            <w:vAlign w:val="bottom"/>
          </w:tcPr>
          <w:p>
            <w:pPr>
              <w:ind w:left="300"/>
              <w:spacing w:after="0"/>
              <w:rPr>
                <w:rFonts w:ascii="Arial" w:cs="Arial" w:eastAsia="Arial" w:hAnsi="Arial"/>
                <w:sz w:val="18"/>
                <w:szCs w:val="18"/>
                <w:u w:val="single" w:color="auto"/>
                <w:color w:val="0000FF"/>
                <w:w w:val="91"/>
              </w:rPr>
            </w:pPr>
            <w:hyperlink r:id="rId207">
              <w:r>
                <w:rPr>
                  <w:rFonts w:ascii="Arial" w:cs="Arial" w:eastAsia="Arial" w:hAnsi="Arial"/>
                  <w:sz w:val="18"/>
                  <w:szCs w:val="18"/>
                  <w:u w:val="single" w:color="auto"/>
                  <w:color w:val="0000FF"/>
                  <w:w w:val="91"/>
                </w:rPr>
                <w:t>IP License Agreement between Oncimmune Limited, and Biodesix, Inc., dated October 31, 2019 (incorporated by reference to Exhibit</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10.16 to the Company’s Registration Statement on Form S-1/A filed 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060" w:type="dxa"/>
            <w:vAlign w:val="bottom"/>
          </w:tcPr>
          <w:p>
            <w:pPr>
              <w:ind w:left="300"/>
              <w:spacing w:after="0"/>
              <w:rPr>
                <w:rFonts w:ascii="Arial" w:cs="Arial" w:eastAsia="Arial" w:hAnsi="Arial"/>
                <w:sz w:val="18"/>
                <w:szCs w:val="18"/>
                <w:u w:val="single" w:color="auto"/>
                <w:color w:val="0000FF"/>
                <w:w w:val="94"/>
              </w:rPr>
            </w:pPr>
            <w:hyperlink r:id="rId208">
              <w:r>
                <w:rPr>
                  <w:rFonts w:ascii="Arial" w:cs="Arial" w:eastAsia="Arial" w:hAnsi="Arial"/>
                  <w:sz w:val="18"/>
                  <w:szCs w:val="18"/>
                  <w:u w:val="single" w:color="auto"/>
                  <w:color w:val="0000FF"/>
                  <w:w w:val="94"/>
                </w:rPr>
                <w:t>Non-Exclusive License Agreement between Bio-Rad Laboratories, Inc., and Biodesix, Inc., dated August 1, 2019 (incorporated by</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w w:val="99"/>
              </w:rPr>
            </w:pPr>
            <w:hyperlink r:id="rId208">
              <w:r>
                <w:rPr>
                  <w:rFonts w:ascii="Arial" w:cs="Arial" w:eastAsia="Arial" w:hAnsi="Arial"/>
                  <w:sz w:val="18"/>
                  <w:szCs w:val="18"/>
                  <w:u w:val="single" w:color="auto"/>
                  <w:color w:val="0000FF"/>
                  <w:w w:val="99"/>
                </w:rPr>
                <w:t>reference to Exhibit 10.17 to the Company’s Registration Statement on Form S-1/A filed 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060" w:type="dxa"/>
            <w:vAlign w:val="bottom"/>
          </w:tcPr>
          <w:p>
            <w:pPr>
              <w:ind w:left="300"/>
              <w:spacing w:after="0"/>
              <w:rPr>
                <w:rFonts w:ascii="Arial" w:cs="Arial" w:eastAsia="Arial" w:hAnsi="Arial"/>
                <w:sz w:val="18"/>
                <w:szCs w:val="18"/>
                <w:u w:val="single" w:color="auto"/>
                <w:color w:val="0000FF"/>
                <w:w w:val="91"/>
              </w:rPr>
            </w:pPr>
            <w:hyperlink r:id="rId209">
              <w:r>
                <w:rPr>
                  <w:rFonts w:ascii="Arial" w:cs="Arial" w:eastAsia="Arial" w:hAnsi="Arial"/>
                  <w:sz w:val="18"/>
                  <w:szCs w:val="18"/>
                  <w:u w:val="single" w:color="auto"/>
                  <w:color w:val="0000FF"/>
                  <w:w w:val="91"/>
                </w:rPr>
                <w:t>Supply Agreement between Biodesix, Inc., and Oncimmune, dated October 31, 2019 (incorporated by reference to Exhibit 10.18 to the</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Company’s Registration Statement on Form S-1/A filed 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060" w:type="dxa"/>
            <w:vAlign w:val="bottom"/>
          </w:tcPr>
          <w:p>
            <w:pPr>
              <w:ind w:left="300"/>
              <w:spacing w:after="0"/>
              <w:rPr>
                <w:rFonts w:ascii="Arial" w:cs="Arial" w:eastAsia="Arial" w:hAnsi="Arial"/>
                <w:sz w:val="18"/>
                <w:szCs w:val="18"/>
                <w:u w:val="single" w:color="auto"/>
                <w:color w:val="0000FF"/>
                <w:w w:val="91"/>
              </w:rPr>
            </w:pPr>
            <w:hyperlink r:id="rId210">
              <w:r>
                <w:rPr>
                  <w:rFonts w:ascii="Arial" w:cs="Arial" w:eastAsia="Arial" w:hAnsi="Arial"/>
                  <w:sz w:val="18"/>
                  <w:szCs w:val="18"/>
                  <w:u w:val="single" w:color="auto"/>
                  <w:color w:val="0000FF"/>
                  <w:w w:val="91"/>
                </w:rPr>
                <w:t>Supply Agreement between Bio-Rad Laboratories, Inc., and Biodesix, Inc., dated August 1, 2019 (incorporated by reference to Exhibit</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10.19 to the Company’s Registration Statement on Form S-1/A filed 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060" w:type="dxa"/>
            <w:vAlign w:val="bottom"/>
          </w:tcPr>
          <w:p>
            <w:pPr>
              <w:ind w:left="300"/>
              <w:spacing w:after="0"/>
              <w:rPr>
                <w:rFonts w:ascii="Arial" w:cs="Arial" w:eastAsia="Arial" w:hAnsi="Arial"/>
                <w:sz w:val="18"/>
                <w:szCs w:val="18"/>
                <w:u w:val="single" w:color="auto"/>
                <w:color w:val="0000FF"/>
                <w:w w:val="95"/>
              </w:rPr>
            </w:pPr>
            <w:hyperlink r:id="rId211">
              <w:r>
                <w:rPr>
                  <w:rFonts w:ascii="Arial" w:cs="Arial" w:eastAsia="Arial" w:hAnsi="Arial"/>
                  <w:sz w:val="18"/>
                  <w:szCs w:val="18"/>
                  <w:u w:val="single" w:color="auto"/>
                  <w:color w:val="0000FF"/>
                  <w:w w:val="95"/>
                </w:rPr>
                <w:t>Co-Development and Collaboration Agreement between AVEO Pharmaceuticals, Inc., and Biodesix, Inc., dated April 9, 2014, as</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2"/>
              </w:rPr>
            </w:pPr>
            <w:hyperlink r:id="rId211">
              <w:r>
                <w:rPr>
                  <w:rFonts w:ascii="Arial" w:cs="Arial" w:eastAsia="Arial" w:hAnsi="Arial"/>
                  <w:sz w:val="18"/>
                  <w:szCs w:val="18"/>
                  <w:u w:val="single" w:color="auto"/>
                  <w:color w:val="0000FF"/>
                  <w:w w:val="92"/>
                </w:rPr>
                <w:t>amended October 14, 2016 (incorporated by reference to Exhibit 10.20 to the Company’s Registration Statement on Form S-1/A filed</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with the SEC on October 9,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060" w:type="dxa"/>
            <w:vAlign w:val="bottom"/>
          </w:tcPr>
          <w:p>
            <w:pPr>
              <w:ind w:left="300"/>
              <w:spacing w:after="0"/>
              <w:rPr>
                <w:rFonts w:ascii="Arial" w:cs="Arial" w:eastAsia="Arial" w:hAnsi="Arial"/>
                <w:sz w:val="18"/>
                <w:szCs w:val="18"/>
                <w:u w:val="single" w:color="auto"/>
                <w:color w:val="0000FF"/>
                <w:w w:val="93"/>
              </w:rPr>
            </w:pPr>
            <w:hyperlink r:id="rId212">
              <w:r>
                <w:rPr>
                  <w:rFonts w:ascii="Arial" w:cs="Arial" w:eastAsia="Arial" w:hAnsi="Arial"/>
                  <w:sz w:val="18"/>
                  <w:szCs w:val="18"/>
                  <w:u w:val="single" w:color="auto"/>
                  <w:color w:val="0000FF"/>
                  <w:w w:val="93"/>
                </w:rPr>
                <w:t>Contingent Value Rights Agreement between Biodesix, Inc. and Holders on Schedule A mentioned within, dated February 22, 2016</w:t>
              </w:r>
            </w:hyperlink>
          </w:p>
        </w:tc>
      </w:tr>
      <w:tr>
        <w:trPr>
          <w:trHeight w:val="176"/>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3"/>
              </w:rPr>
            </w:pPr>
            <w:hyperlink r:id="rId212">
              <w:r>
                <w:rPr>
                  <w:rFonts w:ascii="Arial" w:cs="Arial" w:eastAsia="Arial" w:hAnsi="Arial"/>
                  <w:sz w:val="18"/>
                  <w:szCs w:val="18"/>
                  <w:u w:val="single" w:color="auto"/>
                  <w:color w:val="0000FF"/>
                  <w:w w:val="93"/>
                </w:rPr>
                <w:t>(incorporated by reference to Exhibit 10.22 to the Company’s Registration Statement on Form S-1 filed with the SEC on October 2,</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060" w:type="dxa"/>
            <w:vAlign w:val="bottom"/>
          </w:tcPr>
          <w:p>
            <w:pPr>
              <w:ind w:left="300"/>
              <w:spacing w:after="0"/>
              <w:rPr>
                <w:rFonts w:ascii="Arial" w:cs="Arial" w:eastAsia="Arial" w:hAnsi="Arial"/>
                <w:sz w:val="18"/>
                <w:szCs w:val="18"/>
                <w:u w:val="single" w:color="auto"/>
                <w:color w:val="0000FF"/>
                <w:w w:val="93"/>
              </w:rPr>
            </w:pPr>
            <w:hyperlink r:id="rId213">
              <w:r>
                <w:rPr>
                  <w:rFonts w:ascii="Arial" w:cs="Arial" w:eastAsia="Arial" w:hAnsi="Arial"/>
                  <w:sz w:val="18"/>
                  <w:szCs w:val="18"/>
                  <w:u w:val="single" w:color="auto"/>
                  <w:color w:val="0000FF"/>
                  <w:w w:val="93"/>
                </w:rPr>
                <w:t>Asset Purchase Agreement among Biodesix, Inc., Integrated Diagnostics, Inc., and the stockholders of Integrated Diagnostics, Inc.,</w:t>
              </w:r>
            </w:hyperlink>
          </w:p>
        </w:tc>
      </w:tr>
      <w:tr>
        <w:trPr>
          <w:trHeight w:val="176"/>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1"/>
              </w:rPr>
            </w:pPr>
            <w:hyperlink r:id="rId213">
              <w:r>
                <w:rPr>
                  <w:rFonts w:ascii="Arial" w:cs="Arial" w:eastAsia="Arial" w:hAnsi="Arial"/>
                  <w:sz w:val="18"/>
                  <w:szCs w:val="18"/>
                  <w:u w:val="single" w:color="auto"/>
                  <w:color w:val="0000FF"/>
                  <w:w w:val="91"/>
                </w:rPr>
                <w:t>listed therein, dated June 30, 2018 (incorporated by reference to Exhibit 10.23 to the Company’s Registration Statement on Form S-1</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060" w:type="dxa"/>
            <w:vAlign w:val="bottom"/>
          </w:tcPr>
          <w:p>
            <w:pPr>
              <w:ind w:left="300"/>
              <w:spacing w:after="0"/>
              <w:rPr>
                <w:rFonts w:ascii="Arial" w:cs="Arial" w:eastAsia="Arial" w:hAnsi="Arial"/>
                <w:sz w:val="18"/>
                <w:szCs w:val="18"/>
                <w:u w:val="single" w:color="auto"/>
                <w:color w:val="0000FF"/>
                <w:w w:val="96"/>
              </w:rPr>
            </w:pPr>
            <w:hyperlink r:id="rId214">
              <w:r>
                <w:rPr>
                  <w:rFonts w:ascii="Arial" w:cs="Arial" w:eastAsia="Arial" w:hAnsi="Arial"/>
                  <w:sz w:val="18"/>
                  <w:szCs w:val="18"/>
                  <w:u w:val="single" w:color="auto"/>
                  <w:color w:val="0000FF"/>
                  <w:w w:val="96"/>
                </w:rPr>
                <w:t>Amendment No. 2 to Asset Purchase Agreement and Plan of Reorganization (incorporated by reference to Exhibit 10.38 to the</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Company's Form 10-Q filed with the SEC on August 10, 2021).</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060" w:type="dxa"/>
            <w:vAlign w:val="bottom"/>
          </w:tcPr>
          <w:p>
            <w:pPr>
              <w:ind w:left="300"/>
              <w:spacing w:after="0"/>
              <w:rPr>
                <w:rFonts w:ascii="Arial" w:cs="Arial" w:eastAsia="Arial" w:hAnsi="Arial"/>
                <w:sz w:val="18"/>
                <w:szCs w:val="18"/>
                <w:u w:val="single" w:color="auto"/>
                <w:color w:val="0000FF"/>
                <w:w w:val="89"/>
              </w:rPr>
            </w:pPr>
            <w:hyperlink r:id="rId215">
              <w:r>
                <w:rPr>
                  <w:rFonts w:ascii="Arial" w:cs="Arial" w:eastAsia="Arial" w:hAnsi="Arial"/>
                  <w:sz w:val="18"/>
                  <w:szCs w:val="18"/>
                  <w:u w:val="single" w:color="auto"/>
                  <w:color w:val="0000FF"/>
                  <w:w w:val="89"/>
                </w:rPr>
                <w:t>Asset Purchase Agreement between Oncimmune Limited and Biodesix, Inc., dated June 27, 2019, as amended to date (incorporated by</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reference to Exhibit 10.24 to the Company’s Registration Statement on Form S-1 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060" w:type="dxa"/>
            <w:vAlign w:val="bottom"/>
          </w:tcPr>
          <w:p>
            <w:pPr>
              <w:ind w:left="300"/>
              <w:spacing w:after="0"/>
              <w:rPr>
                <w:rFonts w:ascii="Arial" w:cs="Arial" w:eastAsia="Arial" w:hAnsi="Arial"/>
                <w:sz w:val="18"/>
                <w:szCs w:val="18"/>
                <w:u w:val="single" w:color="auto"/>
                <w:color w:val="0000FF"/>
                <w:w w:val="94"/>
              </w:rPr>
            </w:pPr>
            <w:hyperlink r:id="rId216">
              <w:r>
                <w:rPr>
                  <w:rFonts w:ascii="Arial" w:cs="Arial" w:eastAsia="Arial" w:hAnsi="Arial"/>
                  <w:sz w:val="18"/>
                  <w:szCs w:val="18"/>
                  <w:u w:val="single" w:color="auto"/>
                  <w:color w:val="0000FF"/>
                  <w:w w:val="94"/>
                </w:rPr>
                <w:t>COVID-19 Testing Laboratory Services Agreement by and between Biodesix, Inc., and Centura Health Corporation, dated April 3,</w:t>
              </w:r>
            </w:hyperlink>
          </w:p>
        </w:tc>
      </w:tr>
      <w:tr>
        <w:trPr>
          <w:trHeight w:val="176"/>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1"/>
              </w:rPr>
            </w:pPr>
            <w:hyperlink r:id="rId216">
              <w:r>
                <w:rPr>
                  <w:rFonts w:ascii="Arial" w:cs="Arial" w:eastAsia="Arial" w:hAnsi="Arial"/>
                  <w:sz w:val="18"/>
                  <w:szCs w:val="18"/>
                  <w:u w:val="single" w:color="auto"/>
                  <w:color w:val="0000FF"/>
                  <w:w w:val="91"/>
                </w:rPr>
                <w:t>2020 (incorporated by reference to Exhibit 10.25 to the Company’s Registration Statement on Form S-1 filed with the SEC on October</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060" w:type="dxa"/>
            <w:vAlign w:val="bottom"/>
          </w:tcPr>
          <w:p>
            <w:pPr>
              <w:ind w:left="30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First Amendment to COVID-19 Testing Laboratory Services Agreement by and between Biodesix, Inc. and Centura Health</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2"/>
              </w:rPr>
            </w:pPr>
            <w:hyperlink r:id="rId217">
              <w:r>
                <w:rPr>
                  <w:rFonts w:ascii="Arial" w:cs="Arial" w:eastAsia="Arial" w:hAnsi="Arial"/>
                  <w:sz w:val="18"/>
                  <w:szCs w:val="18"/>
                  <w:u w:val="single" w:color="auto"/>
                  <w:color w:val="0000FF"/>
                  <w:w w:val="92"/>
                </w:rPr>
                <w:t>Corporation, dated April 23, 2020 (incorporated by reference to Exhibit 10.26 to the Company’s Registration Statement on Form S-1</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060" w:type="dxa"/>
            <w:vAlign w:val="bottom"/>
          </w:tcPr>
          <w:p>
            <w:pPr>
              <w:ind w:left="300"/>
              <w:spacing w:after="0"/>
              <w:rPr>
                <w:rFonts w:ascii="Arial" w:cs="Arial" w:eastAsia="Arial" w:hAnsi="Arial"/>
                <w:sz w:val="18"/>
                <w:szCs w:val="18"/>
                <w:u w:val="single" w:color="auto"/>
                <w:color w:val="0000FF"/>
                <w:w w:val="97"/>
              </w:rPr>
            </w:pPr>
            <w:hyperlink r:id="rId218">
              <w:r>
                <w:rPr>
                  <w:rFonts w:ascii="Arial" w:cs="Arial" w:eastAsia="Arial" w:hAnsi="Arial"/>
                  <w:sz w:val="18"/>
                  <w:szCs w:val="18"/>
                  <w:u w:val="single" w:color="auto"/>
                  <w:color w:val="0000FF"/>
                  <w:w w:val="97"/>
                </w:rPr>
                <w:t>Second Amendment to COVID-19 Testing Laboratory Services Agreement by and between Biodesix, Inc. and Centura Health</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3"/>
              </w:rPr>
            </w:pPr>
            <w:hyperlink r:id="rId218">
              <w:r>
                <w:rPr>
                  <w:rFonts w:ascii="Arial" w:cs="Arial" w:eastAsia="Arial" w:hAnsi="Arial"/>
                  <w:sz w:val="18"/>
                  <w:szCs w:val="18"/>
                  <w:u w:val="single" w:color="auto"/>
                  <w:color w:val="0000FF"/>
                  <w:w w:val="93"/>
                </w:rPr>
                <w:t>Corporation, dated May 27, 2020 (incorporated by reference to Exhibit 10.27 to the Company’s Registration Statement on Form S-1</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10.30†**</w:t>
            </w:r>
          </w:p>
        </w:tc>
        <w:tc>
          <w:tcPr>
            <w:tcW w:w="10060" w:type="dxa"/>
            <w:vAlign w:val="bottom"/>
          </w:tcPr>
          <w:p>
            <w:pPr>
              <w:ind w:left="300"/>
              <w:spacing w:after="0"/>
              <w:rPr>
                <w:rFonts w:ascii="Arial" w:cs="Arial" w:eastAsia="Arial" w:hAnsi="Arial"/>
                <w:sz w:val="18"/>
                <w:szCs w:val="18"/>
                <w:u w:val="single" w:color="auto"/>
                <w:color w:val="0000FF"/>
                <w:w w:val="99"/>
              </w:rPr>
            </w:pPr>
            <w:hyperlink r:id="rId219">
              <w:r>
                <w:rPr>
                  <w:rFonts w:ascii="Arial" w:cs="Arial" w:eastAsia="Arial" w:hAnsi="Arial"/>
                  <w:sz w:val="18"/>
                  <w:szCs w:val="18"/>
                  <w:u w:val="single" w:color="auto"/>
                  <w:color w:val="0000FF"/>
                  <w:w w:val="99"/>
                </w:rPr>
                <w:t>Third Amendment to COVID-19 Testing Laboratory Services Agreement by and between Biodesix, Inc. and Centura Health</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2"/>
              </w:rPr>
            </w:pPr>
            <w:hyperlink r:id="rId219">
              <w:r>
                <w:rPr>
                  <w:rFonts w:ascii="Arial" w:cs="Arial" w:eastAsia="Arial" w:hAnsi="Arial"/>
                  <w:sz w:val="18"/>
                  <w:szCs w:val="18"/>
                  <w:u w:val="single" w:color="auto"/>
                  <w:color w:val="0000FF"/>
                  <w:w w:val="92"/>
                </w:rPr>
                <w:t>Corporation, dated August 7, 2020 (incorporated by reference to Exhibit 10.28 to the Company’s Registration Statement on Form S-1</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10.31†**</w:t>
            </w:r>
          </w:p>
        </w:tc>
        <w:tc>
          <w:tcPr>
            <w:tcW w:w="10060" w:type="dxa"/>
            <w:vAlign w:val="bottom"/>
          </w:tcPr>
          <w:p>
            <w:pPr>
              <w:ind w:left="300"/>
              <w:spacing w:after="0"/>
              <w:rPr>
                <w:rFonts w:ascii="Arial" w:cs="Arial" w:eastAsia="Arial" w:hAnsi="Arial"/>
                <w:sz w:val="18"/>
                <w:szCs w:val="18"/>
                <w:u w:val="single" w:color="auto"/>
                <w:color w:val="0000FF"/>
                <w:w w:val="93"/>
              </w:rPr>
            </w:pPr>
            <w:hyperlink r:id="rId220">
              <w:r>
                <w:rPr>
                  <w:rFonts w:ascii="Arial" w:cs="Arial" w:eastAsia="Arial" w:hAnsi="Arial"/>
                  <w:sz w:val="18"/>
                  <w:szCs w:val="18"/>
                  <w:u w:val="single" w:color="auto"/>
                  <w:color w:val="0000FF"/>
                  <w:w w:val="93"/>
                </w:rPr>
                <w:t>Contract Agreement between Biodesix, Inc. and the Colorado Department of Public Health and Environment, dated September 11,</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1"/>
              </w:rPr>
            </w:pPr>
            <w:hyperlink r:id="rId220">
              <w:r>
                <w:rPr>
                  <w:rFonts w:ascii="Arial" w:cs="Arial" w:eastAsia="Arial" w:hAnsi="Arial"/>
                  <w:sz w:val="18"/>
                  <w:szCs w:val="18"/>
                  <w:u w:val="single" w:color="auto"/>
                  <w:color w:val="0000FF"/>
                  <w:w w:val="91"/>
                </w:rPr>
                <w:t>2020 (incorporated by reference to Exhibit 10.29 to the Company’s Registration Statement on Form S-1 filed with the SEC on October</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10060" w:type="dxa"/>
            <w:vAlign w:val="bottom"/>
          </w:tcPr>
          <w:p>
            <w:pPr>
              <w:ind w:left="300"/>
              <w:spacing w:after="0"/>
              <w:rPr>
                <w:rFonts w:ascii="Arial" w:cs="Arial" w:eastAsia="Arial" w:hAnsi="Arial"/>
                <w:sz w:val="18"/>
                <w:szCs w:val="18"/>
                <w:u w:val="single" w:color="auto"/>
                <w:color w:val="0000FF"/>
                <w:w w:val="93"/>
              </w:rPr>
            </w:pPr>
            <w:hyperlink r:id="rId221">
              <w:r>
                <w:rPr>
                  <w:rFonts w:ascii="Arial" w:cs="Arial" w:eastAsia="Arial" w:hAnsi="Arial"/>
                  <w:sz w:val="18"/>
                  <w:szCs w:val="18"/>
                  <w:u w:val="single" w:color="auto"/>
                  <w:color w:val="0000FF"/>
                  <w:w w:val="93"/>
                </w:rPr>
                <w:t>Material Transfer Agreement by and between Biodesix, Inc. and Bio-Rad Laboratories, Inc., dated March 23, 2020 (incorporated by</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reference to Exhibit 10.30 to the Company’s Registration Statement on Form S-1 filed with the SEC on October 2, 2020).</w:t>
              </w:r>
            </w:hyperlink>
          </w:p>
        </w:tc>
      </w:tr>
      <w:tr>
        <w:trPr>
          <w:trHeight w:val="256"/>
        </w:trPr>
        <w:tc>
          <w:tcPr>
            <w:tcW w:w="980" w:type="dxa"/>
            <w:vAlign w:val="bottom"/>
          </w:tcPr>
          <w:p>
            <w:pPr>
              <w:spacing w:after="0"/>
              <w:rPr>
                <w:sz w:val="20"/>
                <w:szCs w:val="20"/>
                <w:color w:val="auto"/>
              </w:rPr>
            </w:pPr>
            <w:r>
              <w:rPr>
                <w:rFonts w:ascii="Arial" w:cs="Arial" w:eastAsia="Arial" w:hAnsi="Arial"/>
                <w:sz w:val="18"/>
                <w:szCs w:val="18"/>
                <w:color w:val="auto"/>
              </w:rPr>
              <w:t>10.33†**</w:t>
            </w:r>
          </w:p>
        </w:tc>
        <w:tc>
          <w:tcPr>
            <w:tcW w:w="10060" w:type="dxa"/>
            <w:vAlign w:val="bottom"/>
          </w:tcPr>
          <w:p>
            <w:pPr>
              <w:ind w:left="300"/>
              <w:spacing w:after="0"/>
              <w:rPr>
                <w:rFonts w:ascii="Arial" w:cs="Arial" w:eastAsia="Arial" w:hAnsi="Arial"/>
                <w:sz w:val="18"/>
                <w:szCs w:val="18"/>
                <w:u w:val="single" w:color="auto"/>
                <w:color w:val="0000FF"/>
                <w:w w:val="93"/>
              </w:rPr>
            </w:pPr>
            <w:hyperlink r:id="rId222">
              <w:r>
                <w:rPr>
                  <w:rFonts w:ascii="Arial" w:cs="Arial" w:eastAsia="Arial" w:hAnsi="Arial"/>
                  <w:sz w:val="18"/>
                  <w:szCs w:val="18"/>
                  <w:u w:val="single" w:color="auto"/>
                  <w:color w:val="0000FF"/>
                  <w:w w:val="93"/>
                </w:rPr>
                <w:t>First Amendment to Material Transfer Agreement by and between Biodesix, Inc. and Bio-Rad Laboratories, Inc. dated April 3, 2020</w:t>
              </w:r>
            </w:hyperlink>
          </w:p>
        </w:tc>
      </w:tr>
      <w:tr>
        <w:trPr>
          <w:trHeight w:val="175"/>
        </w:trPr>
        <w:tc>
          <w:tcPr>
            <w:tcW w:w="980" w:type="dxa"/>
            <w:vAlign w:val="bottom"/>
          </w:tcPr>
          <w:p>
            <w:pPr>
              <w:spacing w:after="0"/>
              <w:rPr>
                <w:sz w:val="15"/>
                <w:szCs w:val="15"/>
                <w:color w:val="auto"/>
              </w:rPr>
            </w:pPr>
          </w:p>
        </w:tc>
        <w:tc>
          <w:tcPr>
            <w:tcW w:w="10060" w:type="dxa"/>
            <w:vAlign w:val="bottom"/>
          </w:tcPr>
          <w:p>
            <w:pPr>
              <w:ind w:left="300"/>
              <w:spacing w:after="0" w:line="176" w:lineRule="exact"/>
              <w:rPr>
                <w:rFonts w:ascii="Arial" w:cs="Arial" w:eastAsia="Arial" w:hAnsi="Arial"/>
                <w:sz w:val="18"/>
                <w:szCs w:val="18"/>
                <w:u w:val="single" w:color="auto"/>
                <w:color w:val="0000FF"/>
                <w:w w:val="93"/>
              </w:rPr>
            </w:pPr>
            <w:hyperlink r:id="rId222">
              <w:r>
                <w:rPr>
                  <w:rFonts w:ascii="Arial" w:cs="Arial" w:eastAsia="Arial" w:hAnsi="Arial"/>
                  <w:sz w:val="18"/>
                  <w:szCs w:val="18"/>
                  <w:u w:val="single" w:color="auto"/>
                  <w:color w:val="0000FF"/>
                  <w:w w:val="93"/>
                </w:rPr>
                <w:t>(incorporated by reference to Exhibit 10.31 to the Company’s Registration Statement on Form S-1 filed with the SEC on October 2,</w:t>
              </w:r>
            </w:hyperlink>
          </w:p>
        </w:tc>
      </w:tr>
      <w:tr>
        <w:trPr>
          <w:trHeight w:val="230"/>
        </w:trPr>
        <w:tc>
          <w:tcPr>
            <w:tcW w:w="980" w:type="dxa"/>
            <w:vAlign w:val="bottom"/>
          </w:tcPr>
          <w:p>
            <w:pPr>
              <w:spacing w:after="0"/>
              <w:rPr>
                <w:sz w:val="20"/>
                <w:szCs w:val="20"/>
                <w:color w:val="auto"/>
              </w:rPr>
            </w:pPr>
          </w:p>
        </w:tc>
        <w:tc>
          <w:tcPr>
            <w:tcW w:w="10060" w:type="dxa"/>
            <w:vAlign w:val="bottom"/>
          </w:tcPr>
          <w:p>
            <w:pPr>
              <w:ind w:left="300"/>
              <w:spacing w:after="0"/>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2020).</w:t>
              </w:r>
            </w:hyperlink>
          </w:p>
        </w:tc>
      </w:tr>
      <w:tr>
        <w:trPr>
          <w:trHeight w:val="728"/>
        </w:trPr>
        <w:tc>
          <w:tcPr>
            <w:tcW w:w="980" w:type="dxa"/>
            <w:vAlign w:val="bottom"/>
          </w:tcPr>
          <w:p>
            <w:pPr>
              <w:spacing w:after="0"/>
              <w:rPr>
                <w:sz w:val="24"/>
                <w:szCs w:val="24"/>
                <w:color w:val="auto"/>
              </w:rPr>
            </w:pPr>
          </w:p>
        </w:tc>
        <w:tc>
          <w:tcPr>
            <w:tcW w:w="10060" w:type="dxa"/>
            <w:vAlign w:val="bottom"/>
          </w:tcPr>
          <w:p>
            <w:pPr>
              <w:ind w:left="4400"/>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46990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-6539865</wp:posOffset>
            </wp:positionV>
            <wp:extent cx="61861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4">
                      <a:extLst>
                        <a:ext uri="{28A0092B-C50C-407E-A947-70E740481C1C}"/>
                      </a:extLst>
                    </a:blip>
                    <a:srcRect/>
                    <a:stretch>
                      <a:fillRect/>
                    </a:stretch>
                  </pic:blipFill>
                  <pic:spPr bwMode="auto">
                    <a:xfrm>
                      <a:off x="0" y="0"/>
                      <a:ext cx="618617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-6428740</wp:posOffset>
            </wp:positionV>
            <wp:extent cx="5102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5">
                      <a:extLst>
                        <a:ext uri="{28A0092B-C50C-407E-A947-70E740481C1C}"/>
                      </a:extLst>
                    </a:blip>
                    <a:srcRect/>
                    <a:stretch>
                      <a:fillRect/>
                    </a:stretch>
                  </pic:blipFill>
                  <pic:spPr bwMode="auto">
                    <a:xfrm>
                      <a:off x="0" y="0"/>
                      <a:ext cx="510286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-6231255</wp:posOffset>
            </wp:positionV>
            <wp:extent cx="61893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6">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-6120130</wp:posOffset>
            </wp:positionV>
            <wp:extent cx="47377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7">
                      <a:extLst>
                        <a:ext uri="{28A0092B-C50C-407E-A947-70E740481C1C}"/>
                      </a:extLst>
                    </a:blip>
                    <a:srcRect/>
                    <a:stretch>
                      <a:fillRect/>
                    </a:stretch>
                  </pic:blipFill>
                  <pic:spPr bwMode="auto">
                    <a:xfrm>
                      <a:off x="0" y="0"/>
                      <a:ext cx="473773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-5922645</wp:posOffset>
            </wp:positionV>
            <wp:extent cx="61918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8">
                      <a:extLst>
                        <a:ext uri="{28A0092B-C50C-407E-A947-70E740481C1C}"/>
                      </a:extLst>
                    </a:blip>
                    <a:srcRect/>
                    <a:stretch>
                      <a:fillRect/>
                    </a:stretch>
                  </pic:blipFill>
                  <pic:spPr bwMode="auto">
                    <a:xfrm>
                      <a:off x="0" y="0"/>
                      <a:ext cx="619188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-5811520</wp:posOffset>
            </wp:positionV>
            <wp:extent cx="5673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9">
                      <a:extLst>
                        <a:ext uri="{28A0092B-C50C-407E-A947-70E740481C1C}"/>
                      </a:extLst>
                    </a:blip>
                    <a:srcRect/>
                    <a:stretch>
                      <a:fillRect/>
                    </a:stretch>
                  </pic:blipFill>
                  <pic:spPr bwMode="auto">
                    <a:xfrm>
                      <a:off x="0" y="0"/>
                      <a:ext cx="567372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-5614670</wp:posOffset>
            </wp:positionV>
            <wp:extent cx="61912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0">
                      <a:extLst>
                        <a:ext uri="{28A0092B-C50C-407E-A947-70E740481C1C}"/>
                      </a:extLst>
                    </a:blip>
                    <a:srcRect/>
                    <a:stretch>
                      <a:fillRect/>
                    </a:stretch>
                  </pic:blipFill>
                  <pic:spPr bwMode="auto">
                    <a:xfrm>
                      <a:off x="0" y="0"/>
                      <a:ext cx="619125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-5502910</wp:posOffset>
            </wp:positionV>
            <wp:extent cx="4166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1">
                      <a:extLst>
                        <a:ext uri="{28A0092B-C50C-407E-A947-70E740481C1C}"/>
                      </a:extLst>
                    </a:blip>
                    <a:srcRect/>
                    <a:stretch>
                      <a:fillRect/>
                    </a:stretch>
                  </pic:blipFill>
                  <pic:spPr bwMode="auto">
                    <a:xfrm>
                      <a:off x="0" y="0"/>
                      <a:ext cx="416687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-5305425</wp:posOffset>
            </wp:positionV>
            <wp:extent cx="61937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2">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-5194300</wp:posOffset>
            </wp:positionV>
            <wp:extent cx="47377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3">
                      <a:extLst>
                        <a:ext uri="{28A0092B-C50C-407E-A947-70E740481C1C}"/>
                      </a:extLst>
                    </a:blip>
                    <a:srcRect/>
                    <a:stretch>
                      <a:fillRect/>
                    </a:stretch>
                  </pic:blipFill>
                  <pic:spPr bwMode="auto">
                    <a:xfrm>
                      <a:off x="0" y="0"/>
                      <a:ext cx="473773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-4996815</wp:posOffset>
            </wp:positionV>
            <wp:extent cx="61918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4">
                      <a:extLst>
                        <a:ext uri="{28A0092B-C50C-407E-A947-70E740481C1C}"/>
                      </a:extLst>
                    </a:blip>
                    <a:srcRect/>
                    <a:stretch>
                      <a:fillRect/>
                    </a:stretch>
                  </pic:blipFill>
                  <pic:spPr bwMode="auto">
                    <a:xfrm>
                      <a:off x="0" y="0"/>
                      <a:ext cx="619188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-4885690</wp:posOffset>
            </wp:positionV>
            <wp:extent cx="61887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5">
                      <a:extLst>
                        <a:ext uri="{28A0092B-C50C-407E-A947-70E740481C1C}"/>
                      </a:extLst>
                    </a:blip>
                    <a:srcRect/>
                    <a:stretch>
                      <a:fillRect/>
                    </a:stretch>
                  </pic:blipFill>
                  <pic:spPr bwMode="auto">
                    <a:xfrm>
                      <a:off x="0" y="0"/>
                      <a:ext cx="618871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-4773930</wp:posOffset>
            </wp:positionV>
            <wp:extent cx="15868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158686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-4577080</wp:posOffset>
            </wp:positionV>
            <wp:extent cx="61887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7">
                      <a:extLst>
                        <a:ext uri="{28A0092B-C50C-407E-A947-70E740481C1C}"/>
                      </a:extLst>
                    </a:blip>
                    <a:srcRect/>
                    <a:stretch>
                      <a:fillRect/>
                    </a:stretch>
                  </pic:blipFill>
                  <pic:spPr bwMode="auto">
                    <a:xfrm>
                      <a:off x="0" y="0"/>
                      <a:ext cx="618871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-4465320</wp:posOffset>
            </wp:positionV>
            <wp:extent cx="61937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-4354195</wp:posOffset>
            </wp:positionV>
            <wp:extent cx="2952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-4157345</wp:posOffset>
            </wp:positionV>
            <wp:extent cx="61937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619379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-4045585</wp:posOffset>
            </wp:positionV>
            <wp:extent cx="61887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618871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-3934460</wp:posOffset>
            </wp:positionV>
            <wp:extent cx="18243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182435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-3736975</wp:posOffset>
            </wp:positionV>
            <wp:extent cx="61944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619442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-3625215</wp:posOffset>
            </wp:positionV>
            <wp:extent cx="29210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292100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-3428365</wp:posOffset>
            </wp:positionV>
            <wp:extent cx="618807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618807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-3316605</wp:posOffset>
            </wp:positionV>
            <wp:extent cx="55594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555942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-3119755</wp:posOffset>
            </wp:positionV>
            <wp:extent cx="61893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-3007995</wp:posOffset>
            </wp:positionV>
            <wp:extent cx="61912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-2896870</wp:posOffset>
            </wp:positionV>
            <wp:extent cx="4095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40957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-2700020</wp:posOffset>
            </wp:positionV>
            <wp:extent cx="61918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619188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-2588260</wp:posOffset>
            </wp:positionV>
            <wp:extent cx="618807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618807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-2477135</wp:posOffset>
            </wp:positionV>
            <wp:extent cx="18243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182435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-2279650</wp:posOffset>
            </wp:positionV>
            <wp:extent cx="6189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618998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-2167890</wp:posOffset>
            </wp:positionV>
            <wp:extent cx="61906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619061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-2056765</wp:posOffset>
            </wp:positionV>
            <wp:extent cx="18243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18243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-1859915</wp:posOffset>
            </wp:positionV>
            <wp:extent cx="61931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619315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-1748155</wp:posOffset>
            </wp:positionV>
            <wp:extent cx="61937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61937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-1637030</wp:posOffset>
            </wp:positionV>
            <wp:extent cx="18243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182435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-1439545</wp:posOffset>
            </wp:positionV>
            <wp:extent cx="61874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618744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-1328420</wp:posOffset>
            </wp:positionV>
            <wp:extent cx="61912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6191250"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-1216660</wp:posOffset>
            </wp:positionV>
            <wp:extent cx="409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40957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-1019810</wp:posOffset>
            </wp:positionV>
            <wp:extent cx="61944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619442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-908050</wp:posOffset>
            </wp:positionV>
            <wp:extent cx="55594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5559425" cy="825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-711200</wp:posOffset>
            </wp:positionV>
            <wp:extent cx="618807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6188075"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-599440</wp:posOffset>
            </wp:positionV>
            <wp:extent cx="61937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619379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-488315</wp:posOffset>
            </wp:positionV>
            <wp:extent cx="2952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ectPr>
          <w:pgSz w:w="11900" w:h="16838" w:orient="portrait"/>
          <w:cols w:equalWidth="0" w:num="1">
            <w:col w:w="11040"/>
          </w:cols>
          <w:pgMar w:left="420" w:top="297" w:right="439" w:bottom="1440" w:gutter="0" w:footer="0" w:header="0"/>
        </w:sectPr>
      </w:pPr>
    </w:p>
    <w:bookmarkStart w:id="106" w:name="page107"/>
    <w:bookmarkEnd w:id="106"/>
    <w:tbl>
      <w:tblPr>
        <w:tblLayout w:type="fixed"/>
        <w:tblInd w:w="10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rPr>
              <w:t>10.34†**</w:t>
            </w:r>
          </w:p>
        </w:tc>
        <w:tc>
          <w:tcPr>
            <w:tcW w:w="9980" w:type="dxa"/>
            <w:vAlign w:val="bottom"/>
            <w:gridSpan w:val="28"/>
          </w:tcPr>
          <w:p>
            <w:pPr>
              <w:spacing w:after="0"/>
              <w:rPr>
                <w:rFonts w:ascii="Arial" w:cs="Arial" w:eastAsia="Arial" w:hAnsi="Arial"/>
                <w:sz w:val="18"/>
                <w:szCs w:val="18"/>
                <w:color w:val="0000FF"/>
                <w:w w:val="96"/>
              </w:rPr>
            </w:pPr>
            <w:hyperlink r:id="rId267">
              <w:r>
                <w:rPr>
                  <w:rFonts w:ascii="Arial" w:cs="Arial" w:eastAsia="Arial" w:hAnsi="Arial"/>
                  <w:sz w:val="18"/>
                  <w:szCs w:val="18"/>
                  <w:color w:val="0000FF"/>
                  <w:w w:val="96"/>
                </w:rPr>
                <w:t>Material Transfer Agreement by and between Biodesix, Inc. and Bio-Rad Laboratories, Inc., dated April 17, 2020 (incorporated by</w:t>
              </w:r>
            </w:hyperlink>
          </w:p>
        </w:tc>
      </w:tr>
      <w:tr>
        <w:trPr>
          <w:trHeight w:val="156"/>
        </w:trPr>
        <w:tc>
          <w:tcPr>
            <w:tcW w:w="128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67">
              <w:r>
                <w:rPr>
                  <w:rFonts w:ascii="Arial" w:cs="Arial" w:eastAsia="Arial" w:hAnsi="Arial"/>
                  <w:sz w:val="18"/>
                  <w:szCs w:val="18"/>
                  <w:color w:val="0000FF"/>
                </w:rPr>
                <w:t>reference to Exhibit 10.32 to the Company’s Registration Statement on Form S-1 filed 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10.35†**</w:t>
            </w:r>
          </w:p>
        </w:tc>
        <w:tc>
          <w:tcPr>
            <w:tcW w:w="9980" w:type="dxa"/>
            <w:vAlign w:val="bottom"/>
            <w:gridSpan w:val="28"/>
          </w:tcPr>
          <w:p>
            <w:pPr>
              <w:spacing w:after="0"/>
              <w:rPr>
                <w:rFonts w:ascii="Arial" w:cs="Arial" w:eastAsia="Arial" w:hAnsi="Arial"/>
                <w:sz w:val="18"/>
                <w:szCs w:val="18"/>
                <w:color w:val="0000FF"/>
                <w:w w:val="96"/>
              </w:rPr>
            </w:pPr>
            <w:hyperlink r:id="rId268">
              <w:r>
                <w:rPr>
                  <w:rFonts w:ascii="Arial" w:cs="Arial" w:eastAsia="Arial" w:hAnsi="Arial"/>
                  <w:sz w:val="18"/>
                  <w:szCs w:val="18"/>
                  <w:color w:val="0000FF"/>
                  <w:w w:val="96"/>
                </w:rPr>
                <w:t>Price Agreement by and between Biodesix, Inc. and Bio-Rad Laboratories, Inc., dated May 12, 2020 (incorporated by reference to</w:t>
              </w:r>
            </w:hyperlink>
          </w:p>
        </w:tc>
      </w:tr>
      <w:tr>
        <w:trPr>
          <w:trHeight w:val="156"/>
        </w:trPr>
        <w:tc>
          <w:tcPr>
            <w:tcW w:w="128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68">
              <w:r>
                <w:rPr>
                  <w:rFonts w:ascii="Arial" w:cs="Arial" w:eastAsia="Arial" w:hAnsi="Arial"/>
                  <w:sz w:val="18"/>
                  <w:szCs w:val="18"/>
                  <w:color w:val="0000FF"/>
                </w:rPr>
                <w:t>Exhibit 10.33 to the Company’s Registration Statement on Form S-1 filed with the SEC on October 2,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10.36**</w:t>
            </w:r>
          </w:p>
        </w:tc>
        <w:tc>
          <w:tcPr>
            <w:tcW w:w="9980" w:type="dxa"/>
            <w:vAlign w:val="bottom"/>
            <w:gridSpan w:val="28"/>
          </w:tcPr>
          <w:p>
            <w:pPr>
              <w:spacing w:after="0"/>
              <w:rPr>
                <w:rFonts w:ascii="Arial" w:cs="Arial" w:eastAsia="Arial" w:hAnsi="Arial"/>
                <w:sz w:val="18"/>
                <w:szCs w:val="18"/>
                <w:color w:val="0000FF"/>
              </w:rPr>
            </w:pPr>
            <w:hyperlink r:id="rId269">
              <w:r>
                <w:rPr>
                  <w:rFonts w:ascii="Arial" w:cs="Arial" w:eastAsia="Arial" w:hAnsi="Arial"/>
                  <w:sz w:val="18"/>
                  <w:szCs w:val="18"/>
                  <w:color w:val="0000FF"/>
                </w:rPr>
                <w:t>Letter from Bio-Rad Laboratories, Inc. dated August 7, 2020 (incorporated by reference to Exhibit 10.33 to the Company’s</w:t>
              </w:r>
            </w:hyperlink>
          </w:p>
        </w:tc>
      </w:tr>
      <w:tr>
        <w:trPr>
          <w:trHeight w:val="156"/>
        </w:trPr>
        <w:tc>
          <w:tcPr>
            <w:tcW w:w="128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9">
              <w:r>
                <w:rPr>
                  <w:rFonts w:ascii="Arial" w:cs="Arial" w:eastAsia="Arial" w:hAnsi="Arial"/>
                  <w:sz w:val="18"/>
                  <w:szCs w:val="18"/>
                  <w:color w:val="0000FF"/>
                  <w:w w:val="91"/>
                </w:rPr>
                <w:t>Registration Statement on Form S-1/A filed with the SEC on October 21, 2020).</w:t>
              </w:r>
            </w:hyperlink>
          </w:p>
        </w:tc>
        <w:tc>
          <w:tcPr>
            <w:tcW w:w="40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10.37**</w:t>
            </w:r>
          </w:p>
        </w:tc>
        <w:tc>
          <w:tcPr>
            <w:tcW w:w="9980" w:type="dxa"/>
            <w:vAlign w:val="bottom"/>
            <w:gridSpan w:val="28"/>
          </w:tcPr>
          <w:p>
            <w:pPr>
              <w:spacing w:after="0"/>
              <w:rPr>
                <w:rFonts w:ascii="Arial" w:cs="Arial" w:eastAsia="Arial" w:hAnsi="Arial"/>
                <w:sz w:val="18"/>
                <w:szCs w:val="18"/>
                <w:color w:val="0000FF"/>
              </w:rPr>
            </w:pPr>
            <w:hyperlink r:id="rId270">
              <w:r>
                <w:rPr>
                  <w:rFonts w:ascii="Arial" w:cs="Arial" w:eastAsia="Arial" w:hAnsi="Arial"/>
                  <w:sz w:val="18"/>
                  <w:szCs w:val="18"/>
                  <w:color w:val="0000FF"/>
                </w:rPr>
                <w:t>Letter from Bio-Rad Laboratories, Inc. dated August 14, 2020 (incorporated by reference to Exhibit 10.34 to the Company’s</w:t>
              </w:r>
            </w:hyperlink>
          </w:p>
        </w:tc>
      </w:tr>
      <w:tr>
        <w:trPr>
          <w:trHeight w:val="156"/>
        </w:trPr>
        <w:tc>
          <w:tcPr>
            <w:tcW w:w="128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70">
              <w:r>
                <w:rPr>
                  <w:rFonts w:ascii="Arial" w:cs="Arial" w:eastAsia="Arial" w:hAnsi="Arial"/>
                  <w:sz w:val="18"/>
                  <w:szCs w:val="18"/>
                  <w:color w:val="0000FF"/>
                  <w:w w:val="91"/>
                </w:rPr>
                <w:t>Registration Statement on Form S-1/A filed with the SEC on October 21, 2020).</w:t>
              </w:r>
            </w:hyperlink>
          </w:p>
        </w:tc>
        <w:tc>
          <w:tcPr>
            <w:tcW w:w="398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10.38**</w:t>
            </w:r>
          </w:p>
        </w:tc>
        <w:tc>
          <w:tcPr>
            <w:tcW w:w="9980" w:type="dxa"/>
            <w:vAlign w:val="bottom"/>
            <w:gridSpan w:val="28"/>
          </w:tcPr>
          <w:p>
            <w:pPr>
              <w:spacing w:after="0"/>
              <w:rPr>
                <w:rFonts w:ascii="Arial" w:cs="Arial" w:eastAsia="Arial" w:hAnsi="Arial"/>
                <w:sz w:val="18"/>
                <w:szCs w:val="18"/>
                <w:color w:val="0000FF"/>
                <w:w w:val="96"/>
              </w:rPr>
            </w:pPr>
            <w:hyperlink r:id="rId271">
              <w:r>
                <w:rPr>
                  <w:rFonts w:ascii="Arial" w:cs="Arial" w:eastAsia="Arial" w:hAnsi="Arial"/>
                  <w:sz w:val="18"/>
                  <w:szCs w:val="18"/>
                  <w:color w:val="0000FF"/>
                  <w:w w:val="96"/>
                </w:rPr>
                <w:t>First Amendment to the Non-Exclusive License Agreement between Bio-Rad Laboratories, Inc., and Biodesix, Inc., dated May 24,</w:t>
              </w:r>
            </w:hyperlink>
          </w:p>
        </w:tc>
      </w:tr>
      <w:tr>
        <w:trPr>
          <w:trHeight w:val="155"/>
        </w:trPr>
        <w:tc>
          <w:tcPr>
            <w:tcW w:w="128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71">
              <w:r>
                <w:rPr>
                  <w:rFonts w:ascii="Arial" w:cs="Arial" w:eastAsia="Arial" w:hAnsi="Arial"/>
                  <w:sz w:val="18"/>
                  <w:szCs w:val="18"/>
                  <w:color w:val="0000FF"/>
                </w:rPr>
                <w:t>2021 (incorporated by reference to Exhibit 10.37 to the Company's Form 10-Q filed with the SEC on August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10.39**</w:t>
            </w:r>
          </w:p>
        </w:tc>
        <w:tc>
          <w:tcPr>
            <w:tcW w:w="9980" w:type="dxa"/>
            <w:vAlign w:val="bottom"/>
            <w:gridSpan w:val="28"/>
          </w:tcPr>
          <w:p>
            <w:pPr>
              <w:spacing w:after="0"/>
              <w:rPr>
                <w:rFonts w:ascii="Arial" w:cs="Arial" w:eastAsia="Arial" w:hAnsi="Arial"/>
                <w:sz w:val="18"/>
                <w:szCs w:val="18"/>
                <w:color w:val="0000FF"/>
                <w:w w:val="95"/>
              </w:rPr>
            </w:pPr>
            <w:hyperlink r:id="rId272">
              <w:r>
                <w:rPr>
                  <w:rFonts w:ascii="Arial" w:cs="Arial" w:eastAsia="Arial" w:hAnsi="Arial"/>
                  <w:sz w:val="18"/>
                  <w:szCs w:val="18"/>
                  <w:color w:val="0000FF"/>
                  <w:w w:val="95"/>
                </w:rPr>
                <w:t>Loan and Security Agreement, dated March 19, 2021 (incorporated by reference to Exhibit 10.1 to the Company's current report on</w:t>
              </w:r>
            </w:hyperlink>
          </w:p>
        </w:tc>
      </w:tr>
      <w:tr>
        <w:trPr>
          <w:trHeight w:val="155"/>
        </w:trPr>
        <w:tc>
          <w:tcPr>
            <w:tcW w:w="128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Form 8-K filed with the SEC on March 23,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10.40**</w:t>
            </w:r>
          </w:p>
        </w:tc>
        <w:tc>
          <w:tcPr>
            <w:tcW w:w="9980" w:type="dxa"/>
            <w:vAlign w:val="bottom"/>
            <w:gridSpan w:val="28"/>
          </w:tcPr>
          <w:p>
            <w:pPr>
              <w:spacing w:after="0"/>
              <w:rPr>
                <w:rFonts w:ascii="Arial" w:cs="Arial" w:eastAsia="Arial" w:hAnsi="Arial"/>
                <w:sz w:val="18"/>
                <w:szCs w:val="18"/>
                <w:color w:val="0000FF"/>
                <w:w w:val="92"/>
              </w:rPr>
            </w:pPr>
            <w:hyperlink r:id="rId273">
              <w:r>
                <w:rPr>
                  <w:rFonts w:ascii="Arial" w:cs="Arial" w:eastAsia="Arial" w:hAnsi="Arial"/>
                  <w:sz w:val="18"/>
                  <w:szCs w:val="18"/>
                  <w:color w:val="0000FF"/>
                  <w:w w:val="92"/>
                </w:rPr>
                <w:t>Consent and First Amendment to Loan and Security Agreement, dated September 30, 2021 (incorporated by reference to Exhibit 10.39</w:t>
              </w:r>
            </w:hyperlink>
          </w:p>
        </w:tc>
      </w:tr>
      <w:tr>
        <w:trPr>
          <w:trHeight w:val="156"/>
        </w:trPr>
        <w:tc>
          <w:tcPr>
            <w:tcW w:w="128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273">
              <w:r>
                <w:rPr>
                  <w:rFonts w:ascii="Arial" w:cs="Arial" w:eastAsia="Arial" w:hAnsi="Arial"/>
                  <w:sz w:val="18"/>
                  <w:szCs w:val="18"/>
                  <w:color w:val="0000FF"/>
                  <w:w w:val="91"/>
                </w:rPr>
                <w:t>to the Company's Form 10-Q filed with the SEC on November 15, 2021).</w:t>
              </w:r>
            </w:hyperlink>
          </w:p>
        </w:tc>
        <w:tc>
          <w:tcPr>
            <w:tcW w:w="46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10.41**</w:t>
            </w:r>
          </w:p>
        </w:tc>
        <w:tc>
          <w:tcPr>
            <w:tcW w:w="9980" w:type="dxa"/>
            <w:vAlign w:val="bottom"/>
            <w:gridSpan w:val="28"/>
          </w:tcPr>
          <w:p>
            <w:pPr>
              <w:spacing w:after="0"/>
              <w:rPr>
                <w:rFonts w:ascii="Arial" w:cs="Arial" w:eastAsia="Arial" w:hAnsi="Arial"/>
                <w:sz w:val="18"/>
                <w:szCs w:val="18"/>
                <w:color w:val="0000FF"/>
                <w:w w:val="97"/>
              </w:rPr>
            </w:pPr>
            <w:hyperlink r:id="rId274">
              <w:r>
                <w:rPr>
                  <w:rFonts w:ascii="Arial" w:cs="Arial" w:eastAsia="Arial" w:hAnsi="Arial"/>
                  <w:sz w:val="18"/>
                  <w:szCs w:val="18"/>
                  <w:color w:val="0000FF"/>
                  <w:w w:val="97"/>
                </w:rPr>
                <w:t>Purchase Agreement, dated March 7, 2022, by and between Biodesix, Inc. and Lincoln Park Capital Fund, LLC (incorporated by</w:t>
              </w:r>
            </w:hyperlink>
          </w:p>
        </w:tc>
      </w:tr>
      <w:tr>
        <w:trPr>
          <w:trHeight w:val="156"/>
        </w:trPr>
        <w:tc>
          <w:tcPr>
            <w:tcW w:w="1280" w:type="dxa"/>
            <w:vAlign w:val="bottom"/>
          </w:tcPr>
          <w:p>
            <w:pPr>
              <w:spacing w:after="0"/>
              <w:rPr>
                <w:sz w:val="13"/>
                <w:szCs w:val="13"/>
                <w:color w:val="auto"/>
              </w:rPr>
            </w:pPr>
          </w:p>
        </w:tc>
        <w:tc>
          <w:tcPr>
            <w:tcW w:w="79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74">
              <w:r>
                <w:rPr>
                  <w:rFonts w:ascii="Arial" w:cs="Arial" w:eastAsia="Arial" w:hAnsi="Arial"/>
                  <w:sz w:val="18"/>
                  <w:szCs w:val="18"/>
                  <w:color w:val="0000FF"/>
                  <w:w w:val="91"/>
                </w:rPr>
                <w:t>reference to Exhibit 10.1 to the Company's current report on Form 8-K filed with the SEC on March 7,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188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10.42**</w:t>
            </w:r>
          </w:p>
        </w:tc>
        <w:tc>
          <w:tcPr>
            <w:tcW w:w="8840" w:type="dxa"/>
            <w:vAlign w:val="bottom"/>
            <w:tcBorders>
              <w:bottom w:val="single" w:sz="8" w:color="0000FF"/>
            </w:tcBorders>
            <w:gridSpan w:val="15"/>
          </w:tcPr>
          <w:p>
            <w:pPr>
              <w:spacing w:after="0"/>
              <w:rPr>
                <w:rFonts w:ascii="Arial" w:cs="Arial" w:eastAsia="Arial" w:hAnsi="Arial"/>
                <w:sz w:val="18"/>
                <w:szCs w:val="18"/>
                <w:color w:val="0000FF"/>
                <w:w w:val="92"/>
              </w:rPr>
            </w:pPr>
            <w:hyperlink r:id="rId275">
              <w:r>
                <w:rPr>
                  <w:rFonts w:ascii="Arial" w:cs="Arial" w:eastAsia="Arial" w:hAnsi="Arial"/>
                  <w:sz w:val="18"/>
                  <w:szCs w:val="18"/>
                  <w:color w:val="0000FF"/>
                  <w:w w:val="92"/>
                </w:rPr>
                <w:t>Registration Rights Agreement, dated March 7, 2022, by and between Biodesix, Inc. and Lincoln Park Capital Fund, LLC</w:t>
              </w:r>
            </w:hyperlink>
          </w:p>
        </w:tc>
        <w:tc>
          <w:tcPr>
            <w:tcW w:w="1140" w:type="dxa"/>
            <w:vAlign w:val="bottom"/>
            <w:gridSpan w:val="13"/>
          </w:tcPr>
          <w:p>
            <w:pPr>
              <w:spacing w:after="0"/>
              <w:rPr>
                <w:sz w:val="24"/>
                <w:szCs w:val="24"/>
                <w:color w:val="auto"/>
              </w:rPr>
            </w:pPr>
          </w:p>
        </w:tc>
      </w:tr>
      <w:tr>
        <w:trPr>
          <w:trHeight w:val="156"/>
        </w:trPr>
        <w:tc>
          <w:tcPr>
            <w:tcW w:w="1280" w:type="dxa"/>
            <w:vAlign w:val="bottom"/>
          </w:tcPr>
          <w:p>
            <w:pPr>
              <w:spacing w:after="0"/>
              <w:rPr>
                <w:sz w:val="13"/>
                <w:szCs w:val="13"/>
                <w:color w:val="auto"/>
              </w:rPr>
            </w:pPr>
          </w:p>
        </w:tc>
        <w:tc>
          <w:tcPr>
            <w:tcW w:w="9160" w:type="dxa"/>
            <w:vAlign w:val="bottom"/>
            <w:tcBorders>
              <w:bottom w:val="single" w:sz="8" w:color="0000FF"/>
            </w:tcBorders>
            <w:gridSpan w:val="16"/>
          </w:tcPr>
          <w:p>
            <w:pPr>
              <w:spacing w:after="0" w:line="156" w:lineRule="exact"/>
              <w:rPr>
                <w:rFonts w:ascii="Arial" w:cs="Arial" w:eastAsia="Arial" w:hAnsi="Arial"/>
                <w:sz w:val="18"/>
                <w:szCs w:val="18"/>
                <w:color w:val="0000FF"/>
                <w:w w:val="91"/>
              </w:rPr>
            </w:pPr>
            <w:hyperlink r:id="rId275">
              <w:r>
                <w:rPr>
                  <w:rFonts w:ascii="Arial" w:cs="Arial" w:eastAsia="Arial" w:hAnsi="Arial"/>
                  <w:sz w:val="18"/>
                  <w:szCs w:val="18"/>
                  <w:color w:val="0000FF"/>
                  <w:w w:val="91"/>
                </w:rPr>
                <w:t>(incorporated by reference to Exhibit 10.2 to the Company's current report on Form 8-K filed with the SEC on March 7, 2022).</w:t>
              </w:r>
            </w:hyperlink>
          </w:p>
        </w:tc>
        <w:tc>
          <w:tcPr>
            <w:tcW w:w="820" w:type="dxa"/>
            <w:vAlign w:val="bottom"/>
            <w:gridSpan w:val="12"/>
          </w:tcPr>
          <w:p>
            <w:pPr>
              <w:spacing w:after="0"/>
              <w:rPr>
                <w:sz w:val="13"/>
                <w:szCs w:val="13"/>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420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140">
              <w:r>
                <w:rPr>
                  <w:rFonts w:ascii="Arial" w:cs="Arial" w:eastAsia="Arial" w:hAnsi="Arial"/>
                  <w:sz w:val="18"/>
                  <w:szCs w:val="18"/>
                  <w:color w:val="0000FF"/>
                  <w:w w:val="90"/>
                </w:rPr>
                <w:t>Consent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5760" w:type="dxa"/>
            <w:vAlign w:val="bottom"/>
            <w:gridSpan w:val="23"/>
          </w:tcPr>
          <w:p>
            <w:pPr>
              <w:spacing w:after="0"/>
              <w:rPr>
                <w:sz w:val="24"/>
                <w:szCs w:val="24"/>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24.1*</w:t>
            </w:r>
          </w:p>
        </w:tc>
        <w:tc>
          <w:tcPr>
            <w:tcW w:w="9980" w:type="dxa"/>
            <w:vAlign w:val="bottom"/>
            <w:gridSpan w:val="2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Power of Attorney (included on the signature page of this Form 10-K).</w:t>
              </w:r>
            </w:hyperlink>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6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28"/>
          </w:tcPr>
          <w:p>
            <w:pPr>
              <w:spacing w:after="0"/>
              <w:rPr>
                <w:rFonts w:ascii="Arial" w:cs="Arial" w:eastAsia="Arial" w:hAnsi="Arial"/>
                <w:sz w:val="18"/>
                <w:szCs w:val="18"/>
                <w:color w:val="0000FF"/>
                <w:w w:val="94"/>
              </w:rPr>
            </w:pPr>
            <w:hyperlink w:anchor="page141">
              <w:r>
                <w:rPr>
                  <w:rFonts w:ascii="Arial" w:cs="Arial" w:eastAsia="Arial" w:hAnsi="Arial"/>
                  <w:sz w:val="18"/>
                  <w:szCs w:val="18"/>
                  <w:color w:val="0000FF"/>
                  <w:w w:val="94"/>
                </w:rPr>
                <w:t>Certification of Principal Executive Officer Pursuant to Rules 13a-14(a) and 15d-14(a) under the Securities Exchange Act of 1934, as</w:t>
              </w:r>
            </w:hyperlink>
          </w:p>
        </w:tc>
      </w:tr>
      <w:tr>
        <w:trPr>
          <w:trHeight w:val="155"/>
        </w:trPr>
        <w:tc>
          <w:tcPr>
            <w:tcW w:w="128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141">
              <w:r>
                <w:rPr>
                  <w:rFonts w:ascii="Arial" w:cs="Arial" w:eastAsia="Arial" w:hAnsi="Arial"/>
                  <w:sz w:val="18"/>
                  <w:szCs w:val="18"/>
                  <w:color w:val="0000FF"/>
                </w:rPr>
                <w:t>Adopted Pursuant to Section 302 of the Sarbanes-Oxley Act of 2002.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780" w:type="dxa"/>
            <w:vAlign w:val="bottom"/>
            <w:gridSpan w:val="11"/>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28"/>
          </w:tcPr>
          <w:p>
            <w:pPr>
              <w:spacing w:after="0"/>
              <w:rPr>
                <w:rFonts w:ascii="Arial" w:cs="Arial" w:eastAsia="Arial" w:hAnsi="Arial"/>
                <w:sz w:val="18"/>
                <w:szCs w:val="18"/>
                <w:color w:val="0000FF"/>
                <w:w w:val="94"/>
              </w:rPr>
            </w:pPr>
            <w:hyperlink w:anchor="page142">
              <w:r>
                <w:rPr>
                  <w:rFonts w:ascii="Arial" w:cs="Arial" w:eastAsia="Arial" w:hAnsi="Arial"/>
                  <w:sz w:val="18"/>
                  <w:szCs w:val="18"/>
                  <w:color w:val="0000FF"/>
                  <w:w w:val="94"/>
                </w:rPr>
                <w:t>Certification of Principal Financial Officer Pursuant to Rules 13a-14(a) and 15d-14(a) under the Securities Exchange Act of 1934, as</w:t>
              </w:r>
            </w:hyperlink>
          </w:p>
        </w:tc>
      </w:tr>
      <w:tr>
        <w:trPr>
          <w:trHeight w:val="155"/>
        </w:trPr>
        <w:tc>
          <w:tcPr>
            <w:tcW w:w="1280" w:type="dxa"/>
            <w:vAlign w:val="bottom"/>
          </w:tcPr>
          <w:p>
            <w:pPr>
              <w:spacing w:after="0"/>
              <w:rPr>
                <w:sz w:val="13"/>
                <w:szCs w:val="13"/>
                <w:color w:val="auto"/>
              </w:rPr>
            </w:pPr>
          </w:p>
        </w:tc>
        <w:tc>
          <w:tcPr>
            <w:tcW w:w="99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142">
              <w:r>
                <w:rPr>
                  <w:rFonts w:ascii="Arial" w:cs="Arial" w:eastAsia="Arial" w:hAnsi="Arial"/>
                  <w:sz w:val="18"/>
                  <w:szCs w:val="18"/>
                  <w:color w:val="0000FF"/>
                </w:rPr>
                <w:t>Adopted Pursuant to Section 302 of the Sarbanes-Oxley Act of 2002.</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4780" w:type="dxa"/>
            <w:vAlign w:val="bottom"/>
            <w:gridSpan w:val="11"/>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28"/>
          </w:tcPr>
          <w:p>
            <w:pPr>
              <w:spacing w:after="0"/>
              <w:rPr>
                <w:rFonts w:ascii="Arial" w:cs="Arial" w:eastAsia="Arial" w:hAnsi="Arial"/>
                <w:sz w:val="18"/>
                <w:szCs w:val="18"/>
                <w:color w:val="0000FF"/>
                <w:w w:val="94"/>
              </w:rPr>
            </w:pPr>
            <w:hyperlink w:anchor="page143">
              <w:r>
                <w:rPr>
                  <w:rFonts w:ascii="Arial" w:cs="Arial" w:eastAsia="Arial" w:hAnsi="Arial"/>
                  <w:sz w:val="18"/>
                  <w:szCs w:val="18"/>
                  <w:color w:val="0000FF"/>
                  <w:w w:val="94"/>
                </w:rPr>
                <w:t>Certification of Principal Executive Officer Pursuant to 18 U.S.C. Section 1350, as Adopted Pursuant to Section 906 of the Sarbanes-</w:t>
              </w:r>
            </w:hyperlink>
          </w:p>
        </w:tc>
      </w:tr>
      <w:tr>
        <w:trPr>
          <w:trHeight w:val="155"/>
        </w:trPr>
        <w:tc>
          <w:tcPr>
            <w:tcW w:w="128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43">
              <w:r>
                <w:rPr>
                  <w:rFonts w:ascii="Arial" w:cs="Arial" w:eastAsia="Arial" w:hAnsi="Arial"/>
                  <w:sz w:val="18"/>
                  <w:szCs w:val="18"/>
                  <w:color w:val="0000FF"/>
                  <w:w w:val="93"/>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852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90"/>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gridSpan w:val="28"/>
          </w:tcPr>
          <w:p>
            <w:pPr>
              <w:spacing w:after="0"/>
              <w:rPr>
                <w:rFonts w:ascii="Arial" w:cs="Arial" w:eastAsia="Arial" w:hAnsi="Arial"/>
                <w:sz w:val="18"/>
                <w:szCs w:val="18"/>
                <w:color w:val="0000FF"/>
                <w:w w:val="94"/>
              </w:rPr>
            </w:pPr>
            <w:hyperlink w:anchor="page144">
              <w:r>
                <w:rPr>
                  <w:rFonts w:ascii="Arial" w:cs="Arial" w:eastAsia="Arial" w:hAnsi="Arial"/>
                  <w:sz w:val="18"/>
                  <w:szCs w:val="18"/>
                  <w:color w:val="0000FF"/>
                  <w:w w:val="94"/>
                </w:rPr>
                <w:t>Certification of Principal Financial Officer Pursuant to 18 U.S.C. Section 1350, as Adopted Pursuant to Section 906 of the Sarbanes-</w:t>
              </w:r>
            </w:hyperlink>
          </w:p>
        </w:tc>
      </w:tr>
      <w:tr>
        <w:trPr>
          <w:trHeight w:val="155"/>
        </w:trPr>
        <w:tc>
          <w:tcPr>
            <w:tcW w:w="128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144">
              <w:r>
                <w:rPr>
                  <w:rFonts w:ascii="Arial" w:cs="Arial" w:eastAsia="Arial" w:hAnsi="Arial"/>
                  <w:sz w:val="18"/>
                  <w:szCs w:val="18"/>
                  <w:color w:val="0000FF"/>
                  <w:w w:val="93"/>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8340" w:type="dxa"/>
            <w:vAlign w:val="bottom"/>
            <w:tcBorders>
              <w:top w:val="single" w:sz="8" w:color="0000FF"/>
            </w:tcBorders>
            <w:gridSpan w:val="15"/>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77"/>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2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r>
      <w:tr>
        <w:trPr>
          <w:trHeight w:val="230"/>
        </w:trPr>
        <w:tc>
          <w:tcPr>
            <w:tcW w:w="1280" w:type="dxa"/>
            <w:vAlign w:val="bottom"/>
          </w:tcPr>
          <w:p>
            <w:pPr>
              <w:spacing w:after="0"/>
              <w:rPr>
                <w:sz w:val="20"/>
                <w:szCs w:val="20"/>
                <w:color w:val="auto"/>
              </w:rPr>
            </w:pPr>
          </w:p>
        </w:tc>
        <w:tc>
          <w:tcPr>
            <w:tcW w:w="9980" w:type="dxa"/>
            <w:vAlign w:val="bottom"/>
            <w:gridSpan w:val="2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1"/>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80" w:lineRule="exact"/>
        <w:rPr>
          <w:sz w:val="20"/>
          <w:szCs w:val="20"/>
          <w:color w:val="auto"/>
        </w:rPr>
      </w:pPr>
    </w:p>
    <w:p>
      <w:pPr>
        <w:ind w:left="1380" w:hanging="1275"/>
        <w:spacing w:after="0"/>
        <w:tabs>
          <w:tab w:leader="none" w:pos="13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46" w:lineRule="exact"/>
        <w:rPr>
          <w:rFonts w:ascii="Arial" w:cs="Arial" w:eastAsia="Arial" w:hAnsi="Arial"/>
          <w:sz w:val="18"/>
          <w:szCs w:val="18"/>
          <w:color w:val="auto"/>
        </w:rPr>
      </w:pPr>
    </w:p>
    <w:p>
      <w:pPr>
        <w:ind w:right="280" w:firstLine="8"/>
        <w:spacing w:after="0" w:line="244" w:lineRule="auto"/>
        <w:tabs>
          <w:tab w:leader="none" w:pos="135"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Portions of this exhibit have been omitted as the Registrant has determined that the omitted information (i) is not material and (ii) would likely cause competitive harm to the Registrant if publicly disclosed.</w:t>
      </w:r>
    </w:p>
    <w:p>
      <w:pPr>
        <w:ind w:right="7100"/>
        <w:spacing w:after="0" w:line="234" w:lineRule="auto"/>
        <w:rPr>
          <w:rFonts w:ascii="Arial" w:cs="Arial" w:eastAsia="Arial" w:hAnsi="Arial"/>
          <w:sz w:val="18"/>
          <w:szCs w:val="18"/>
          <w:color w:val="auto"/>
        </w:rPr>
      </w:pPr>
      <w:r>
        <w:rPr>
          <w:rFonts w:ascii="Arial" w:cs="Arial" w:eastAsia="Arial" w:hAnsi="Arial"/>
          <w:sz w:val="18"/>
          <w:szCs w:val="18"/>
          <w:color w:val="auto"/>
        </w:rPr>
        <w:t>+ Indicates management contract or compensatory plan.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-663575</wp:posOffset>
            </wp:positionV>
            <wp:extent cx="19030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1" w:right="439" w:bottom="1440" w:gutter="0" w:footer="0" w:header="0"/>
        </w:sectPr>
      </w:pPr>
    </w:p>
    <w:bookmarkStart w:id="107" w:name="page108"/>
    <w:bookmarkEnd w:id="107"/>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Biodesix, Inc.</w:t>
      </w:r>
    </w:p>
    <w:p>
      <w:pPr>
        <w:spacing w:after="0" w:line="171"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-1905</wp:posOffset>
            </wp:positionV>
            <wp:extent cx="3300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6"/>
          <w:szCs w:val="16"/>
          <w:i w:val="1"/>
          <w:iCs w:val="1"/>
          <w:color w:val="auto"/>
        </w:rPr>
        <w:t>Ryan H. Siurek</w:t>
      </w:r>
    </w:p>
    <w:p>
      <w:pPr>
        <w:spacing w:after="0" w:line="5" w:lineRule="exact"/>
        <w:rPr>
          <w:sz w:val="20"/>
          <w:szCs w:val="20"/>
          <w:color w:val="auto"/>
        </w:rPr>
      </w:pPr>
    </w:p>
    <w:p>
      <w:pPr>
        <w:jc w:val="center"/>
        <w:ind w:left="6020"/>
        <w:spacing w:after="0"/>
        <w:rPr>
          <w:sz w:val="20"/>
          <w:szCs w:val="20"/>
          <w:color w:val="auto"/>
        </w:rPr>
      </w:pPr>
      <w:r>
        <w:rPr>
          <w:rFonts w:ascii="Arial" w:cs="Arial" w:eastAsia="Arial" w:hAnsi="Arial"/>
          <w:sz w:val="16"/>
          <w:szCs w:val="16"/>
          <w:i w:val="1"/>
          <w:iCs w:val="1"/>
          <w:color w:val="auto"/>
        </w:rPr>
        <w:t>Chief Accounting Officer</w:t>
      </w:r>
    </w:p>
    <w:p>
      <w:pPr>
        <w:spacing w:after="0" w:line="19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9" w:lineRule="exact"/>
        <w:rPr>
          <w:sz w:val="20"/>
          <w:szCs w:val="20"/>
          <w:color w:val="auto"/>
        </w:rPr>
      </w:pPr>
    </w:p>
    <w:p>
      <w:pPr>
        <w:ind w:left="1680"/>
        <w:spacing w:after="0"/>
        <w:tabs>
          <w:tab w:leader="none" w:pos="610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SCOTT HUTTON</w:t>
            </w:r>
          </w:p>
        </w:tc>
        <w:tc>
          <w:tcPr>
            <w:tcW w:w="4900" w:type="dxa"/>
            <w:vAlign w:val="bottom"/>
          </w:tcPr>
          <w:p>
            <w:pPr>
              <w:ind w:left="140"/>
              <w:spacing w:after="0"/>
              <w:rPr>
                <w:sz w:val="20"/>
                <w:szCs w:val="20"/>
                <w:color w:val="auto"/>
              </w:rPr>
            </w:pPr>
            <w:r>
              <w:rPr>
                <w:rFonts w:ascii="Arial" w:cs="Arial" w:eastAsia="Arial" w:hAnsi="Arial"/>
                <w:sz w:val="18"/>
                <w:szCs w:val="18"/>
                <w:color w:val="auto"/>
                <w:w w:val="96"/>
              </w:rPr>
              <w:t>President, Chief Executive Officer (Principal Executive Officer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Scott Hutton</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ROBIN HARPER COWIE</w:t>
            </w:r>
          </w:p>
        </w:tc>
        <w:tc>
          <w:tcPr>
            <w:tcW w:w="4900" w:type="dxa"/>
            <w:vAlign w:val="bottom"/>
          </w:tcPr>
          <w:p>
            <w:pPr>
              <w:ind w:left="140"/>
              <w:spacing w:after="0"/>
              <w:rPr>
                <w:sz w:val="20"/>
                <w:szCs w:val="20"/>
                <w:color w:val="auto"/>
              </w:rPr>
            </w:pPr>
            <w:r>
              <w:rPr>
                <w:rFonts w:ascii="Arial" w:cs="Arial" w:eastAsia="Arial" w:hAnsi="Arial"/>
                <w:sz w:val="18"/>
                <w:szCs w:val="18"/>
                <w:color w:val="auto"/>
              </w:rPr>
              <w:t>Chief Financial Officer, Secretary and Treasurer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Robin Harper Cowie</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PATIENCE</w:t>
            </w:r>
          </w:p>
        </w:tc>
        <w:tc>
          <w:tcPr>
            <w:tcW w:w="4900" w:type="dxa"/>
            <w:vAlign w:val="bottom"/>
          </w:tcPr>
          <w:p>
            <w:pPr>
              <w:ind w:left="140"/>
              <w:spacing w:after="0"/>
              <w:rPr>
                <w:sz w:val="20"/>
                <w:szCs w:val="20"/>
                <w:color w:val="auto"/>
              </w:rPr>
            </w:pPr>
            <w:r>
              <w:rPr>
                <w:rFonts w:ascii="Arial" w:cs="Arial" w:eastAsia="Arial" w:hAnsi="Arial"/>
                <w:sz w:val="18"/>
                <w:szCs w:val="18"/>
                <w:color w:val="auto"/>
              </w:rPr>
              <w:t>Chairman and 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John Patience</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JEAN FRANCHI</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Jean Franchi</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24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JON FAIZ KAYYEM</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Jon Faiz Kayyem, Ph.D.</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HANY MASSARANY</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Hany Massarany</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JACK SCHULER</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Jack Schuler</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MATTHEW STROBECK</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Matthew Strobeck, Ph.D.</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40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CHARLES WATTS</w:t>
            </w:r>
          </w:p>
        </w:tc>
        <w:tc>
          <w:tcPr>
            <w:tcW w:w="49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620" w:type="dxa"/>
            <w:vAlign w:val="bottom"/>
          </w:tcPr>
          <w:p>
            <w:pPr>
              <w:ind w:left="200"/>
              <w:spacing w:after="0"/>
              <w:rPr>
                <w:sz w:val="20"/>
                <w:szCs w:val="20"/>
                <w:color w:val="auto"/>
              </w:rPr>
            </w:pPr>
            <w:r>
              <w:rPr>
                <w:rFonts w:ascii="Arial" w:cs="Arial" w:eastAsia="Arial" w:hAnsi="Arial"/>
                <w:sz w:val="18"/>
                <w:szCs w:val="18"/>
                <w:color w:val="auto"/>
              </w:rPr>
              <w:t>March 14,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Charles Watts, M.D.</w:t>
            </w:r>
          </w:p>
        </w:tc>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r>
      <w:tr>
        <w:trPr>
          <w:trHeight w:val="691"/>
        </w:trPr>
        <w:tc>
          <w:tcPr>
            <w:tcW w:w="3720" w:type="dxa"/>
            <w:vAlign w:val="bottom"/>
          </w:tcPr>
          <w:p>
            <w:pPr>
              <w:spacing w:after="0"/>
              <w:rPr>
                <w:sz w:val="24"/>
                <w:szCs w:val="24"/>
                <w:color w:val="auto"/>
              </w:rPr>
            </w:pPr>
          </w:p>
        </w:tc>
        <w:tc>
          <w:tcPr>
            <w:tcW w:w="4900" w:type="dxa"/>
            <w:vAlign w:val="bottom"/>
          </w:tcPr>
          <w:p>
            <w:pPr>
              <w:ind w:left="1760"/>
              <w:spacing w:after="0"/>
              <w:rPr>
                <w:sz w:val="20"/>
                <w:szCs w:val="20"/>
                <w:color w:val="auto"/>
              </w:rPr>
            </w:pPr>
            <w:r>
              <w:rPr>
                <w:rFonts w:ascii="Arial" w:cs="Arial" w:eastAsia="Arial" w:hAnsi="Arial"/>
                <w:sz w:val="18"/>
                <w:szCs w:val="18"/>
                <w:color w:val="auto"/>
              </w:rPr>
              <w:t>106</w:t>
            </w:r>
          </w:p>
        </w:tc>
        <w:tc>
          <w:tcPr>
            <w:tcW w:w="262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8" w:name="page109"/>
    <w:bookmarkEnd w:id="108"/>
    <w:tbl>
      <w:tblPr>
        <w:tblLayout w:type="fixed"/>
        <w:tblInd w:w="10" w:type="dxa"/>
        <w:tblCellMar>
          <w:top w:w="0" w:type="dxa"/>
          <w:left w:w="0" w:type="dxa"/>
          <w:bottom w:w="0" w:type="dxa"/>
          <w:right w:w="0" w:type="dxa"/>
        </w:tblCellMar>
      </w:tblPr>
      <w:tr>
        <w:trPr>
          <w:trHeight w:val="234"/>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0"/>
                <w:szCs w:val="20"/>
                <w:color w:val="auto"/>
              </w:rPr>
            </w:pPr>
          </w:p>
        </w:tc>
      </w:tr>
      <w:tr>
        <w:trPr>
          <w:trHeight w:val="527"/>
        </w:trPr>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5"/>
          </w:tcPr>
          <w:p>
            <w:pPr>
              <w:jc w:val="center"/>
              <w:ind w:right="2540"/>
              <w:spacing w:after="0"/>
              <w:rPr>
                <w:sz w:val="20"/>
                <w:szCs w:val="20"/>
                <w:color w:val="auto"/>
              </w:rPr>
            </w:pPr>
            <w:r>
              <w:rPr>
                <w:rFonts w:ascii="Arial" w:cs="Arial" w:eastAsia="Arial" w:hAnsi="Arial"/>
                <w:sz w:val="18"/>
                <w:szCs w:val="18"/>
                <w:b w:val="1"/>
                <w:bCs w:val="1"/>
                <w:color w:val="auto"/>
                <w:w w:val="99"/>
              </w:rPr>
              <w:t>BIODESIX, Inc.</w:t>
            </w:r>
          </w:p>
        </w:tc>
        <w:tc>
          <w:tcPr>
            <w:tcW w:w="1140" w:type="dxa"/>
            <w:vAlign w:val="bottom"/>
          </w:tcPr>
          <w:p>
            <w:pPr>
              <w:spacing w:after="0"/>
              <w:rPr>
                <w:sz w:val="24"/>
                <w:szCs w:val="24"/>
                <w:color w:val="auto"/>
              </w:rPr>
            </w:pPr>
          </w:p>
        </w:tc>
      </w:tr>
      <w:tr>
        <w:trPr>
          <w:trHeight w:val="418"/>
        </w:trPr>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gridSpan w:val="5"/>
          </w:tcPr>
          <w:p>
            <w:pPr>
              <w:jc w:val="center"/>
              <w:ind w:right="2560"/>
              <w:spacing w:after="0"/>
              <w:rPr>
                <w:sz w:val="20"/>
                <w:szCs w:val="20"/>
                <w:color w:val="auto"/>
              </w:rPr>
            </w:pPr>
            <w:r>
              <w:rPr>
                <w:rFonts w:ascii="Arial" w:cs="Arial" w:eastAsia="Arial" w:hAnsi="Arial"/>
                <w:sz w:val="18"/>
                <w:szCs w:val="18"/>
                <w:b w:val="1"/>
                <w:bCs w:val="1"/>
                <w:color w:val="auto"/>
              </w:rPr>
              <w:t>INDEX TO FINANCIAL STATEMENTS</w:t>
            </w:r>
          </w:p>
        </w:tc>
        <w:tc>
          <w:tcPr>
            <w:tcW w:w="1140" w:type="dxa"/>
            <w:vAlign w:val="bottom"/>
          </w:tcPr>
          <w:p>
            <w:pPr>
              <w:spacing w:after="0"/>
              <w:rPr>
                <w:sz w:val="24"/>
                <w:szCs w:val="24"/>
                <w:color w:val="auto"/>
              </w:rPr>
            </w:pPr>
          </w:p>
        </w:tc>
      </w:tr>
      <w:tr>
        <w:trPr>
          <w:trHeight w:val="391"/>
        </w:trPr>
        <w:tc>
          <w:tcPr>
            <w:tcW w:w="10100" w:type="dxa"/>
            <w:vAlign w:val="bottom"/>
            <w:gridSpan w:val="8"/>
          </w:tcPr>
          <w:p>
            <w:pPr>
              <w:ind w:left="20"/>
              <w:spacing w:after="0"/>
              <w:rPr>
                <w:rFonts w:ascii="Arial" w:cs="Arial" w:eastAsia="Arial" w:hAnsi="Arial"/>
                <w:sz w:val="18"/>
                <w:szCs w:val="18"/>
                <w:color w:val="0000FF"/>
              </w:rPr>
            </w:pPr>
            <w:hyperlink w:anchor="page110">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FF"/>
              </w:rPr>
              <w:t>(KPMG LLP, Denver, CO, Auditor Firm ID: 185)</w:t>
            </w:r>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F-2</w:t>
            </w:r>
          </w:p>
        </w:tc>
      </w:tr>
      <w:tr>
        <w:trPr>
          <w:trHeight w:val="291"/>
        </w:trPr>
        <w:tc>
          <w:tcPr>
            <w:tcW w:w="3680" w:type="dxa"/>
            <w:vAlign w:val="bottom"/>
            <w:tcBorders>
              <w:top w:val="single" w:sz="8" w:color="0000FF"/>
              <w:bottom w:val="single" w:sz="8" w:color="0000FF"/>
            </w:tcBorders>
            <w:gridSpan w:val="2"/>
          </w:tcPr>
          <w:p>
            <w:pPr>
              <w:ind w:left="20"/>
              <w:spacing w:after="0"/>
              <w:rPr>
                <w:rFonts w:ascii="Arial" w:cs="Arial" w:eastAsia="Arial" w:hAnsi="Arial"/>
                <w:sz w:val="18"/>
                <w:szCs w:val="18"/>
                <w:color w:val="0000FF"/>
                <w:w w:val="88"/>
              </w:rPr>
            </w:pPr>
            <w:hyperlink w:anchor="page111">
              <w:r>
                <w:rPr>
                  <w:rFonts w:ascii="Arial" w:cs="Arial" w:eastAsia="Arial" w:hAnsi="Arial"/>
                  <w:sz w:val="18"/>
                  <w:szCs w:val="18"/>
                  <w:color w:val="0000FF"/>
                  <w:w w:val="88"/>
                </w:rPr>
                <w:t>Balance Sheets as of December 31, 2021 and 2020</w:t>
              </w:r>
            </w:hyperlink>
          </w:p>
        </w:tc>
        <w:tc>
          <w:tcPr>
            <w:tcW w:w="20" w:type="dxa"/>
            <w:vAlign w:val="bottom"/>
            <w:tcBorders>
              <w:top w:val="single" w:sz="8" w:color="0000FF"/>
              <w:bottom w:val="single" w:sz="8" w:color="0000EE"/>
            </w:tcBorders>
          </w:tcPr>
          <w:p>
            <w:pPr>
              <w:spacing w:after="0"/>
              <w:rPr>
                <w:sz w:val="24"/>
                <w:szCs w:val="24"/>
                <w:color w:val="auto"/>
              </w:rPr>
            </w:pPr>
          </w:p>
        </w:tc>
        <w:tc>
          <w:tcPr>
            <w:tcW w:w="4180" w:type="dxa"/>
            <w:vAlign w:val="bottom"/>
            <w:tcBorders>
              <w:top w:val="single" w:sz="8" w:color="0000FF"/>
            </w:tcBorders>
            <w:gridSpan w:val="3"/>
          </w:tcPr>
          <w:p>
            <w:pPr>
              <w:spacing w:after="0"/>
              <w:rPr>
                <w:sz w:val="24"/>
                <w:szCs w:val="24"/>
                <w:color w:val="auto"/>
              </w:rPr>
            </w:pPr>
          </w:p>
        </w:tc>
        <w:tc>
          <w:tcPr>
            <w:tcW w:w="2220" w:type="dxa"/>
            <w:vAlign w:val="bottom"/>
            <w:gridSpan w:val="2"/>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F-3</w:t>
            </w:r>
          </w:p>
        </w:tc>
      </w:tr>
      <w:tr>
        <w:trPr>
          <w:trHeight w:val="290"/>
        </w:trPr>
        <w:tc>
          <w:tcPr>
            <w:tcW w:w="10100" w:type="dxa"/>
            <w:vAlign w:val="bottom"/>
            <w:gridSpan w:val="8"/>
          </w:tcPr>
          <w:p>
            <w:pPr>
              <w:ind w:left="20"/>
              <w:spacing w:after="0"/>
              <w:rPr>
                <w:rFonts w:ascii="Arial" w:cs="Arial" w:eastAsia="Arial" w:hAnsi="Arial"/>
                <w:sz w:val="18"/>
                <w:szCs w:val="18"/>
                <w:color w:val="0000FF"/>
              </w:rPr>
            </w:pPr>
            <w:hyperlink w:anchor="page112">
              <w:r>
                <w:rPr>
                  <w:rFonts w:ascii="Arial" w:cs="Arial" w:eastAsia="Arial" w:hAnsi="Arial"/>
                  <w:sz w:val="18"/>
                  <w:szCs w:val="18"/>
                  <w:color w:val="0000FF"/>
                </w:rPr>
                <w:t>Statements of Operations for the Years ended December 31, 2021 and 2020</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F-4</w:t>
            </w:r>
          </w:p>
        </w:tc>
      </w:tr>
      <w:tr>
        <w:trPr>
          <w:trHeight w:val="20"/>
        </w:trPr>
        <w:tc>
          <w:tcPr>
            <w:tcW w:w="2180" w:type="dxa"/>
            <w:vAlign w:val="bottom"/>
            <w:tcBorders>
              <w:left w:val="single" w:sz="8" w:color="0000EE"/>
            </w:tcBorders>
            <w:shd w:val="clear" w:color="auto" w:fill="0000FF"/>
          </w:tcPr>
          <w:p>
            <w:pPr>
              <w:spacing w:after="0" w:line="20" w:lineRule="exact"/>
              <w:rPr>
                <w:sz w:val="1"/>
                <w:szCs w:val="1"/>
                <w:color w:val="auto"/>
              </w:rPr>
            </w:pPr>
          </w:p>
        </w:tc>
        <w:tc>
          <w:tcPr>
            <w:tcW w:w="32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1"/>
        </w:trPr>
        <w:tc>
          <w:tcPr>
            <w:tcW w:w="9220" w:type="dxa"/>
            <w:vAlign w:val="bottom"/>
            <w:tcBorders>
              <w:bottom w:val="single" w:sz="8" w:color="0000FF"/>
            </w:tcBorders>
            <w:gridSpan w:val="7"/>
          </w:tcPr>
          <w:p>
            <w:pPr>
              <w:ind w:left="20"/>
              <w:spacing w:after="0"/>
              <w:rPr>
                <w:rFonts w:ascii="Arial" w:cs="Arial" w:eastAsia="Arial" w:hAnsi="Arial"/>
                <w:sz w:val="18"/>
                <w:szCs w:val="18"/>
                <w:color w:val="0000FF"/>
                <w:w w:val="90"/>
              </w:rPr>
            </w:pPr>
            <w:hyperlink w:anchor="page113">
              <w:r>
                <w:rPr>
                  <w:rFonts w:ascii="Arial" w:cs="Arial" w:eastAsia="Arial" w:hAnsi="Arial"/>
                  <w:sz w:val="18"/>
                  <w:szCs w:val="18"/>
                  <w:color w:val="0000FF"/>
                  <w:w w:val="90"/>
                </w:rPr>
                <w:t>Statements of Convertible Preferred Stock and Stockholders’ Equity (Deficit) for the Years ended December 31, 2021 and 2020</w:t>
              </w:r>
            </w:hyperlink>
          </w:p>
        </w:tc>
        <w:tc>
          <w:tcPr>
            <w:tcW w:w="880" w:type="dxa"/>
            <w:vAlign w:val="bottom"/>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F-5</w:t>
            </w:r>
          </w:p>
        </w:tc>
      </w:tr>
      <w:tr>
        <w:trPr>
          <w:trHeight w:val="291"/>
        </w:trPr>
        <w:tc>
          <w:tcPr>
            <w:tcW w:w="10100" w:type="dxa"/>
            <w:vAlign w:val="bottom"/>
            <w:gridSpan w:val="8"/>
          </w:tcPr>
          <w:p>
            <w:pPr>
              <w:ind w:left="20"/>
              <w:spacing w:after="0"/>
              <w:rPr>
                <w:rFonts w:ascii="Arial" w:cs="Arial" w:eastAsia="Arial" w:hAnsi="Arial"/>
                <w:sz w:val="18"/>
                <w:szCs w:val="18"/>
                <w:color w:val="0000FF"/>
              </w:rPr>
            </w:pPr>
            <w:hyperlink w:anchor="page114">
              <w:r>
                <w:rPr>
                  <w:rFonts w:ascii="Arial" w:cs="Arial" w:eastAsia="Arial" w:hAnsi="Arial"/>
                  <w:sz w:val="18"/>
                  <w:szCs w:val="18"/>
                  <w:color w:val="0000FF"/>
                </w:rPr>
                <w:t>Statements of Cash Flows for the Years ended December 31, 2021 and 2020</w:t>
              </w:r>
            </w:hyperlink>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F-6</w:t>
            </w:r>
          </w:p>
        </w:tc>
      </w:tr>
      <w:tr>
        <w:trPr>
          <w:trHeight w:val="290"/>
        </w:trPr>
        <w:tc>
          <w:tcPr>
            <w:tcW w:w="5500" w:type="dxa"/>
            <w:vAlign w:val="bottom"/>
            <w:tcBorders>
              <w:top w:val="single" w:sz="8" w:color="0000FF"/>
            </w:tcBorders>
            <w:gridSpan w:val="5"/>
          </w:tcPr>
          <w:p>
            <w:pPr>
              <w:ind w:left="20"/>
              <w:spacing w:after="0"/>
              <w:rPr>
                <w:rFonts w:ascii="Arial" w:cs="Arial" w:eastAsia="Arial" w:hAnsi="Arial"/>
                <w:sz w:val="18"/>
                <w:szCs w:val="18"/>
                <w:color w:val="0000FF"/>
              </w:rPr>
            </w:pPr>
            <w:hyperlink w:anchor="page116">
              <w:r>
                <w:rPr>
                  <w:rFonts w:ascii="Arial" w:cs="Arial" w:eastAsia="Arial" w:hAnsi="Arial"/>
                  <w:sz w:val="18"/>
                  <w:szCs w:val="18"/>
                  <w:color w:val="0000FF"/>
                </w:rPr>
                <w:t>Notes to Financial Statements</w:t>
              </w:r>
            </w:hyperlink>
          </w:p>
        </w:tc>
        <w:tc>
          <w:tcPr>
            <w:tcW w:w="4600" w:type="dxa"/>
            <w:vAlign w:val="bottom"/>
            <w:gridSpan w:val="3"/>
          </w:tcPr>
          <w:p>
            <w:pPr>
              <w:spacing w:after="0"/>
              <w:rPr>
                <w:sz w:val="24"/>
                <w:szCs w:val="24"/>
                <w:color w:val="auto"/>
              </w:rPr>
            </w:pPr>
          </w:p>
        </w:tc>
        <w:tc>
          <w:tcPr>
            <w:tcW w:w="1140" w:type="dxa"/>
            <w:vAlign w:val="bottom"/>
          </w:tcPr>
          <w:p>
            <w:pPr>
              <w:ind w:left="880"/>
              <w:spacing w:after="0"/>
              <w:rPr>
                <w:sz w:val="20"/>
                <w:szCs w:val="20"/>
                <w:color w:val="auto"/>
              </w:rPr>
            </w:pPr>
            <w:r>
              <w:rPr>
                <w:rFonts w:ascii="Arial" w:cs="Arial" w:eastAsia="Arial" w:hAnsi="Arial"/>
                <w:sz w:val="18"/>
                <w:szCs w:val="18"/>
                <w:color w:val="auto"/>
                <w:w w:val="88"/>
              </w:rPr>
              <w:t>F-8</w:t>
            </w:r>
          </w:p>
        </w:tc>
      </w:tr>
      <w:tr>
        <w:trPr>
          <w:trHeight w:val="844"/>
        </w:trPr>
        <w:tc>
          <w:tcPr>
            <w:tcW w:w="218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640" w:type="dxa"/>
            <w:vAlign w:val="bottom"/>
            <w:gridSpan w:val="4"/>
          </w:tcPr>
          <w:p>
            <w:pPr>
              <w:jc w:val="center"/>
              <w:ind w:right="4320"/>
              <w:spacing w:after="0"/>
              <w:rPr>
                <w:sz w:val="20"/>
                <w:szCs w:val="20"/>
                <w:color w:val="auto"/>
              </w:rPr>
            </w:pPr>
            <w:r>
              <w:rPr>
                <w:rFonts w:ascii="Arial" w:cs="Arial" w:eastAsia="Arial" w:hAnsi="Arial"/>
                <w:sz w:val="18"/>
                <w:szCs w:val="18"/>
                <w:color w:val="auto"/>
                <w:w w:val="88"/>
              </w:rPr>
              <w:t>F-1</w:t>
            </w:r>
          </w:p>
        </w:tc>
        <w:tc>
          <w:tcPr>
            <w:tcW w:w="1140" w:type="dxa"/>
            <w:vAlign w:val="bottom"/>
          </w:tcPr>
          <w:p>
            <w:pPr>
              <w:spacing w:after="0"/>
              <w:rPr>
                <w:sz w:val="24"/>
                <w:szCs w:val="24"/>
                <w:color w:val="auto"/>
              </w:rPr>
            </w:pPr>
          </w:p>
        </w:tc>
      </w:tr>
      <w:tr>
        <w:trPr>
          <w:trHeight w:val="102"/>
        </w:trPr>
        <w:tc>
          <w:tcPr>
            <w:tcW w:w="21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audited the accompanying balance sheets of Biodesix, Inc. (the Company) as of December 31, 2021 and 2020, the related statements of operations, convertible preferred stock and stockholders’ equity (deficit), and cash flows for the years then ended, and the related notes (collectively, the financial statements). In our opinion, the financial statements present fairly, in all material respects, the financial position of the Company as of December 31, 2021 and 2020, and the results of its operations and its cash flows for the years then ended, in conformity with U.S. generally accepted accounting principles.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2 to the financial statements, the Company has suffered recurring losses from operations and needs to raise additional equity or debt capital to fund its operations. These matters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BIODESIX,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0"/>
              <w:spacing w:after="0" w:line="196" w:lineRule="exact"/>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32,712</w:t>
            </w:r>
          </w:p>
        </w:tc>
        <w:tc>
          <w:tcPr>
            <w:tcW w:w="200" w:type="dxa"/>
            <w:vAlign w:val="bottom"/>
            <w:shd w:val="clear" w:color="auto" w:fill="CFF0FC"/>
          </w:tcPr>
          <w:p>
            <w:pPr>
              <w:spacing w:after="0"/>
              <w:rPr>
                <w:sz w:val="17"/>
                <w:szCs w:val="17"/>
                <w:color w:val="auto"/>
              </w:rPr>
            </w:pPr>
          </w:p>
        </w:tc>
        <w:tc>
          <w:tcPr>
            <w:tcW w:w="6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62,126</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net of allowance for doubtful accounts of $158 and $180</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3,656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15,304</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7,245</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8,710</w:t>
            </w: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43,613</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86,140</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4,179</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13,260</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15,031</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assets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1,657</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assets</w:t>
            </w: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32,484</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34,930</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auto"/>
            </w:tcBorders>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76,097</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121,070</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420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jc w:val="right"/>
              <w:ind w:right="87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1,662</w:t>
            </w:r>
          </w:p>
        </w:tc>
        <w:tc>
          <w:tcPr>
            <w:tcW w:w="200" w:type="dxa"/>
            <w:vAlign w:val="bottom"/>
            <w:shd w:val="clear" w:color="auto" w:fill="CFF0FC"/>
          </w:tcPr>
          <w:p>
            <w:pPr>
              <w:spacing w:after="0"/>
              <w:rPr>
                <w:sz w:val="17"/>
                <w:szCs w:val="17"/>
                <w:color w:val="auto"/>
              </w:rPr>
            </w:pPr>
          </w:p>
        </w:tc>
        <w:tc>
          <w:tcPr>
            <w:tcW w:w="6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7,665</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7,789</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contingent consideration</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17,764</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notes payable</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196"/>
        </w:trPr>
        <w:tc>
          <w:tcPr>
            <w:tcW w:w="74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28,960</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notes payable, net of current portion</w:t>
            </w:r>
          </w:p>
        </w:tc>
        <w:tc>
          <w:tcPr>
            <w:tcW w:w="10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9,993</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15,926</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Contingent consideration</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16,028</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29,932</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1,389</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non</w:t>
            </w:r>
            <w:r>
              <w:rPr>
                <w:rFonts w:ascii="MS PGothic" w:cs="MS PGothic" w:eastAsia="MS PGothic" w:hAnsi="MS PGothic"/>
                <w:sz w:val="18"/>
                <w:szCs w:val="18"/>
                <w:color w:val="auto"/>
              </w:rPr>
              <w:t>‑</w:t>
            </w:r>
            <w:r>
              <w:rPr>
                <w:rFonts w:ascii="Arial" w:cs="Arial" w:eastAsia="Arial" w:hAnsi="Arial"/>
                <w:sz w:val="18"/>
                <w:szCs w:val="18"/>
                <w:color w:val="auto"/>
              </w:rPr>
              <w:t>current liabilities</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27,410</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47,779</w:t>
            </w: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56,370</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79,904</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Commitments and contingencies</w:t>
            </w:r>
          </w:p>
        </w:tc>
        <w:tc>
          <w:tcPr>
            <w:tcW w:w="10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Preferred stock, $0.001 par value, 5,000,000 authorized;</w:t>
            </w:r>
          </w:p>
        </w:tc>
        <w:tc>
          <w:tcPr>
            <w:tcW w:w="10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(2021 and 2020) issued and outstanding</w:t>
            </w:r>
          </w:p>
        </w:tc>
        <w:tc>
          <w:tcPr>
            <w:tcW w:w="10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4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$0.001 par value, 200,000,000 authorized;</w:t>
            </w:r>
          </w:p>
        </w:tc>
        <w:tc>
          <w:tcPr>
            <w:tcW w:w="10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30,789,649 (2021) and 26,561,504 (2020) shares issued and outstanding</w:t>
            </w:r>
          </w:p>
        </w:tc>
        <w:tc>
          <w:tcPr>
            <w:tcW w:w="10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0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321,669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299,953</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7"/>
              </w:rPr>
              <w:t>(301,973 )</w:t>
            </w:r>
          </w:p>
        </w:tc>
        <w:tc>
          <w:tcPr>
            <w:tcW w:w="2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(258,814 )</w:t>
            </w: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10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19,727</w:t>
            </w: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41,166</w:t>
            </w:r>
          </w:p>
        </w:tc>
        <w:tc>
          <w:tcPr>
            <w:tcW w:w="0" w:type="dxa"/>
            <w:vAlign w:val="bottom"/>
          </w:tcPr>
          <w:p>
            <w:pPr>
              <w:spacing w:after="0"/>
              <w:rPr>
                <w:sz w:val="1"/>
                <w:szCs w:val="1"/>
                <w:color w:val="auto"/>
              </w:rPr>
            </w:pPr>
          </w:p>
        </w:tc>
      </w:tr>
      <w:tr>
        <w:trPr>
          <w:trHeight w:val="196"/>
        </w:trPr>
        <w:tc>
          <w:tcPr>
            <w:tcW w:w="74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080" w:type="dxa"/>
            <w:vAlign w:val="bottom"/>
          </w:tcPr>
          <w:p>
            <w:pPr>
              <w:jc w:val="right"/>
              <w:ind w:right="87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76,097</w:t>
            </w:r>
          </w:p>
        </w:tc>
        <w:tc>
          <w:tcPr>
            <w:tcW w:w="820" w:type="dxa"/>
            <w:vAlign w:val="bottom"/>
            <w:gridSpan w:val="2"/>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121,070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-4325620</wp:posOffset>
            </wp:positionV>
            <wp:extent cx="1200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-3545205</wp:posOffset>
            </wp:positionV>
            <wp:extent cx="1200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-3274060</wp:posOffset>
            </wp:positionV>
            <wp:extent cx="1200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-3256915</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-2216785</wp:posOffset>
            </wp:positionV>
            <wp:extent cx="12001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-1428115</wp:posOffset>
            </wp:positionV>
            <wp:extent cx="12001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12001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1">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4580" w:type="dxa"/>
            <w:vAlign w:val="bottom"/>
            <w:gridSpan w:val="2"/>
          </w:tcPr>
          <w:p>
            <w:pPr>
              <w:jc w:val="right"/>
              <w:ind w:right="2310"/>
              <w:spacing w:after="0"/>
              <w:rPr>
                <w:sz w:val="20"/>
                <w:szCs w:val="20"/>
                <w:color w:val="auto"/>
              </w:rPr>
            </w:pPr>
            <w:r>
              <w:rPr>
                <w:rFonts w:ascii="Arial" w:cs="Arial" w:eastAsia="Arial" w:hAnsi="Arial"/>
                <w:sz w:val="18"/>
                <w:szCs w:val="18"/>
                <w:b w:val="1"/>
                <w:bCs w:val="1"/>
                <w:color w:val="auto"/>
              </w:rPr>
              <w:t>BIODESIX, INC.</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46"/>
        </w:trPr>
        <w:tc>
          <w:tcPr>
            <w:tcW w:w="4120" w:type="dxa"/>
            <w:vAlign w:val="bottom"/>
          </w:tcPr>
          <w:p>
            <w:pPr>
              <w:spacing w:after="0"/>
              <w:rPr>
                <w:sz w:val="24"/>
                <w:szCs w:val="24"/>
                <w:color w:val="auto"/>
              </w:rPr>
            </w:pPr>
          </w:p>
        </w:tc>
        <w:tc>
          <w:tcPr>
            <w:tcW w:w="4580" w:type="dxa"/>
            <w:vAlign w:val="bottom"/>
            <w:gridSpan w:val="2"/>
          </w:tcPr>
          <w:p>
            <w:pPr>
              <w:jc w:val="right"/>
              <w:ind w:right="2030"/>
              <w:spacing w:after="0"/>
              <w:rPr>
                <w:sz w:val="20"/>
                <w:szCs w:val="20"/>
                <w:color w:val="auto"/>
              </w:rPr>
            </w:pPr>
            <w:r>
              <w:rPr>
                <w:rFonts w:ascii="Arial" w:cs="Arial" w:eastAsia="Arial" w:hAnsi="Arial"/>
                <w:sz w:val="18"/>
                <w:szCs w:val="18"/>
                <w:b w:val="1"/>
                <w:bCs w:val="1"/>
                <w:color w:val="auto"/>
              </w:rPr>
              <w:t>Statements of Operations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4120" w:type="dxa"/>
            <w:vAlign w:val="bottom"/>
          </w:tcPr>
          <w:p>
            <w:pPr>
              <w:spacing w:after="0"/>
              <w:rPr>
                <w:sz w:val="20"/>
                <w:szCs w:val="20"/>
                <w:color w:val="auto"/>
              </w:rPr>
            </w:pPr>
          </w:p>
        </w:tc>
        <w:tc>
          <w:tcPr>
            <w:tcW w:w="4580" w:type="dxa"/>
            <w:vAlign w:val="bottom"/>
            <w:gridSpan w:val="2"/>
          </w:tcPr>
          <w:p>
            <w:pPr>
              <w:jc w:val="right"/>
              <w:ind w:right="1570"/>
              <w:spacing w:after="0"/>
              <w:rPr>
                <w:sz w:val="20"/>
                <w:szCs w:val="20"/>
                <w:color w:val="auto"/>
              </w:rPr>
            </w:pPr>
            <w:r>
              <w:rPr>
                <w:rFonts w:ascii="Arial" w:cs="Arial" w:eastAsia="Arial" w:hAnsi="Arial"/>
                <w:sz w:val="18"/>
                <w:szCs w:val="18"/>
                <w:b w:val="1"/>
                <w:bCs w:val="1"/>
                <w:color w:val="auto"/>
                <w:w w:val="90"/>
              </w:rPr>
              <w:t>(in thousands, except per share data)</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1"/>
        </w:trPr>
        <w:tc>
          <w:tcPr>
            <w:tcW w:w="4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196"/>
        </w:trPr>
        <w:tc>
          <w:tcPr>
            <w:tcW w:w="41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7"/>
                <w:szCs w:val="17"/>
                <w:color w:val="auto"/>
              </w:rPr>
            </w:pP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w:t>
            </w:r>
          </w:p>
        </w:tc>
        <w:tc>
          <w:tcPr>
            <w:tcW w:w="356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54,506</w:t>
            </w:r>
          </w:p>
        </w:tc>
        <w:tc>
          <w:tcPr>
            <w:tcW w:w="1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45,557</w:t>
            </w: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Direct costs and expenses</w:t>
            </w:r>
          </w:p>
        </w:tc>
        <w:tc>
          <w:tcPr>
            <w:tcW w:w="3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30,518</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21,998</w:t>
            </w: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12,789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10,818</w:t>
            </w: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3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50,517</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34,857</w:t>
            </w: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35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1,622</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818</w:t>
            </w:r>
          </w:p>
        </w:tc>
      </w:tr>
      <w:tr>
        <w:trPr>
          <w:trHeight w:val="196"/>
        </w:trPr>
        <w:tc>
          <w:tcPr>
            <w:tcW w:w="41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35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95,446</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68,491</w:t>
            </w: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1"/>
              </w:rPr>
              <w:t>(40,940 )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1"/>
              </w:rPr>
              <w:t>(22,934 )</w:t>
            </w: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income:</w:t>
            </w:r>
          </w:p>
        </w:tc>
        <w:tc>
          <w:tcPr>
            <w:tcW w:w="3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(4,508 )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(7,604 )</w:t>
            </w: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5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(1,252 )</w:t>
            </w: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Gain on debt extinguishments, net</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2,298</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1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income, net</w:t>
            </w:r>
          </w:p>
        </w:tc>
        <w:tc>
          <w:tcPr>
            <w:tcW w:w="35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440</w:t>
            </w: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3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(2,219 )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(8,416 )</w:t>
            </w:r>
          </w:p>
        </w:tc>
      </w:tr>
      <w:tr>
        <w:trPr>
          <w:trHeight w:val="203"/>
        </w:trPr>
        <w:tc>
          <w:tcPr>
            <w:tcW w:w="4120" w:type="dxa"/>
            <w:vAlign w:val="bottom"/>
            <w:tcBorders>
              <w:bottom w:val="single" w:sz="8" w:color="CFF0FC"/>
            </w:tcBorders>
            <w:shd w:val="clear" w:color="auto" w:fill="CFF0FC"/>
          </w:tcPr>
          <w:p>
            <w:pPr>
              <w:spacing w:after="0"/>
              <w:rPr>
                <w:sz w:val="17"/>
                <w:szCs w:val="17"/>
                <w:color w:val="auto"/>
              </w:rPr>
            </w:pPr>
          </w:p>
        </w:tc>
        <w:tc>
          <w:tcPr>
            <w:tcW w:w="35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4580" w:type="dxa"/>
            <w:vAlign w:val="bottom"/>
            <w:gridSpan w:val="2"/>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1"/>
              </w:rPr>
              <w:t>(43,159 )</w:t>
            </w:r>
          </w:p>
        </w:tc>
        <w:tc>
          <w:tcPr>
            <w:tcW w:w="1160" w:type="dxa"/>
            <w:vAlign w:val="bottom"/>
            <w:gridSpan w:val="2"/>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1"/>
              </w:rPr>
              <w:t>(31,350 )</w:t>
            </w:r>
          </w:p>
        </w:tc>
      </w:tr>
      <w:tr>
        <w:trPr>
          <w:trHeight w:val="20"/>
        </w:trPr>
        <w:tc>
          <w:tcPr>
            <w:tcW w:w="4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1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30"/>
              <w:spacing w:after="0" w:line="18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(1.58 )</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810"/>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(6.48 )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w w:val="90"/>
              </w:rPr>
              <w:t>Weighted-average shares outstanding, basic and diluted</w:t>
            </w:r>
          </w:p>
        </w:tc>
        <w:tc>
          <w:tcPr>
            <w:tcW w:w="3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27,365</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-1480185</wp:posOffset>
            </wp:positionV>
            <wp:extent cx="1117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-699770</wp:posOffset>
            </wp:positionV>
            <wp:extent cx="1117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-434340</wp:posOffset>
            </wp:positionV>
            <wp:extent cx="11176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5">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ind w:left="4940"/>
        <w:spacing w:after="0"/>
        <w:rPr>
          <w:sz w:val="20"/>
          <w:szCs w:val="20"/>
          <w:color w:val="auto"/>
        </w:rPr>
      </w:pPr>
      <w:r>
        <w:rPr>
          <w:rFonts w:ascii="Arial" w:cs="Arial" w:eastAsia="Arial" w:hAnsi="Arial"/>
          <w:sz w:val="18"/>
          <w:szCs w:val="18"/>
          <w:b w:val="1"/>
          <w:bCs w:val="1"/>
          <w:color w:val="auto"/>
        </w:rPr>
        <w:t>BIODESIX, INC.</w:t>
      </w:r>
    </w:p>
    <w:p>
      <w:pPr>
        <w:spacing w:after="0" w:line="171"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Statements of Convertible Preferred Stock and Stockholders' Equity (Deficit)</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20"/>
          </w:cols>
          <w:pgMar w:left="34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January 1, 2020</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3"/>
          <w:szCs w:val="13"/>
          <w:color w:val="auto"/>
        </w:rPr>
        <w:t>Issuance of common stock in initial public offering, net of discounts and commission of $5,040 and direct offering costs of $3,203</w:t>
      </w:r>
    </w:p>
    <w:p>
      <w:pPr>
        <w:ind w:right="100"/>
        <w:spacing w:after="0" w:line="241" w:lineRule="auto"/>
        <w:rPr>
          <w:sz w:val="20"/>
          <w:szCs w:val="20"/>
          <w:color w:val="auto"/>
        </w:rPr>
      </w:pPr>
      <w:r>
        <w:rPr>
          <w:rFonts w:ascii="Arial" w:cs="Arial" w:eastAsia="Arial" w:hAnsi="Arial"/>
          <w:sz w:val="14"/>
          <w:szCs w:val="14"/>
          <w:color w:val="auto"/>
        </w:rPr>
        <w:t>Conversion of preferred stock into common stock upon initial public offering</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Conversion of convertible debt into common stock upon initial public offering</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Reclassification of preferred stock warrant liability and put option into additional paid-in capital upon initial public offering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59"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 xml:space="preserve">Balance </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 xml:space="preserve"> December 31, 2020</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Issuance of common stock, net of discounts and commission of $664</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 under employee stock purchase plan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Stock</w:t>
      </w:r>
      <w:r>
        <w:rPr>
          <w:rFonts w:ascii="MS PGothic" w:cs="MS PGothic" w:eastAsia="MS PGothic" w:hAnsi="MS PGothic"/>
          <w:sz w:val="14"/>
          <w:szCs w:val="14"/>
          <w:color w:val="auto"/>
        </w:rPr>
        <w:t>‑</w:t>
      </w:r>
      <w:r>
        <w:rPr>
          <w:rFonts w:ascii="Arial" w:cs="Arial" w:eastAsia="Arial" w:hAnsi="Arial"/>
          <w:sz w:val="14"/>
          <w:szCs w:val="14"/>
          <w:color w:val="auto"/>
        </w:rPr>
        <w:t>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 December 31, 2021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1"/>
        </w:trPr>
        <w:tc>
          <w:tcPr>
            <w:tcW w:w="1940" w:type="dxa"/>
            <w:vAlign w:val="bottom"/>
            <w:gridSpan w:val="4"/>
            <w:vMerge w:val="restart"/>
          </w:tcPr>
          <w:p>
            <w:pPr>
              <w:jc w:val="right"/>
              <w:ind w:right="169"/>
              <w:spacing w:after="0"/>
              <w:rPr>
                <w:sz w:val="20"/>
                <w:szCs w:val="20"/>
                <w:color w:val="auto"/>
              </w:rPr>
            </w:pPr>
            <w:r>
              <w:rPr>
                <w:rFonts w:ascii="Arial" w:cs="Arial" w:eastAsia="Arial" w:hAnsi="Arial"/>
                <w:sz w:val="13"/>
                <w:szCs w:val="13"/>
                <w:b w:val="1"/>
                <w:bCs w:val="1"/>
                <w:color w:val="auto"/>
                <w:w w:val="97"/>
              </w:rPr>
              <w:t>Convertible Preferred Stock</w:t>
            </w:r>
          </w:p>
        </w:tc>
        <w:tc>
          <w:tcPr>
            <w:tcW w:w="100" w:type="dxa"/>
            <w:vAlign w:val="bottom"/>
          </w:tcPr>
          <w:p>
            <w:pPr>
              <w:spacing w:after="0"/>
              <w:rPr>
                <w:sz w:val="10"/>
                <w:szCs w:val="10"/>
                <w:color w:val="auto"/>
              </w:rPr>
            </w:pPr>
          </w:p>
        </w:tc>
        <w:tc>
          <w:tcPr>
            <w:tcW w:w="1640" w:type="dxa"/>
            <w:vAlign w:val="bottom"/>
            <w:gridSpan w:val="3"/>
            <w:vMerge w:val="restart"/>
          </w:tcPr>
          <w:p>
            <w:pPr>
              <w:jc w:val="right"/>
              <w:ind w:right="251"/>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49"/>
              <w:spacing w:after="0"/>
              <w:rPr>
                <w:sz w:val="20"/>
                <w:szCs w:val="20"/>
                <w:color w:val="auto"/>
              </w:rPr>
            </w:pPr>
            <w:r>
              <w:rPr>
                <w:rFonts w:ascii="Arial" w:cs="Arial" w:eastAsia="Arial" w:hAnsi="Arial"/>
                <w:sz w:val="13"/>
                <w:szCs w:val="13"/>
                <w:b w:val="1"/>
                <w:bCs w:val="1"/>
                <w:color w:val="auto"/>
                <w:w w:val="90"/>
              </w:rPr>
              <w:t>Accumulated</w:t>
            </w:r>
          </w:p>
        </w:tc>
        <w:tc>
          <w:tcPr>
            <w:tcW w:w="120" w:type="dxa"/>
            <w:vAlign w:val="bottom"/>
          </w:tcPr>
          <w:p>
            <w:pPr>
              <w:spacing w:after="0"/>
              <w:rPr>
                <w:sz w:val="10"/>
                <w:szCs w:val="10"/>
                <w:color w:val="auto"/>
              </w:rPr>
            </w:pPr>
          </w:p>
        </w:tc>
        <w:tc>
          <w:tcPr>
            <w:tcW w:w="900" w:type="dxa"/>
            <w:vAlign w:val="bottom"/>
            <w:gridSpan w:val="2"/>
          </w:tcPr>
          <w:p>
            <w:pPr>
              <w:jc w:val="center"/>
              <w:ind w:right="30"/>
              <w:spacing w:after="0" w:line="122"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90"/>
              <w:spacing w:after="0" w:line="150" w:lineRule="exact"/>
              <w:rPr>
                <w:sz w:val="20"/>
                <w:szCs w:val="20"/>
                <w:color w:val="auto"/>
              </w:rPr>
            </w:pPr>
            <w:r>
              <w:rPr>
                <w:rFonts w:ascii="Arial" w:cs="Arial" w:eastAsia="Arial" w:hAnsi="Arial"/>
                <w:sz w:val="13"/>
                <w:szCs w:val="13"/>
                <w:b w:val="1"/>
                <w:bCs w:val="1"/>
                <w:color w:val="auto"/>
              </w:rPr>
              <w:t>Paid</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In</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3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920" w:type="dxa"/>
            <w:vAlign w:val="bottom"/>
            <w:tcBorders>
              <w:bottom w:val="single" w:sz="8" w:color="auto"/>
            </w:tcBorders>
          </w:tcPr>
          <w:p>
            <w:pPr>
              <w:jc w:val="right"/>
              <w:ind w:right="249"/>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9"/>
              <w:spacing w:after="0" w:line="142" w:lineRule="exact"/>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210"/>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0"/>
              <w:spacing w:after="0" w:line="142" w:lineRule="exact"/>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9"/>
              <w:spacing w:after="0" w:line="142"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30"/>
              <w:spacing w:after="0" w:line="142"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76"/>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118,766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193,959</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5"/>
                <w:szCs w:val="15"/>
                <w:color w:val="auto"/>
              </w:rPr>
            </w:pPr>
          </w:p>
        </w:tc>
        <w:tc>
          <w:tcPr>
            <w:tcW w:w="640" w:type="dxa"/>
            <w:vAlign w:val="bottom"/>
          </w:tcPr>
          <w:p>
            <w:pPr>
              <w:jc w:val="right"/>
              <w:ind w:right="491"/>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(227,464 )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(225,139 )</w:t>
            </w:r>
          </w:p>
        </w:tc>
        <w:tc>
          <w:tcPr>
            <w:tcW w:w="0" w:type="dxa"/>
            <w:vAlign w:val="bottom"/>
          </w:tcPr>
          <w:p>
            <w:pPr>
              <w:spacing w:after="0"/>
              <w:rPr>
                <w:sz w:val="1"/>
                <w:szCs w:val="1"/>
                <w:color w:val="auto"/>
              </w:rPr>
            </w:pPr>
          </w:p>
        </w:tc>
      </w:tr>
      <w:tr>
        <w:trPr>
          <w:trHeight w:val="238"/>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63,757</w:t>
            </w:r>
          </w:p>
        </w:tc>
        <w:tc>
          <w:tcPr>
            <w:tcW w:w="0" w:type="dxa"/>
            <w:vAlign w:val="bottom"/>
          </w:tcPr>
          <w:p>
            <w:pPr>
              <w:spacing w:after="0"/>
              <w:rPr>
                <w:sz w:val="1"/>
                <w:szCs w:val="1"/>
                <w:color w:val="auto"/>
              </w:rPr>
            </w:pPr>
          </w:p>
        </w:tc>
      </w:tr>
      <w:tr>
        <w:trPr>
          <w:trHeight w:val="324"/>
        </w:trPr>
        <w:tc>
          <w:tcPr>
            <w:tcW w:w="920" w:type="dxa"/>
            <w:vAlign w:val="bottom"/>
          </w:tcPr>
          <w:p>
            <w:pPr>
              <w:jc w:val="right"/>
              <w:spacing w:after="0"/>
              <w:rPr>
                <w:sz w:val="20"/>
                <w:szCs w:val="20"/>
                <w:color w:val="auto"/>
              </w:rPr>
            </w:pPr>
            <w:r>
              <w:rPr>
                <w:rFonts w:ascii="Arial" w:cs="Arial" w:eastAsia="Arial" w:hAnsi="Arial"/>
                <w:sz w:val="14"/>
                <w:szCs w:val="14"/>
                <w:color w:val="auto"/>
              </w:rPr>
              <w:t>(118,766 )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(193,959 )</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20,091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193,939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193,959</w:t>
            </w:r>
          </w:p>
        </w:tc>
        <w:tc>
          <w:tcPr>
            <w:tcW w:w="0" w:type="dxa"/>
            <w:vAlign w:val="bottom"/>
          </w:tcPr>
          <w:p>
            <w:pPr>
              <w:spacing w:after="0"/>
              <w:rPr>
                <w:sz w:val="1"/>
                <w:szCs w:val="1"/>
                <w:color w:val="auto"/>
              </w:rPr>
            </w:pPr>
          </w:p>
        </w:tc>
      </w:tr>
      <w:tr>
        <w:trPr>
          <w:trHeight w:val="324"/>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26,616</w:t>
            </w:r>
          </w:p>
        </w:tc>
        <w:tc>
          <w:tcPr>
            <w:tcW w:w="0" w:type="dxa"/>
            <w:vAlign w:val="bottom"/>
          </w:tcPr>
          <w:p>
            <w:pPr>
              <w:spacing w:after="0"/>
              <w:rPr>
                <w:sz w:val="1"/>
                <w:szCs w:val="1"/>
                <w:color w:val="auto"/>
              </w:rPr>
            </w:pPr>
          </w:p>
        </w:tc>
      </w:tr>
      <w:tr>
        <w:trPr>
          <w:trHeight w:val="324"/>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8,274</w:t>
            </w:r>
          </w:p>
        </w:tc>
        <w:tc>
          <w:tcPr>
            <w:tcW w:w="0" w:type="dxa"/>
            <w:vAlign w:val="bottom"/>
          </w:tcPr>
          <w:p>
            <w:pPr>
              <w:spacing w:after="0"/>
              <w:rPr>
                <w:sz w:val="1"/>
                <w:szCs w:val="1"/>
                <w:color w:val="auto"/>
              </w:rPr>
            </w:pPr>
          </w:p>
        </w:tc>
      </w:tr>
      <w:tr>
        <w:trPr>
          <w:trHeight w:val="250"/>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75"/>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3,709</w:t>
            </w: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(31,350 )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(31,350 )</w:t>
            </w:r>
          </w:p>
        </w:tc>
        <w:tc>
          <w:tcPr>
            <w:tcW w:w="0" w:type="dxa"/>
            <w:vAlign w:val="bottom"/>
          </w:tcPr>
          <w:p>
            <w:pPr>
              <w:spacing w:after="0"/>
              <w:rPr>
                <w:sz w:val="1"/>
                <w:szCs w:val="1"/>
                <w:color w:val="auto"/>
              </w:rPr>
            </w:pPr>
          </w:p>
        </w:tc>
      </w:tr>
      <w:tr>
        <w:trPr>
          <w:trHeight w:val="238"/>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26,562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299,953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(258,814 )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41,166</w:t>
            </w:r>
          </w:p>
        </w:tc>
        <w:tc>
          <w:tcPr>
            <w:tcW w:w="0" w:type="dxa"/>
            <w:vAlign w:val="bottom"/>
          </w:tcPr>
          <w:p>
            <w:pPr>
              <w:spacing w:after="0"/>
              <w:rPr>
                <w:sz w:val="1"/>
                <w:szCs w:val="1"/>
                <w:color w:val="auto"/>
              </w:rPr>
            </w:pPr>
          </w:p>
        </w:tc>
      </w:tr>
      <w:tr>
        <w:trPr>
          <w:trHeight w:val="250"/>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3,757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15,679</w:t>
            </w:r>
          </w:p>
        </w:tc>
        <w:tc>
          <w:tcPr>
            <w:tcW w:w="0" w:type="dxa"/>
            <w:vAlign w:val="bottom"/>
          </w:tcPr>
          <w:p>
            <w:pPr>
              <w:spacing w:after="0"/>
              <w:rPr>
                <w:sz w:val="1"/>
                <w:szCs w:val="1"/>
                <w:color w:val="auto"/>
              </w:rPr>
            </w:pPr>
          </w:p>
        </w:tc>
      </w:tr>
      <w:tr>
        <w:trPr>
          <w:trHeight w:val="176"/>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75"/>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76"/>
        </w:trPr>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181"/>
        </w:trPr>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(43,159 )</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(43,159 )</w:t>
            </w: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30,790</w:t>
            </w: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321,669</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(301,973 )</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19,727</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-2185670</wp:posOffset>
            </wp:positionV>
            <wp:extent cx="7132320" cy="1117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-1868170</wp:posOffset>
            </wp:positionV>
            <wp:extent cx="7132320" cy="205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-1456690</wp:posOffset>
            </wp:positionV>
            <wp:extent cx="7132320" cy="205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-1139190</wp:posOffset>
            </wp:positionV>
            <wp:extent cx="7132320" cy="111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-908050</wp:posOffset>
            </wp:positionV>
            <wp:extent cx="7132320" cy="205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-591185</wp:posOffset>
            </wp:positionV>
            <wp:extent cx="7132320" cy="1117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-368300</wp:posOffset>
            </wp:positionV>
            <wp:extent cx="7132320" cy="1117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-136525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240"/>
            <w:col w:w="6920"/>
          </w:cols>
          <w:pgMar w:left="340" w:top="324" w:right="339" w:bottom="1440" w:gutter="0" w:footer="0" w:header="0"/>
          <w:type w:val="continuous"/>
        </w:sect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768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46"/>
        </w:trPr>
        <w:tc>
          <w:tcPr>
            <w:tcW w:w="768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768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5"/>
        </w:trPr>
        <w:tc>
          <w:tcPr>
            <w:tcW w:w="76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7"/>
                <w:szCs w:val="17"/>
                <w:color w:val="auto"/>
              </w:rPr>
            </w:pP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flows from operating activities</w:t>
            </w:r>
          </w:p>
        </w:tc>
        <w:tc>
          <w:tcPr>
            <w:tcW w:w="10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tcPr>
          <w:p>
            <w:pPr>
              <w:jc w:val="right"/>
              <w:ind w:right="83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88"/>
              </w:rPr>
              <w:t>(43,159 )</w:t>
            </w:r>
          </w:p>
        </w:tc>
        <w:tc>
          <w:tcPr>
            <w:tcW w:w="1160" w:type="dxa"/>
            <w:vAlign w:val="bottom"/>
            <w:gridSpan w:val="2"/>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1"/>
              </w:rPr>
              <w:t>(31,350 )</w:t>
            </w:r>
          </w:p>
        </w:tc>
      </w:tr>
      <w:tr>
        <w:trPr>
          <w:trHeight w:val="162"/>
        </w:trPr>
        <w:tc>
          <w:tcPr>
            <w:tcW w:w="7680" w:type="dxa"/>
            <w:vAlign w:val="bottom"/>
            <w:shd w:val="clear" w:color="auto" w:fill="CCEEFF"/>
          </w:tcPr>
          <w:p>
            <w:pPr>
              <w:ind w:left="200"/>
              <w:spacing w:after="0" w:line="162" w:lineRule="exact"/>
              <w:rPr>
                <w:sz w:val="20"/>
                <w:szCs w:val="20"/>
                <w:color w:val="auto"/>
              </w:rPr>
            </w:pPr>
            <w:r>
              <w:rPr>
                <w:rFonts w:ascii="Arial" w:cs="Arial" w:eastAsia="Arial" w:hAnsi="Arial"/>
                <w:sz w:val="18"/>
                <w:szCs w:val="18"/>
                <w:color w:val="auto"/>
              </w:rPr>
              <w:t>Adjustments to reconcile net loss to net cash, cash equivalents, and restricted</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operating activities</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3,178</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Amortization of convertible notes debt discount</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4,389</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Gain on debt extinguishments, net</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(2,298 )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4,944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3,709</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1,252</w:t>
            </w: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Change in contingent consideration</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818</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Provision for doubtful accounts</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296</w:t>
            </w: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Accrued interest, amortization of debt issuance costs and other</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2,706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1,418</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11,454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(10,308 )</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Other current assets</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(6,588 )</w:t>
            </w:r>
          </w:p>
        </w:tc>
      </w:tr>
      <w:tr>
        <w:trPr>
          <w:trHeight w:val="203"/>
        </w:trPr>
        <w:tc>
          <w:tcPr>
            <w:tcW w:w="7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long-term assets and liabilities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(1,808 )</w:t>
            </w:r>
          </w:p>
        </w:tc>
      </w:tr>
      <w:tr>
        <w:trPr>
          <w:trHeight w:val="203"/>
        </w:trPr>
        <w:tc>
          <w:tcPr>
            <w:tcW w:w="7680" w:type="dxa"/>
            <w:vAlign w:val="bottom"/>
          </w:tcPr>
          <w:p>
            <w:pPr>
              <w:ind w:left="38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(7,425 )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11,654</w:t>
            </w:r>
          </w:p>
        </w:tc>
      </w:tr>
      <w:tr>
        <w:trPr>
          <w:trHeight w:val="203"/>
        </w:trPr>
        <w:tc>
          <w:tcPr>
            <w:tcW w:w="7680" w:type="dxa"/>
            <w:vAlign w:val="bottom"/>
            <w:tcBorders>
              <w:bottom w:val="single" w:sz="8" w:color="CCEEFF"/>
            </w:tcBorders>
            <w:shd w:val="clear" w:color="auto" w:fill="CCEEFF"/>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(1,682 )</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2,249</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cash and cash equivalents and restricted cash used in operating activities</w:t>
            </w:r>
          </w:p>
        </w:tc>
        <w:tc>
          <w:tcPr>
            <w:tcW w:w="10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88"/>
              </w:rPr>
              <w:t>(28,223 )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1"/>
              </w:rPr>
              <w:t>(21,366 )</w:t>
            </w:r>
          </w:p>
        </w:tc>
      </w:tr>
      <w:tr>
        <w:trPr>
          <w:trHeight w:val="203"/>
        </w:trPr>
        <w:tc>
          <w:tcPr>
            <w:tcW w:w="7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(2,241 )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Patent costs and intangible asset acquisition, net</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(306 )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(232 )</w:t>
            </w:r>
          </w:p>
        </w:tc>
      </w:tr>
      <w:tr>
        <w:trPr>
          <w:trHeight w:val="203"/>
        </w:trPr>
        <w:tc>
          <w:tcPr>
            <w:tcW w:w="76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Payments to acquire Oncimmune assets</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cash and cash equivalents and restricted cash used in investing activities</w:t>
            </w:r>
          </w:p>
        </w:tc>
        <w:tc>
          <w:tcPr>
            <w:tcW w:w="10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(2,547 )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(2,927 )</w:t>
            </w:r>
          </w:p>
        </w:tc>
      </w:tr>
      <w:tr>
        <w:trPr>
          <w:trHeight w:val="203"/>
        </w:trPr>
        <w:tc>
          <w:tcPr>
            <w:tcW w:w="7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initial public offering</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72,000</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16,343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 of common stock under employee stock purchase plan</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1,340</w:t>
            </w: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Proceeds from issuances of convertible notes payable</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12,955</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term loan and notes payable</w:t>
            </w:r>
          </w:p>
        </w:tc>
        <w:tc>
          <w:tcPr>
            <w:tcW w:w="104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30,078</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3,085</w:t>
            </w: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Repayment of term loan and notes payable</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(45,428 )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Payment of debt issuance costs</w:t>
            </w:r>
          </w:p>
        </w:tc>
        <w:tc>
          <w:tcPr>
            <w:tcW w:w="10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(164 )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Equity financing costs</w:t>
            </w:r>
          </w:p>
        </w:tc>
        <w:tc>
          <w:tcPr>
            <w:tcW w:w="1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(664 )</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(8,243 )</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(6 )</w:t>
            </w:r>
          </w:p>
        </w:tc>
      </w:tr>
      <w:tr>
        <w:trPr>
          <w:trHeight w:val="196"/>
        </w:trPr>
        <w:tc>
          <w:tcPr>
            <w:tcW w:w="7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and cash equivalents and restricted cash provided by financing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1,262</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81,131</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 and cash equivalents and restricted cash</w:t>
            </w:r>
          </w:p>
        </w:tc>
        <w:tc>
          <w:tcPr>
            <w:tcW w:w="10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88"/>
              </w:rPr>
              <w:t>(29,508 )</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56,838</w:t>
            </w:r>
          </w:p>
        </w:tc>
      </w:tr>
      <w:tr>
        <w:trPr>
          <w:trHeight w:val="203"/>
        </w:trPr>
        <w:tc>
          <w:tcPr>
            <w:tcW w:w="7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beginning of period</w:t>
            </w:r>
          </w:p>
        </w:tc>
        <w:tc>
          <w:tcPr>
            <w:tcW w:w="10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62,306</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5,468</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 xml:space="preserve">Cash, cash equivalents, and restricted cash </w:t>
            </w:r>
            <w:r>
              <w:rPr>
                <w:rFonts w:ascii="MS PGothic" w:cs="MS PGothic" w:eastAsia="MS PGothic" w:hAnsi="MS PGothic"/>
                <w:sz w:val="18"/>
                <w:szCs w:val="18"/>
                <w:color w:val="auto"/>
              </w:rPr>
              <w:t>‑</w:t>
            </w:r>
            <w:r>
              <w:rPr>
                <w:rFonts w:ascii="Arial" w:cs="Arial" w:eastAsia="Arial" w:hAnsi="Arial"/>
                <w:sz w:val="18"/>
                <w:szCs w:val="18"/>
                <w:color w:val="auto"/>
              </w:rPr>
              <w:t xml:space="preserve"> end of period</w:t>
            </w:r>
          </w:p>
        </w:tc>
        <w:tc>
          <w:tcPr>
            <w:tcW w:w="1040" w:type="dxa"/>
            <w:vAlign w:val="bottom"/>
          </w:tcPr>
          <w:p>
            <w:pPr>
              <w:jc w:val="right"/>
              <w:ind w:right="83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32,798</w:t>
            </w:r>
          </w:p>
        </w:tc>
        <w:tc>
          <w:tcPr>
            <w:tcW w:w="1160" w:type="dxa"/>
            <w:vAlign w:val="bottom"/>
            <w:gridSpan w:val="2"/>
          </w:tcPr>
          <w:p>
            <w:pPr>
              <w:jc w:val="right"/>
              <w:ind w:right="90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62,306</w:t>
            </w:r>
          </w:p>
        </w:tc>
      </w:tr>
      <w:tr>
        <w:trPr>
          <w:trHeight w:val="20"/>
        </w:trPr>
        <w:tc>
          <w:tcPr>
            <w:tcW w:w="7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-3022600</wp:posOffset>
            </wp:positionV>
            <wp:extent cx="11176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-2242185</wp:posOffset>
            </wp:positionV>
            <wp:extent cx="11176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-424815</wp:posOffset>
            </wp:positionV>
            <wp:extent cx="11176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9">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7680" w:type="dxa"/>
            <w:vAlign w:val="bottom"/>
          </w:tcPr>
          <w:p>
            <w:pPr>
              <w:ind w:left="4960"/>
              <w:spacing w:after="0"/>
              <w:rPr>
                <w:sz w:val="20"/>
                <w:szCs w:val="20"/>
                <w:color w:val="auto"/>
              </w:rPr>
            </w:pPr>
            <w:r>
              <w:rPr>
                <w:rFonts w:ascii="Arial" w:cs="Arial" w:eastAsia="Arial" w:hAnsi="Arial"/>
                <w:sz w:val="18"/>
                <w:szCs w:val="18"/>
                <w:b w:val="1"/>
                <w:bCs w:val="1"/>
                <w:color w:val="auto"/>
              </w:rPr>
              <w:t>BIODESIX, INC.</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46"/>
        </w:trPr>
        <w:tc>
          <w:tcPr>
            <w:tcW w:w="7680" w:type="dxa"/>
            <w:vAlign w:val="bottom"/>
          </w:tcPr>
          <w:p>
            <w:pPr>
              <w:ind w:left="4620"/>
              <w:spacing w:after="0"/>
              <w:rPr>
                <w:sz w:val="20"/>
                <w:szCs w:val="20"/>
                <w:color w:val="auto"/>
              </w:rPr>
            </w:pPr>
            <w:r>
              <w:rPr>
                <w:rFonts w:ascii="Arial" w:cs="Arial" w:eastAsia="Arial" w:hAnsi="Arial"/>
                <w:sz w:val="18"/>
                <w:szCs w:val="18"/>
                <w:b w:val="1"/>
                <w:bCs w:val="1"/>
                <w:color w:val="auto"/>
              </w:rPr>
              <w:t>Statements of Cash Flows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4"/>
        </w:trPr>
        <w:tc>
          <w:tcPr>
            <w:tcW w:w="7680" w:type="dxa"/>
            <w:vAlign w:val="bottom"/>
          </w:tcPr>
          <w:p>
            <w:pPr>
              <w:ind w:left="5080"/>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8"/>
        </w:trPr>
        <w:tc>
          <w:tcPr>
            <w:tcW w:w="7680" w:type="dxa"/>
            <w:vAlign w:val="bottom"/>
          </w:tcPr>
          <w:p>
            <w:pPr>
              <w:spacing w:after="0"/>
              <w:rPr>
                <w:sz w:val="20"/>
                <w:szCs w:val="20"/>
                <w:color w:val="auto"/>
              </w:rPr>
            </w:pPr>
            <w:r>
              <w:rPr>
                <w:rFonts w:ascii="Arial" w:cs="Arial" w:eastAsia="Arial" w:hAnsi="Arial"/>
                <w:sz w:val="18"/>
                <w:szCs w:val="18"/>
                <w:color w:val="auto"/>
              </w:rPr>
              <w:t>(Continued from the previous page)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8"/>
        </w:trPr>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91"/>
        </w:trPr>
        <w:tc>
          <w:tcPr>
            <w:tcW w:w="768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196"/>
        </w:trPr>
        <w:tc>
          <w:tcPr>
            <w:tcW w:w="7680" w:type="dxa"/>
            <w:vAlign w:val="bottom"/>
          </w:tcPr>
          <w:p>
            <w:pPr>
              <w:spacing w:after="0"/>
              <w:rPr>
                <w:sz w:val="17"/>
                <w:szCs w:val="17"/>
                <w:color w:val="auto"/>
              </w:rPr>
            </w:pPr>
          </w:p>
        </w:tc>
        <w:tc>
          <w:tcPr>
            <w:tcW w:w="11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17"/>
                <w:szCs w:val="17"/>
                <w:color w:val="auto"/>
              </w:rPr>
            </w:pP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Conversion of preferred stock into common stock</w:t>
            </w:r>
          </w:p>
        </w:tc>
        <w:tc>
          <w:tcPr>
            <w:tcW w:w="1100" w:type="dxa"/>
            <w:vAlign w:val="bottom"/>
            <w:tcBorders>
              <w:top w:val="single" w:sz="8" w:color="auto"/>
            </w:tcBorders>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193,959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Conversion of convertible notes and accrued interest into common stock</w:t>
            </w:r>
          </w:p>
        </w:tc>
        <w:tc>
          <w:tcPr>
            <w:tcW w:w="1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26,616</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Reclassification of put option liability to additional paid-in capital</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Value of put option recorded at issuance of convertible debt payable</w:t>
            </w:r>
          </w:p>
        </w:tc>
        <w:tc>
          <w:tcPr>
            <w:tcW w:w="1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3,389</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1,676</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1,844</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Reclassification of warrant liability to additional paid-in capital</w:t>
            </w:r>
          </w:p>
        </w:tc>
        <w:tc>
          <w:tcPr>
            <w:tcW w:w="1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1,624</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Non-cash debt issuance costs included in Accrued liabilities</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BIODESIX,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Biodesix, Inc. (the “Company”, “Biodesix”, “we” “us” and “our”), formerly Elston Technologies, Inc., was incorporated in Delaware in 2005. The Company’s headquarters are in Colorado, with laboratories in Colorado and Kansas. The Company conducts all of its operations within a single legal entity. Biodesix is a data-driven diagnostic solutions company leveraging state of the art technologies with its proprietary artificial intelligence platform to discover, develop, and commercialize solutions for clinical unmet needs, with a primary focus in lung disease. In addition to diagnostic tests, the Company provides biopharmaceutical companies with services that include diagnostic research, clinical trial testing, and the discovery, development, and commercialization of companion diagnostics.</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performs its blood-based diagnostic tests in its laboratory facilities, which are located in Boulder, Colorado and De Soto, Kansas. In May 2020, the Federal Drug Administration (FDA) granted Emergency Use Authorization (EUA) of the Bio-Rad SARS-CoV-2 Droplet Digital™ polymerase chain reaction (ddPCR) test to detect Coronavirus Disease 2019 (COVID-19) infection. In April 2020, the FDA authorized the Platelia SARS-CoV-2 Total Ab test to detect COVID-19 antibodies. 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Blood-Based Lung Tests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offers five blood-based lung cancer tests across the lung cancer continuum of care: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Diagnosis</w:t>
      </w:r>
    </w:p>
    <w:p>
      <w:pPr>
        <w:spacing w:after="0" w:line="104" w:lineRule="exact"/>
        <w:rPr>
          <w:sz w:val="20"/>
          <w:szCs w:val="20"/>
          <w:color w:val="auto"/>
        </w:rPr>
      </w:pPr>
    </w:p>
    <w:p>
      <w:pPr>
        <w:jc w:val="both"/>
        <w:ind w:left="900" w:hanging="383"/>
        <w:spacing w:after="0" w:line="24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Nodify XL2® </w:t>
      </w:r>
      <w:r>
        <w:rPr>
          <w:rFonts w:ascii="Arial" w:cs="Arial" w:eastAsia="Arial" w:hAnsi="Arial"/>
          <w:sz w:val="18"/>
          <w:szCs w:val="18"/>
          <w:color w:val="auto"/>
        </w:rPr>
        <w:t>and</w:t>
      </w:r>
      <w:r>
        <w:rPr>
          <w:rFonts w:ascii="Arial" w:cs="Arial" w:eastAsia="Arial" w:hAnsi="Arial"/>
          <w:sz w:val="18"/>
          <w:szCs w:val="18"/>
          <w:i w:val="1"/>
          <w:iCs w:val="1"/>
          <w:color w:val="auto"/>
        </w:rPr>
        <w:t xml:space="preserve"> Nodify CDT</w:t>
      </w:r>
      <w:r>
        <w:rPr>
          <w:rFonts w:ascii="Arial" w:cs="Arial" w:eastAsia="Arial" w:hAnsi="Arial"/>
          <w:sz w:val="18"/>
          <w:szCs w:val="18"/>
          <w:color w:val="auto"/>
        </w:rPr>
        <w:t>® tests, together marketed as part of our Nodify Lung</w:t>
      </w:r>
      <w:r>
        <w:rPr>
          <w:rFonts w:ascii="Arial" w:cs="Arial" w:eastAsia="Arial" w:hAnsi="Arial"/>
          <w:sz w:val="18"/>
          <w:szCs w:val="18"/>
          <w:i w:val="1"/>
          <w:iCs w:val="1"/>
          <w:color w:val="auto"/>
        </w:rPr>
        <w:t xml:space="preserve">® </w:t>
      </w:r>
      <w:r>
        <w:rPr>
          <w:rFonts w:ascii="Arial" w:cs="Arial" w:eastAsia="Arial" w:hAnsi="Arial"/>
          <w:sz w:val="18"/>
          <w:szCs w:val="18"/>
          <w:color w:val="auto"/>
        </w:rPr>
        <w:t>Nodule Risk Assessment testing strategy, assess the risk</w:t>
      </w:r>
      <w:r>
        <w:rPr>
          <w:rFonts w:ascii="Arial" w:cs="Arial" w:eastAsia="Arial" w:hAnsi="Arial"/>
          <w:sz w:val="18"/>
          <w:szCs w:val="18"/>
          <w:i w:val="1"/>
          <w:iCs w:val="1"/>
          <w:color w:val="auto"/>
        </w:rPr>
        <w:t xml:space="preserve"> </w:t>
      </w:r>
      <w:r>
        <w:rPr>
          <w:rFonts w:ascii="Arial" w:cs="Arial" w:eastAsia="Arial" w:hAnsi="Arial"/>
          <w:sz w:val="18"/>
          <w:szCs w:val="18"/>
          <w:color w:val="auto"/>
        </w:rPr>
        <w:t>of lung cancer to help identify the most appropriate treatment pathway. We believe we are the only company to offer two commercial blood-based tests to help physicians reclassify risk of malignancy in patients with suspicious lung nodules.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Treatment &amp; Monitoring</w:t>
      </w:r>
    </w:p>
    <w:p>
      <w:pPr>
        <w:spacing w:after="0" w:line="104" w:lineRule="exact"/>
        <w:rPr>
          <w:sz w:val="20"/>
          <w:szCs w:val="20"/>
          <w:color w:val="auto"/>
        </w:rPr>
      </w:pPr>
    </w:p>
    <w:p>
      <w:pPr>
        <w:jc w:val="both"/>
        <w:ind w:left="900" w:hanging="383"/>
        <w:spacing w:after="0" w:line="243"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GeneStrat ddPCR® </w:t>
      </w:r>
      <w:r>
        <w:rPr>
          <w:rFonts w:ascii="Arial" w:cs="Arial" w:eastAsia="Arial" w:hAnsi="Arial"/>
          <w:sz w:val="18"/>
          <w:szCs w:val="18"/>
          <w:color w:val="auto"/>
        </w:rPr>
        <w:t>and</w:t>
      </w:r>
      <w:r>
        <w:rPr>
          <w:rFonts w:ascii="Arial" w:cs="Arial" w:eastAsia="Arial" w:hAnsi="Arial"/>
          <w:sz w:val="18"/>
          <w:szCs w:val="18"/>
          <w:i w:val="1"/>
          <w:iCs w:val="1"/>
          <w:color w:val="auto"/>
        </w:rPr>
        <w:t xml:space="preserve"> VeriStrat® </w:t>
      </w:r>
      <w:r>
        <w:rPr>
          <w:rFonts w:ascii="Arial" w:cs="Arial" w:eastAsia="Arial" w:hAnsi="Arial"/>
          <w:sz w:val="18"/>
          <w:szCs w:val="18"/>
          <w:color w:val="auto"/>
        </w:rPr>
        <w:t>tests, marketed as part of our new IQLung™ testing strategy, are used following diagnosis of lung cancer</w:t>
      </w:r>
      <w:r>
        <w:rPr>
          <w:rFonts w:ascii="Arial" w:cs="Arial" w:eastAsia="Arial" w:hAnsi="Arial"/>
          <w:sz w:val="18"/>
          <w:szCs w:val="18"/>
          <w:i w:val="1"/>
          <w:iCs w:val="1"/>
          <w:color w:val="auto"/>
        </w:rPr>
        <w:t xml:space="preserve"> </w:t>
      </w:r>
      <w:r>
        <w:rPr>
          <w:rFonts w:ascii="Arial" w:cs="Arial" w:eastAsia="Arial" w:hAnsi="Arial"/>
          <w:sz w:val="18"/>
          <w:szCs w:val="18"/>
          <w:color w:val="auto"/>
        </w:rPr>
        <w:t>to measure the presence of mutations in the tumor and the state of the patient’s immune system to establish the patient’s prognosis and help guide treatment decisions. The GeneStrat ddPCR tumor profiling test and the VeriStrat immune profiling test have a 36-hour average turnaround time, providing physicians with timely results to facilitate treatment decisions.</w:t>
      </w:r>
    </w:p>
    <w:p>
      <w:pPr>
        <w:spacing w:after="0" w:line="79" w:lineRule="exact"/>
        <w:rPr>
          <w:rFonts w:ascii="Arial" w:cs="Arial" w:eastAsia="Arial" w:hAnsi="Arial"/>
          <w:sz w:val="18"/>
          <w:szCs w:val="18"/>
          <w:color w:val="auto"/>
        </w:rPr>
      </w:pPr>
    </w:p>
    <w:p>
      <w:pPr>
        <w:jc w:val="both"/>
        <w:ind w:left="900" w:hanging="383"/>
        <w:spacing w:after="0" w:line="241"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GeneStrat NGS™ (NGS) </w:t>
      </w:r>
      <w:r>
        <w:rPr>
          <w:rFonts w:ascii="Arial" w:cs="Arial" w:eastAsia="Arial" w:hAnsi="Arial"/>
          <w:sz w:val="18"/>
          <w:szCs w:val="18"/>
          <w:color w:val="auto"/>
        </w:rPr>
        <w:t>test, our 72-hour blood-based NGS test, was launched in November 2021 to a select group of physicians, with</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launch in January 2022. The 52-gene panel includes guideline recommended mutations to help physicians treating advanced-stage lung cancer patients identify targeted therapy mutations, such as EGFR, ALK, KRAS, MET, NTRK, ERBB2, and others, and delivers them in an expedited timeframe so patient treatment can begin sooner. The GeneStrat NGS test is marketed as part of the new IQ Lung testing strategy with the GeneStrat ddPCR and VeriStrat tests.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Tests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operate and have commercialized the Biodesix WorkSafe™ testing program, under which the Company offers three SARS-CoV-2 tests:</w:t>
      </w:r>
    </w:p>
    <w:p>
      <w:pPr>
        <w:spacing w:after="0" w:line="104" w:lineRule="exact"/>
        <w:rPr>
          <w:sz w:val="20"/>
          <w:szCs w:val="20"/>
          <w:color w:val="auto"/>
        </w:rPr>
      </w:pPr>
    </w:p>
    <w:p>
      <w:pPr>
        <w:jc w:val="both"/>
        <w:ind w:left="900" w:hanging="383"/>
        <w:spacing w:after="0" w:line="24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Bio-Rad SARS-CoV-2 ddPCR </w:t>
      </w:r>
      <w:r>
        <w:rPr>
          <w:rFonts w:ascii="Arial" w:cs="Arial" w:eastAsia="Arial" w:hAnsi="Arial"/>
          <w:sz w:val="18"/>
          <w:szCs w:val="18"/>
          <w:color w:val="auto"/>
        </w:rPr>
        <w:t>test, which is authorized by the FDA to be performed by Clinical Laboratory Improvement Amendments (CLIA)</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laboratories that perform high complexity tests. The ddPCR test is designed to detect the presence of infection by the SARS-CoV-2 virus.</w:t>
      </w:r>
    </w:p>
    <w:p>
      <w:pPr>
        <w:spacing w:after="0" w:line="73"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Platelia SARS-CoV-2 Total Ab </w:t>
      </w:r>
      <w:r>
        <w:rPr>
          <w:rFonts w:ascii="Arial" w:cs="Arial" w:eastAsia="Arial" w:hAnsi="Arial"/>
          <w:sz w:val="18"/>
          <w:szCs w:val="18"/>
          <w:color w:val="auto"/>
        </w:rPr>
        <w:t>test, which is an antibody test, authorized by the FDA, intended for detecting a B-cell immune response to</w:t>
      </w:r>
      <w:r>
        <w:rPr>
          <w:rFonts w:ascii="Arial" w:cs="Arial" w:eastAsia="Arial" w:hAnsi="Arial"/>
          <w:sz w:val="18"/>
          <w:szCs w:val="18"/>
          <w:i w:val="1"/>
          <w:iCs w:val="1"/>
          <w:color w:val="auto"/>
        </w:rPr>
        <w:t xml:space="preserve"> </w:t>
      </w:r>
      <w:r>
        <w:rPr>
          <w:rFonts w:ascii="Arial" w:cs="Arial" w:eastAsia="Arial" w:hAnsi="Arial"/>
          <w:sz w:val="18"/>
          <w:szCs w:val="18"/>
          <w:color w:val="auto"/>
        </w:rPr>
        <w:t>SARS-CoV-2, indicating recent or prior infection.</w:t>
      </w:r>
    </w:p>
    <w:p>
      <w:pPr>
        <w:spacing w:after="0" w:line="62" w:lineRule="exact"/>
        <w:rPr>
          <w:rFonts w:ascii="Arial" w:cs="Arial" w:eastAsia="Arial" w:hAnsi="Arial"/>
          <w:sz w:val="18"/>
          <w:szCs w:val="18"/>
          <w:color w:val="auto"/>
        </w:rPr>
      </w:pPr>
    </w:p>
    <w:p>
      <w:pPr>
        <w:jc w:val="both"/>
        <w:ind w:left="900" w:hanging="383"/>
        <w:spacing w:after="0" w:line="243"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cPass™ SARS-CoV-2 Neutralization Antibody </w:t>
      </w:r>
      <w:r>
        <w:rPr>
          <w:rFonts w:ascii="Arial" w:cs="Arial" w:eastAsia="Arial" w:hAnsi="Arial"/>
          <w:sz w:val="18"/>
          <w:szCs w:val="18"/>
          <w:color w:val="auto"/>
        </w:rPr>
        <w:t>test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the first blood-based surrogate neutralizing antibody test with FDA EUA and uses</w:t>
      </w:r>
      <w:r>
        <w:rPr>
          <w:rFonts w:ascii="Arial" w:cs="Arial" w:eastAsia="Arial" w:hAnsi="Arial"/>
          <w:sz w:val="18"/>
          <w:szCs w:val="18"/>
          <w:i w:val="1"/>
          <w:iCs w:val="1"/>
          <w:color w:val="auto"/>
        </w:rPr>
        <w:t xml:space="preserve"> </w:t>
      </w:r>
      <w:r>
        <w:rPr>
          <w:rFonts w:ascii="Arial" w:cs="Arial" w:eastAsia="Arial" w:hAnsi="Arial"/>
          <w:sz w:val="18"/>
          <w:szCs w:val="18"/>
          <w:color w:val="auto"/>
        </w:rPr>
        <w:t>ELISA technology to qualitatively detect circulating neutralizing antibodies to the receptor binding domain (RBD) in the spike protein of SARS-CoV-2 that are produced in response to vaccination or a previous SARS-CoV-2 infection. This test was commercially introduced during the second quarter 2021 in partnership with GenScript Biotech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both"/>
        <w:spacing w:after="0" w:line="324" w:lineRule="auto"/>
        <w:rPr>
          <w:sz w:val="20"/>
          <w:szCs w:val="20"/>
          <w:color w:val="auto"/>
        </w:rPr>
      </w:pPr>
      <w:r>
        <w:rPr>
          <w:rFonts w:ascii="Arial" w:cs="Arial" w:eastAsia="Arial" w:hAnsi="Arial"/>
          <w:sz w:val="16"/>
          <w:szCs w:val="16"/>
          <w:color w:val="auto"/>
        </w:rPr>
        <w:t>These tests under the Biodesix WorkSafe testing program are utilized by healthcare providers, including hospitals and nursing homes, and are also offered to businesses and educational systems to assist in their back-to-work or back-to-school strategies, a crucial element of restarting economic activity.</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developing the Company's products, the Company has built or gained access to unique biorepositories, proprietary technology,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October 27, 2020, the Company completed its initial public offering (IPO), in which it issued and sold 4,000,000 shares of its common stock at a public offering price of $18.00 per share. The Company received net proceeds of $63.8 million after deducting underwriting discounts and commissions and offering expenses payable by the Company. In addition, in connection with the IPO, all shares of the Company’s then-outstanding convertible preferred stock and convertible notes payable were automatically converted into 21,939,025 shares of common stock, and all then outstanding warrants to purchase the Company’s Series G convertible preferred stock were automatically converted into warrants to purchase 103,326 shares of the Company’s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At-the-Money Offering</w:t>
      </w:r>
    </w:p>
    <w:p>
      <w:pPr>
        <w:spacing w:after="0" w:line="10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 xml:space="preserve">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by the Company. The net proceeds received were used to, among other things, fund the partial repayment of the 2021 Term Loan (see Note 8 -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Estimates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212529"/>
        </w:rPr>
        <w:t xml:space="preserve">The Company’s financial statements have been prepared in accordance with accounting principles generally accepted in the United States (U.S. GAAP). </w:t>
      </w:r>
      <w:r>
        <w:rPr>
          <w:rFonts w:ascii="Arial" w:cs="Arial" w:eastAsia="Arial" w:hAnsi="Arial"/>
          <w:sz w:val="16"/>
          <w:szCs w:val="16"/>
          <w:color w:val="00000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fair value of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 Certain prior period amounts have been reclassified to conform to the current period presentation.</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COVID-19 pandemic negatively affected, and we expect will continue to negatively affect, our lung diagnostic testing-related revenue and our clinical studies.</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As of December 31, 2021, we maintained cash and cash equivalents of $32.7 million and we have $10 million in principal balance outstanding on our 2021 Term Loan. We have incurred significant losses since inception and, as a result, we have funded our operations to date primarily through the sale of common stock in our IPO in October 2020, the issuance of notes payable, and from our two primary revenue sources: (i) diagnostic testing, which include lung diagnostic testing and COVID-19 testing, and (ii) providing biopharmaceutical companies with development and testing services. In accordance with Accounting Standards Update 2014-15 (ASC Topic 205-40), </w:t>
      </w:r>
      <w:r>
        <w:rPr>
          <w:rFonts w:ascii="Arial" w:cs="Arial" w:eastAsia="Arial" w:hAnsi="Arial"/>
          <w:sz w:val="17"/>
          <w:szCs w:val="17"/>
          <w:i w:val="1"/>
          <w:iCs w:val="1"/>
          <w:color w:val="auto"/>
        </w:rPr>
        <w:t>Presentation of Financial Statements - Going Concern: Disclosure of Uncertainties about an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Ability to Continue as a Going Concern</w:t>
      </w:r>
      <w:r>
        <w:rPr>
          <w:rFonts w:ascii="Arial" w:cs="Arial" w:eastAsia="Arial" w:hAnsi="Arial"/>
          <w:sz w:val="17"/>
          <w:szCs w:val="17"/>
          <w:color w:val="auto"/>
        </w:rPr>
        <w:t>, the Company is required to evaluate whether there is substantial doubt about its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each reporting period, including interim periods. In evaluating the Company’s ability to continue as a going concern, management projected its cash flow sources and needs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Our ability to meet our obligations as they come due may be impacted by our ability to remain compliant with financial covenants in our 2021 Term Loan (see </w:t>
      </w:r>
      <w:r>
        <w:rPr>
          <w:rFonts w:ascii="Arial" w:cs="Arial" w:eastAsia="Arial" w:hAnsi="Arial"/>
          <w:sz w:val="18"/>
          <w:szCs w:val="18"/>
          <w:i w:val="1"/>
          <w:iCs w:val="1"/>
          <w:color w:val="auto"/>
        </w:rPr>
        <w:t>Note 8 – Debt</w:t>
      </w:r>
      <w:r>
        <w:rPr>
          <w:rFonts w:ascii="Arial" w:cs="Arial" w:eastAsia="Arial" w:hAnsi="Arial"/>
          <w:sz w:val="18"/>
          <w:szCs w:val="18"/>
          <w:color w:val="auto"/>
        </w:rPr>
        <w:t>) or to obtain waivers or amendments that impact the related covenants. Due to the continued uncertainty caused by the COVID-19 pandemic, significant risks remain with respect to our ability to meet these thresholds and any material adverse effect on our revenues, income and expenses could impact our ability to maintain compliance with these covenants.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7" w:name="page118"/>
    <w:bookmarkEnd w:id="117"/>
    <w:p>
      <w:pPr>
        <w:jc w:val="both"/>
        <w:spacing w:after="0" w:line="268" w:lineRule="auto"/>
        <w:rPr>
          <w:sz w:val="20"/>
          <w:szCs w:val="20"/>
          <w:color w:val="auto"/>
        </w:rPr>
      </w:pPr>
      <w:r>
        <w:rPr>
          <w:rFonts w:ascii="Arial" w:cs="Arial" w:eastAsia="Arial" w:hAnsi="Arial"/>
          <w:sz w:val="16"/>
          <w:szCs w:val="16"/>
          <w:color w:val="auto"/>
        </w:rPr>
        <w:t>Based on our current operating plan, unless we raise additional capital (debt or equity) or obtain a waiver from complying with such financial covenants, we expect that we will be unable to maintain our financial covenants under our 2021 Term Loan during the next twelve months, which could result in an Event of Default, as defined, causing an acceleration and repayment of the outstanding balance. We have taken steps to improve our liquidity through raising debt and equity capital during 2021, amendments to our 2021 Term Loan and have also undertaken several proactive measures to mitigate the financial and operational impacts of the COVID-19 pandemic through the reduction of planned capital expenditures and certain operating expenses but we do not expect that these actions alone will be sufficient to maintain our financial covenants. In addition, we have entered into negotiation with certain creditors to modify existing terms of arrangement to delay near term cash requirements and extend the period of payments; however, those negotiations are not final at this time and may not result in final agreement. 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Company’s revenues, results of operations and cash flows have been materially adversely impacted by the items noted above. Our current operating plan, which is in part determined based on our most recent historical actual results and trends, along with the items noted above, raises substantial doubt about the Company’s ability to continue as a going concern. Our audited financial statements have been prepared assuming we will continue as a going concern and do not include any adjustments that might be necessary should we be unable to continue as a going concern.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a single operating segment focused on providing diagnostic testing services to customers. All of the Company’s revenue and long-lived assets were derived or located in the United States for the years ended December 31, 2021 and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generates revenues from (i) diagnostic tests and (ii) assay development and testing services (services revenue).</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determines the transaction price related to its blood-based lung diagnostic test contracts using a portfolio approach by considering the nature of the payer and historical price concessions granted to groups of customers. The transaction price associated with COVID-19 testing arrangements are determined on the basis of the individual contract with each customer.</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or achievement of contractual milestone(s) as defined in the customer agreements. Revenue for these services is recognized upon delivery of the completed test results, or upon completion of the contractual milestone(s).</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recognizes revenues related to blood-based lung diagnostic billings based on estimates of the amounts ultimately expected to be collected from customers on a portfolio approach as discussed above.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Deferred revenue consists of payments received for research, development, and testing services fees received prior to the completion of performance of these tests and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 </w:t>
      </w:r>
      <w:r>
        <w:rPr>
          <w:rFonts w:ascii="Arial" w:cs="Arial" w:eastAsia="Arial" w:hAnsi="Arial"/>
          <w:sz w:val="18"/>
          <w:szCs w:val="18"/>
          <w:i w:val="1"/>
          <w:iCs w:val="1"/>
          <w:color w:val="auto"/>
        </w:rPr>
        <w:t>Revenue and Accounts Receivable Credit Concentration</w:t>
      </w:r>
      <w:r>
        <w:rPr>
          <w:rFonts w:ascii="Arial" w:cs="Arial" w:eastAsia="Arial" w:hAnsi="Arial"/>
          <w:sz w:val="18"/>
          <w:szCs w:val="18"/>
          <w:color w:val="auto"/>
        </w:rPr>
        <w:t xml:space="preserve"> for additional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Direct Costs and Expenses</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components of our cost of diagnostic tests and testing services consist of cost of materials, direct labor, including bonus, benefit and stock-based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b w:val="1"/>
          <w:bCs w:val="1"/>
          <w:i w:val="1"/>
          <w:iCs w:val="1"/>
          <w:color w:val="212529"/>
        </w:rPr>
        <w:t>Expenses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Internal costs consist primarily of salaries and benefits, reagents and supplies used in research and development laboratory work, infrastructure expenses, including allocated facility occupancy and information technology costs.</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212529"/>
        </w:rPr>
        <w:t xml:space="preserve">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w:t>
      </w:r>
      <w:r>
        <w:rPr>
          <w:rFonts w:ascii="Arial" w:cs="Arial" w:eastAsia="Arial" w:hAnsi="Arial"/>
          <w:sz w:val="16"/>
          <w:szCs w:val="16"/>
          <w:color w:val="000000"/>
        </w:rPr>
        <w:t>The Company’s estimates depend on the timeliness and accuracy of the data</w:t>
      </w:r>
      <w:r>
        <w:rPr>
          <w:rFonts w:ascii="Arial" w:cs="Arial" w:eastAsia="Arial" w:hAnsi="Arial"/>
          <w:sz w:val="16"/>
          <w:szCs w:val="16"/>
          <w:color w:val="212529"/>
        </w:rPr>
        <w:t xml:space="preserve"> </w:t>
      </w:r>
      <w:r>
        <w:rPr>
          <w:rFonts w:ascii="Arial" w:cs="Arial" w:eastAsia="Arial" w:hAnsi="Arial"/>
          <w:sz w:val="16"/>
          <w:szCs w:val="16"/>
          <w:color w:val="000000"/>
        </w:rPr>
        <w:t>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General and Administrative Expenses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stock-based compensation, as well as marketing and educational activities and allocated overhead expenses.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general and administrative expenses also include costs for our marketing and sales organizations, and other functions including finance, legal, human resources, and information technology.</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These expenses consist principally of salaries, bonuses, employee benefits, travel, stock-based compensation, as well as professional services fees such as consulting, audit, tax and legal fees, and general corporate costs and allocated overhead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Uncertainties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Substantially all of the Company’s cash and cash equivalents are deposited with two major financial institutions in the United States. The Company continually monitors its positions with, and the credit quality of, the financial institutions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and certain test systems and related test kits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 discussion of credit risk concentration of accounts receivable as of December 31, 2021 and 2020, see Note 11 – </w:t>
      </w:r>
      <w:r>
        <w:rPr>
          <w:rFonts w:ascii="Arial" w:cs="Arial" w:eastAsia="Arial" w:hAnsi="Arial"/>
          <w:sz w:val="18"/>
          <w:szCs w:val="18"/>
          <w:i w:val="1"/>
          <w:iCs w:val="1"/>
          <w:color w:val="auto"/>
        </w:rPr>
        <w:t>Revenue and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Concentration</w:t>
      </w: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highly-liquid instruments with an original maturity of three months or less from the date of purchase.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Restricted cash consists of deposits related to the Company’s corporate credit card and a letter of credit related to an operating lease agreement. As of December 31, 2021 and 2020, the Company had $0.1 million and $0.2 million restricted cash, respectively, which was included in ‘Other current assets’ in the accompanying balance sheets.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doubtful accounts necessary to reduce accounts receivable to its estimated net realizable value based on historical experience, customer creditworthiness, facts, and circumstances specific to outstanding balances, and payment terms.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were $2.9 million and $3.2 million as of December 31,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of the asset or asset group to its carrying value, and records an impairment loss if the carrying value is greater than the undiscounted future cash flows. There were no impairments for the years ended December 31, 2021 and 2020.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 useful lives of 9 to 10 years, based on management's estimate of the period over which their economic benefits will be realized, product life and patent life. Trademarks are considered indefinite lived and are not amortized.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reviewed for impairment whenever events or changes in circumstances indicate a reduction to fair value below their carrying amounts.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for the years ended December 31, 2021 and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2021, there were no accumulated impairment losses.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 The three levels of the hierarchy and the related inputs are as follows:</w:t>
      </w:r>
    </w:p>
    <w:p>
      <w:pPr>
        <w:spacing w:after="0" w:line="66" w:lineRule="exact"/>
        <w:rPr>
          <w:sz w:val="20"/>
          <w:szCs w:val="20"/>
          <w:color w:val="auto"/>
        </w:rPr>
      </w:pPr>
    </w:p>
    <w:p>
      <w:pPr>
        <w:ind w:left="480"/>
        <w:spacing w:after="0"/>
        <w:tabs>
          <w:tab w:leader="none" w:pos="6160" w:val="left"/>
        </w:tabs>
        <w:rPr>
          <w:sz w:val="20"/>
          <w:szCs w:val="20"/>
          <w:color w:val="auto"/>
        </w:rPr>
      </w:pPr>
      <w:r>
        <w:rPr>
          <w:rFonts w:ascii="Arial" w:cs="Arial" w:eastAsia="Arial" w:hAnsi="Arial"/>
          <w:sz w:val="18"/>
          <w:szCs w:val="18"/>
          <w:color w:val="auto"/>
        </w:rPr>
        <w:t>Level</w:t>
      </w:r>
      <w:r>
        <w:rPr>
          <w:sz w:val="20"/>
          <w:szCs w:val="20"/>
          <w:color w:val="auto"/>
        </w:rPr>
        <w:tab/>
      </w:r>
      <w:r>
        <w:rPr>
          <w:rFonts w:ascii="Arial" w:cs="Arial" w:eastAsia="Arial" w:hAnsi="Arial"/>
          <w:sz w:val="18"/>
          <w:szCs w:val="18"/>
          <w:color w:val="auto"/>
        </w:rPr>
        <w:t>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580" w:hanging="948"/>
        <w:spacing w:after="0" w:line="219" w:lineRule="auto"/>
        <w:tabs>
          <w:tab w:leader="none" w:pos="1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580" w:hanging="948"/>
        <w:spacing w:after="0"/>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Unadjusted quoted prices in active markets for similar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24" w:lineRule="exact"/>
        <w:rPr>
          <w:sz w:val="20"/>
          <w:szCs w:val="20"/>
          <w:color w:val="auto"/>
        </w:rPr>
      </w:pPr>
    </w:p>
    <w:p>
      <w:pPr>
        <w:ind w:left="1580" w:hanging="948"/>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200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0" w:name="page121"/>
    <w:bookmarkEnd w:id="120"/>
    <w:p>
      <w:pPr>
        <w:jc w:val="both"/>
        <w:spacing w:after="0" w:line="26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for further discussion related to estimated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connection with the purchase transaction with Integrated Diagnostics, Inc. (Indi), the Company recorded contingent consideration for amounts potentially payable to Indi’s shareholder upon attainment of a three-consecutive month gross margin target of $2.0 million within the seven-year period after the acquisition date. The fair value of contingent consideration is assessed at each balance sheet date and changes, if any, to the fair value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 The significant unobservable inputs used in the measurement of fair value include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 Significant increases or decreases in the discount rate would result in a significantly higher or lower fair value measurement.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Prior to the completion of the Company’s IPO in October 2020, certain warrants issued to purchase convertible preferred stock were classified as liabilities with changes in the estimated fair value of these liabilities recognized in our results of operations. Upon completion of the Company’s IPO in October 2020, the warrants were automatically converted to warrants to purchase common stock. Accordingly, the warrants were remeasured to an estimate of fair value and recognized in our results of operations and then reclassified to additional paid-in capital.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2020 and 2019, the Company issued convertible debt with terms that provided for a conversion rate to the convertible debtholders that was more favorable than the price that other investors would pay for common stock in certain situations, including the completion of an IPO. As a result, the convertible debt is a financial instrument that was bifurcated into two instruments, a debt obligation and a put option liability, which represented the estimated fair value of the favorable conversion rate. The estimated fair value of the put option liability was separated from the convertible debt at inception and reported as a liability and debt discount, and amortized to interest expense. As a result of our IPO, the convertible debt was automatically converted to common stock and the put option liability was remeasured to an estimate of fair value and recognized in our results of operations and then reclassified to additional paid-in capital.</w:t>
      </w:r>
    </w:p>
    <w:p>
      <w:pPr>
        <w:spacing w:after="0" w:line="8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Share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grants service-condition RSUs. As a result of our IPO, the grant date fair values of these RSUs are based on the closing market price of our common stock on the grant date. We estimate forfeitures and adjust these estimates to actual forfeitures as they occur. The service-condition RSUs vest based on continued service with compensation expense recognized on a straight-line basis over the requisite service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for additional information related to share-based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Basic net loss per common share is calculated by dividing net loss by the weighted-average number of common shares outstanding during the period, without consideration of common stock equivalents. Diluted net loss per common share is computed by dividing 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1" w:name="page122"/>
    <w:bookmarkEnd w:id="121"/>
    <w:p>
      <w:pPr>
        <w:jc w:val="both"/>
        <w:spacing w:after="0" w:line="243" w:lineRule="auto"/>
        <w:rPr>
          <w:sz w:val="20"/>
          <w:szCs w:val="20"/>
          <w:color w:val="auto"/>
        </w:rPr>
      </w:pPr>
      <w:r>
        <w:rPr>
          <w:rFonts w:ascii="Arial" w:cs="Arial" w:eastAsia="Arial" w:hAnsi="Arial"/>
          <w:sz w:val="18"/>
          <w:szCs w:val="18"/>
          <w:color w:val="auto"/>
        </w:rPr>
        <w:t>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Until the Company’s IPO in October 2020, basic and diluted net loss attributable to common stockholders per share was calculated using the two-class method. The net loss was attributable entirely to common stockholders because the participating securities did not have a contractual obligation to share in the Company’s losses. As the Company has reported a net loss for all periods presented, diluted net loss per common share is the same as basic net loss per common share for all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Not Yet Adopted</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Leases</w:t>
      </w:r>
      <w:r>
        <w:rPr>
          <w:rFonts w:ascii="Arial" w:cs="Arial" w:eastAsia="Arial" w:hAnsi="Arial"/>
          <w:sz w:val="18"/>
          <w:szCs w:val="18"/>
          <w:color w:val="auto"/>
        </w:rPr>
        <w:t xml:space="preserve"> (ASC Topic 842). The new guidance maintains two classifications of leases: finance leases, which replace capital leases, and operating leases. Lessees will need to recognize a right-of-use asset and a lease liability on the balance sheet for those leases previously classified as operating leases under the old guidance. The liability will be equal to the present value of lease payments. The asset will be based on the liability, subject to adjustment, such as for direct costs. The accounting standard will be effective for the Company beginning January 1, 2022. Based on our current analysis we expect the adoption to result in the recognition of approximately $1.5 million of right of use assets and associated lease liabilities, inclusive of both lease and non-lease components, in our balance sheet and do not expect any material impact to our statement of operations or statement of cash flows. We are implementing new processes and internal controls over lease recognition, which will ultimately assist in the application of the new lease standard.</w:t>
      </w:r>
    </w:p>
    <w:p>
      <w:pPr>
        <w:spacing w:after="0" w:line="8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Measurement of Credit Losses</w:t>
      </w:r>
      <w:r>
        <w:rPr>
          <w:rFonts w:ascii="Arial" w:cs="Arial" w:eastAsia="Arial" w:hAnsi="Arial"/>
          <w:sz w:val="18"/>
          <w:szCs w:val="18"/>
          <w:color w:val="auto"/>
        </w:rPr>
        <w:t xml:space="preserve"> on Financial Instruments. This ASU requires measurement and recognition of expected credit losses for financial assets. This guidance will become effective for the Company beginning January 1, 2023 with early adoption permitted. The Company is currently evaluating this guidance and assessing the overall impact on its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Fair Value Measurements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borrowing instruments are recorded at their carrying values in the balance sheets, which may differ from their respective fair values. The fair values of outstanding borrowings, which are classified as Level 2, approximate their carrying values as of December 31, 2021 and 2020, based on interest rates currently available for similar borrowings and were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4"/>
                <w:szCs w:val="14"/>
                <w:color w:val="auto"/>
              </w:rPr>
            </w:pPr>
          </w:p>
        </w:tc>
      </w:tr>
      <w:tr>
        <w:trPr>
          <w:trHeight w:val="169"/>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Carrying Value</w:t>
            </w:r>
          </w:p>
        </w:tc>
        <w:tc>
          <w:tcPr>
            <w:tcW w:w="200" w:type="dxa"/>
            <w:vAlign w:val="bottom"/>
          </w:tcPr>
          <w:p>
            <w:pPr>
              <w:spacing w:after="0"/>
              <w:rPr>
                <w:sz w:val="14"/>
                <w:szCs w:val="14"/>
                <w:color w:val="auto"/>
              </w:rPr>
            </w:pPr>
          </w:p>
        </w:tc>
        <w:tc>
          <w:tcPr>
            <w:tcW w:w="1080" w:type="dxa"/>
            <w:vAlign w:val="bottom"/>
          </w:tcPr>
          <w:p>
            <w:pPr>
              <w:jc w:val="right"/>
              <w:ind w:right="26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22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279"/>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5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Borrowings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10,012</w:t>
            </w: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10,012</w:t>
            </w:r>
          </w:p>
        </w:tc>
        <w:tc>
          <w:tcPr>
            <w:tcW w:w="14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27,766</w:t>
            </w:r>
          </w:p>
        </w:tc>
        <w:tc>
          <w:tcPr>
            <w:tcW w:w="1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27,766</w:t>
            </w:r>
          </w:p>
        </w:tc>
      </w:tr>
    </w:tbl>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financial liabilities that are measured and recorded at estimated fair value on a recurring basis consist of our contingent consideration associated with our acquisition of Indi, and prior to the completion of our IPO in October 2020, the warrant liability, put option liability and contingent value rights granted to certain holders of our convertible preferred stock and debt instruments, which were accounted for as liabilities and remeasured through our statements of operations. The table below presents the reported fair values of contingent consideration, which is classified as Level 3 in the fair value hierarchy, as of the dates indicated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Description</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8"/>
                <w:szCs w:val="18"/>
                <w:b w:val="1"/>
                <w:bCs w:val="1"/>
                <w:color w:val="auto"/>
              </w:rPr>
              <w:t>As of December 31,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00" w:type="dxa"/>
            <w:vAlign w:val="bottom"/>
            <w:vMerge w:val="continue"/>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Current portion of contingent consideration</w:t>
            </w:r>
          </w:p>
        </w:tc>
        <w:tc>
          <w:tcPr>
            <w:tcW w:w="31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17,764</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Contingent consideration</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16,028</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w w:val="98"/>
              </w:rPr>
              <w:t>29,932</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contingent consideration</w:t>
            </w:r>
          </w:p>
        </w:tc>
        <w:tc>
          <w:tcPr>
            <w:tcW w:w="3340" w:type="dxa"/>
            <w:vAlign w:val="bottom"/>
            <w:tcBorders>
              <w:bottom w:val="single" w:sz="8" w:color="CCEEFF"/>
            </w:tcBorders>
            <w:gridSpan w:val="2"/>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33,792</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8"/>
              </w:rPr>
              <w:t>29,932</w:t>
            </w:r>
          </w:p>
        </w:tc>
        <w:tc>
          <w:tcPr>
            <w:tcW w:w="0" w:type="dxa"/>
            <w:vAlign w:val="bottom"/>
          </w:tcPr>
          <w:p>
            <w:pPr>
              <w:spacing w:after="0"/>
              <w:rPr>
                <w:sz w:val="1"/>
                <w:szCs w:val="1"/>
                <w:color w:val="auto"/>
              </w:rPr>
            </w:pPr>
          </w:p>
        </w:tc>
      </w:tr>
      <w:tr>
        <w:trPr>
          <w:trHeight w:val="413"/>
        </w:trPr>
        <w:tc>
          <w:tcPr>
            <w:tcW w:w="9380" w:type="dxa"/>
            <w:vAlign w:val="bottom"/>
            <w:gridSpan w:val="7"/>
          </w:tcPr>
          <w:p>
            <w:pPr>
              <w:spacing w:after="0"/>
              <w:rPr>
                <w:sz w:val="20"/>
                <w:szCs w:val="20"/>
                <w:color w:val="auto"/>
              </w:rPr>
            </w:pPr>
            <w:r>
              <w:rPr>
                <w:rFonts w:ascii="Arial" w:cs="Arial" w:eastAsia="Arial" w:hAnsi="Arial"/>
                <w:sz w:val="18"/>
                <w:szCs w:val="18"/>
                <w:color w:val="auto"/>
                <w:w w:val="95"/>
              </w:rPr>
              <w:t>The following table presents the changes in contingent consideration for the year ended December 31, 2021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6"/>
              </w:rPr>
              <w:t>Year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balances - January 1, 2021</w:t>
            </w:r>
          </w:p>
        </w:tc>
        <w:tc>
          <w:tcPr>
            <w:tcW w:w="3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29,932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
              <w:spacing w:after="0" w:line="182" w:lineRule="exact"/>
              <w:rPr>
                <w:sz w:val="20"/>
                <w:szCs w:val="20"/>
                <w:color w:val="auto"/>
              </w:rPr>
            </w:pPr>
            <w:r>
              <w:rPr>
                <w:rFonts w:ascii="Arial" w:cs="Arial" w:eastAsia="Arial" w:hAnsi="Arial"/>
                <w:sz w:val="18"/>
                <w:szCs w:val="18"/>
                <w:color w:val="auto"/>
              </w:rPr>
              <w:t>Ending balances - December 31, 2021</w:t>
            </w: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gridSpan w:val="3"/>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w w:val="90"/>
              </w:rPr>
              <w:t>33,792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740" w:type="dxa"/>
            <w:vAlign w:val="bottom"/>
            <w:gridSpan w:val="3"/>
            <w:vMerge w:val="restart"/>
          </w:tcPr>
          <w:p>
            <w:pPr>
              <w:jc w:val="right"/>
              <w:ind w:right="2150"/>
              <w:spacing w:after="0"/>
              <w:rPr>
                <w:sz w:val="20"/>
                <w:szCs w:val="20"/>
                <w:color w:val="auto"/>
              </w:rPr>
            </w:pPr>
            <w:r>
              <w:rPr>
                <w:rFonts w:ascii="Arial" w:cs="Arial" w:eastAsia="Arial" w:hAnsi="Arial"/>
                <w:sz w:val="18"/>
                <w:szCs w:val="18"/>
                <w:color w:val="auto"/>
              </w:rPr>
              <w:t>F-14</w:t>
            </w: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300" w:type="dxa"/>
            <w:vAlign w:val="bottom"/>
          </w:tcPr>
          <w:p>
            <w:pPr>
              <w:spacing w:after="0"/>
              <w:rPr>
                <w:sz w:val="24"/>
                <w:szCs w:val="24"/>
                <w:color w:val="auto"/>
              </w:rPr>
            </w:pPr>
          </w:p>
        </w:tc>
        <w:tc>
          <w:tcPr>
            <w:tcW w:w="37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0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-1645285</wp:posOffset>
            </wp:positionV>
            <wp:extent cx="1111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-1628140</wp:posOffset>
            </wp:positionV>
            <wp:extent cx="1111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The following table presents the changes in these financial liabilities for the year ended December 31, 2020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For the Year Ended December 31, 2020</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Contingent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line="156" w:lineRule="exact"/>
              <w:rPr>
                <w:sz w:val="20"/>
                <w:szCs w:val="20"/>
                <w:color w:val="auto"/>
              </w:rPr>
            </w:pPr>
            <w:r>
              <w:rPr>
                <w:rFonts w:ascii="Arial" w:cs="Arial" w:eastAsia="Arial" w:hAnsi="Arial"/>
                <w:sz w:val="18"/>
                <w:szCs w:val="18"/>
                <w:b w:val="1"/>
                <w:bCs w:val="1"/>
                <w:color w:val="auto"/>
                <w:w w:val="96"/>
              </w:rPr>
              <w:t>Put</w:t>
            </w:r>
          </w:p>
        </w:tc>
        <w:tc>
          <w:tcPr>
            <w:tcW w:w="160" w:type="dxa"/>
            <w:vAlign w:val="bottom"/>
          </w:tcPr>
          <w:p>
            <w:pPr>
              <w:spacing w:after="0"/>
              <w:rPr>
                <w:sz w:val="13"/>
                <w:szCs w:val="13"/>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Warrant</w:t>
            </w:r>
          </w:p>
        </w:tc>
        <w:tc>
          <w:tcPr>
            <w:tcW w:w="12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90"/>
              </w:rPr>
              <w:t>Contingent</w:t>
            </w:r>
          </w:p>
        </w:tc>
        <w:tc>
          <w:tcPr>
            <w:tcW w:w="0" w:type="dxa"/>
            <w:vAlign w:val="bottom"/>
          </w:tcPr>
          <w:p>
            <w:pPr>
              <w:spacing w:after="0"/>
              <w:rPr>
                <w:sz w:val="1"/>
                <w:szCs w:val="1"/>
                <w:color w:val="auto"/>
              </w:rPr>
            </w:pPr>
          </w:p>
        </w:tc>
      </w:tr>
      <w:tr>
        <w:trPr>
          <w:trHeight w:val="176"/>
        </w:trPr>
        <w:tc>
          <w:tcPr>
            <w:tcW w:w="5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Level 3 Rollforward</w:t>
            </w: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Consideration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Liability</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Value Rights</w:t>
            </w:r>
          </w:p>
        </w:tc>
        <w:tc>
          <w:tcPr>
            <w:tcW w:w="0" w:type="dxa"/>
            <w:vAlign w:val="bottom"/>
          </w:tcPr>
          <w:p>
            <w:pPr>
              <w:spacing w:after="0"/>
              <w:rPr>
                <w:sz w:val="1"/>
                <w:szCs w:val="1"/>
                <w:color w:val="auto"/>
              </w:rPr>
            </w:pPr>
          </w:p>
        </w:tc>
      </w:tr>
      <w:tr>
        <w:trPr>
          <w:trHeight w:val="196"/>
        </w:trPr>
        <w:tc>
          <w:tcPr>
            <w:tcW w:w="5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Beginning balances - January 1, 2020</w:t>
            </w: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29,114</w:t>
            </w: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3,261</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3,389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Changes in fair value</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3"/>
        </w:trPr>
        <w:tc>
          <w:tcPr>
            <w:tcW w:w="5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Reclassified to additional paid-in capital</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(6,650 )</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(1,624 )</w:t>
            </w:r>
          </w:p>
        </w:tc>
        <w:tc>
          <w:tcPr>
            <w:tcW w:w="1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700" w:type="dxa"/>
            <w:vAlign w:val="bottom"/>
            <w:tcBorders>
              <w:bottom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Ending balances - December 31, 2020</w:t>
            </w: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29,932</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acquisition of Indi in 2018, the Company recorded contingent consideration for amounts contingently payable to Indi's selling shareholders pursuant to the terms of the asset purchase agreement (Indi APA). The contingent consideration arrangement requires additional consideration to be paid by the Company to Indi upon attainment of a three-consecutive month gross margin target of $2.0 million within the seven-year period after the acquisition date. Under the terms of the agreement, when the gross margin target was met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Company met the gross margin target of $2.0 million for three consecutive months during the three months ended June 30, 2021. The Company entered into an amendment to the original agreement in August 2021 in which all parties agreed to forgo the issuance of common stock and agreed that the Company will in lieu thereof make six quarterly installments of approximately $4.6 million beginning in January 2022 and a final payment of approximately $9.3 million in July 2023 for a total of $37.0 million. The aggregate amount of payments owed by the Company under this amendment is the same as if Indi had exercised the put right or the Company had exercised the call right provided for in the original agreement. Our ability to make these payments are subject to consent from our lender under the 2021 Term Loan and related amendments (see Note 8 - </w:t>
      </w:r>
      <w:r>
        <w:rPr>
          <w:rFonts w:ascii="Arial" w:cs="Arial" w:eastAsia="Arial" w:hAnsi="Arial"/>
          <w:sz w:val="18"/>
          <w:szCs w:val="18"/>
          <w:i w:val="1"/>
          <w:iCs w:val="1"/>
          <w:color w:val="auto"/>
        </w:rPr>
        <w:t>Debt</w:t>
      </w:r>
      <w:r>
        <w:rPr>
          <w:rFonts w:ascii="Arial" w:cs="Arial" w:eastAsia="Arial" w:hAnsi="Arial"/>
          <w:sz w:val="18"/>
          <w:szCs w:val="18"/>
          <w:color w:val="auto"/>
        </w:rPr>
        <w:t>). We obtained consent and subsequently made the first milestone payment of $4.6 million in January 2022 and we are in discussions with our lender to obtain consents for future payments.</w:t>
      </w:r>
    </w:p>
    <w:p>
      <w:pPr>
        <w:spacing w:after="0" w:line="8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significant unobservable inputs used in the measurement of fair value include the probability of successful achievement of the specified product gross margin targets, the period in which the targets were expected to be achieved, and discount rates which ranged from 11% to 13.5%. As a result of the achievement of the gross margin target, the only significant unobservable input used in the measurement of fair value includes the discount rate since all other inputs became fixed and determinable. Significant increases or decreases in the discount rate would result in a significantly higher or lower fair value measurement.</w:t>
      </w:r>
    </w:p>
    <w:p>
      <w:pPr>
        <w:spacing w:after="0" w:line="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Contingent consideration expected to be paid in the next twelve months is recorded in the balance sheets as ‘Current portion of contingent consideration’ while the remaining amount to be paid is recorded as ‘Contingent consideration’ within non-current liabilities. The net change to contingent consideration through the date the gross margin target was met is recorded as operating expenses in the statements of operations. Subsequent changes to the contingent consideration following the achievement of the gross margin target are recorded as ‘Interest expense’ in the statements of operations resulting from the passage of time and fixed payment schedule. The net change to contingent consideration recorded as operating expenses during the years ended December 31, 2021 and 2020 was a loss of $1.6 million and $0.8 million, respectively. The amount recorded as ‘Interest expense’ during the year ended December 31, 2021 was $2.2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Option Liability</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put option liability was valued based on the calculated returns as a result of the various discounts included in the Company’s convertible notes payable and the related probability assessments of the various settlement scenarios. During 2020, the Company recognized an addition to the put option liability of $3.4 million in connection with a favorable conversion rate granted to holders of issued convertible debt. The put option liability was settled upon the closing of the Company’s IPO in October 2020 and reclassified to additional paid-in capital.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entering into the 2018 Notes,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The estimated fair value of the warrant on the issuance date of $0.3 million was recorded as a debt discount and as a preferred stock warrant liability. Through the effective date of the Company’s IPO, the Series G warrants were remeasured to an estimate of fair value using a Black Scholes pricing model. As a result of the Company’s IPO, the preferred stock warrants were automatically converted to warrants to purchase 103,326 shares of common stock with a weighted average exercise price of $4.46 and were also transferred to additional paid-in capital. During 2020, the Company recorded an increase in the value of the warrant liability of $1.3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Contingent Value Rights</w:t>
      </w:r>
    </w:p>
    <w:p>
      <w:pPr>
        <w:spacing w:after="0" w:line="104" w:lineRule="exact"/>
        <w:rPr>
          <w:sz w:val="20"/>
          <w:szCs w:val="20"/>
          <w:color w:val="auto"/>
        </w:rPr>
      </w:pPr>
    </w:p>
    <w:p>
      <w:pPr>
        <w:jc w:val="both"/>
        <w:spacing w:after="0" w:line="206" w:lineRule="exact"/>
        <w:rPr>
          <w:sz w:val="20"/>
          <w:szCs w:val="20"/>
          <w:color w:val="auto"/>
        </w:rPr>
      </w:pPr>
      <w:r>
        <w:rPr>
          <w:rFonts w:ascii="Arial" w:cs="Arial" w:eastAsia="Arial" w:hAnsi="Arial"/>
          <w:sz w:val="17"/>
          <w:szCs w:val="17"/>
          <w:color w:val="auto"/>
        </w:rPr>
        <w:t>In addition to the shares of Series F Preferred Stock that were issued in January 2016, investors who purchased more than their pro</w:t>
      </w:r>
      <w:r>
        <w:rPr>
          <w:rFonts w:ascii="MS PGothic" w:cs="MS PGothic" w:eastAsia="MS PGothic" w:hAnsi="MS PGothic"/>
          <w:sz w:val="17"/>
          <w:szCs w:val="17"/>
          <w:color w:val="auto"/>
        </w:rPr>
        <w:t>‑</w:t>
      </w:r>
      <w:r>
        <w:rPr>
          <w:rFonts w:ascii="Arial" w:cs="Arial" w:eastAsia="Arial" w:hAnsi="Arial"/>
          <w:sz w:val="17"/>
          <w:szCs w:val="17"/>
          <w:color w:val="auto"/>
        </w:rPr>
        <w:t xml:space="preserve">rata amount in the financing described above received a calculated number of contingent value rights (CVRs). In connection with the Series F financing, the Company issued 3,999 CVRs originally valued at $0.5 million. One CVR represents 0.00375% of the Company’s interest in the drug ficlatuzumab. The initial estimated value of the CVRs were recorded as a liability and as a reduction to the Series F proceeds. Upon receipt by the Company or a milestone, royalty, or any other type of payment from the Company’s ownership rights in the drug, the Company was required to make a cash payment to the CVR holders equal to 15% of net proceeds, as defined. In September 2020, the Company exercised its opt-out right with AVEO Oncology (AVEO) for the payment of 50% of development and regulatory costs for ficlatuzumab. As a result, the CVRs were settled effective December 2, 2020. See Note 15 –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for a discussion of the Co-Development Agreement with AVEO.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Non-Financial Assets and Liabilities</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non-financial assets, which primarily consist of property and equipment, goodwill, and other intangible assets, are not required to be carried at fair value on a recurring basis and are reported at carrying value. There were no changes to the valuation methods during the periods presented.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Property and Equipment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rPr>
              <w:t>As of December 31,</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6,784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3"/>
              </w:rPr>
              <w:t>2,339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Vehicles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10,928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9,902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(6,749 )</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(6,724 )</w:t>
            </w: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property and equipment, net</w:t>
            </w:r>
          </w:p>
        </w:tc>
        <w:tc>
          <w:tcPr>
            <w:tcW w:w="1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3"/>
              </w:rPr>
              <w:t>4,179</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w w:val="93"/>
              </w:rPr>
              <w:t>Depreciation expense related to property and equipment was:</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right"/>
              <w:ind w:right="61"/>
              <w:spacing w:after="0"/>
              <w:rPr>
                <w:sz w:val="20"/>
                <w:szCs w:val="20"/>
                <w:color w:val="auto"/>
              </w:rPr>
            </w:pPr>
            <w:r>
              <w:rPr>
                <w:rFonts w:ascii="Arial" w:cs="Arial" w:eastAsia="Arial" w:hAnsi="Arial"/>
                <w:sz w:val="18"/>
                <w:szCs w:val="18"/>
                <w:b w:val="1"/>
                <w:bCs w:val="1"/>
                <w:color w:val="auto"/>
                <w:w w:val="98"/>
              </w:rPr>
              <w:t>Year Ended December 31,</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Direct costs and expenses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
              <w:spacing w:after="0" w:line="202" w:lineRule="exact"/>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0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1,228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94"/>
        </w:trPr>
        <w:tc>
          <w:tcPr>
            <w:tcW w:w="4600" w:type="dxa"/>
            <w:vAlign w:val="bottom"/>
          </w:tcPr>
          <w:p>
            <w:pPr>
              <w:spacing w:after="0"/>
              <w:rPr>
                <w:sz w:val="20"/>
                <w:szCs w:val="20"/>
                <w:color w:val="auto"/>
              </w:rPr>
            </w:pPr>
            <w:r>
              <w:rPr>
                <w:rFonts w:ascii="Arial" w:cs="Arial" w:eastAsia="Arial" w:hAnsi="Arial"/>
                <w:sz w:val="18"/>
                <w:szCs w:val="18"/>
                <w:b w:val="1"/>
                <w:bCs w:val="1"/>
                <w:color w:val="auto"/>
              </w:rPr>
              <w:t>Note 6 – Goodwill and Intangible Assets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800" w:type="dxa"/>
            <w:vAlign w:val="bottom"/>
            <w:gridSpan w:val="5"/>
          </w:tcPr>
          <w:p>
            <w:pPr>
              <w:spacing w:after="0"/>
              <w:rPr>
                <w:sz w:val="20"/>
                <w:szCs w:val="20"/>
                <w:color w:val="auto"/>
              </w:rPr>
            </w:pPr>
            <w:r>
              <w:rPr>
                <w:rFonts w:ascii="Arial" w:cs="Arial" w:eastAsia="Arial" w:hAnsi="Arial"/>
                <w:sz w:val="18"/>
                <w:szCs w:val="18"/>
                <w:color w:val="auto"/>
                <w:w w:val="95"/>
              </w:rPr>
              <w:t>Intangible assets, excluding goodwill, consist of the following (in thousands):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w w:val="99"/>
              </w:rPr>
              <w:t>December 31, 2021</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3"/>
                <w:szCs w:val="13"/>
                <w:b w:val="1"/>
                <w:bCs w:val="1"/>
                <w:color w:val="auto"/>
                <w:w w:val="97"/>
              </w:rPr>
              <w:t>December 31, 2020</w:t>
            </w: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right"/>
              <w:ind w:right="420"/>
              <w:spacing w:after="0" w:line="116" w:lineRule="exact"/>
              <w:rPr>
                <w:sz w:val="20"/>
                <w:szCs w:val="20"/>
                <w:color w:val="auto"/>
              </w:rPr>
            </w:pPr>
            <w:r>
              <w:rPr>
                <w:rFonts w:ascii="Arial" w:cs="Arial" w:eastAsia="Arial" w:hAnsi="Arial"/>
                <w:sz w:val="13"/>
                <w:szCs w:val="13"/>
                <w:b w:val="1"/>
                <w:bCs w:val="1"/>
                <w:color w:val="auto"/>
                <w:w w:val="93"/>
              </w:rPr>
              <w:t>Accumulated</w:t>
            </w:r>
          </w:p>
        </w:tc>
        <w:tc>
          <w:tcPr>
            <w:tcW w:w="860" w:type="dxa"/>
            <w:vAlign w:val="bottom"/>
            <w:gridSpan w:val="3"/>
          </w:tcPr>
          <w:p>
            <w:pPr>
              <w:jc w:val="right"/>
              <w:spacing w:after="0" w:line="116" w:lineRule="exact"/>
              <w:rPr>
                <w:sz w:val="20"/>
                <w:szCs w:val="20"/>
                <w:color w:val="auto"/>
              </w:rPr>
            </w:pPr>
            <w:r>
              <w:rPr>
                <w:rFonts w:ascii="Arial" w:cs="Arial" w:eastAsia="Arial" w:hAnsi="Arial"/>
                <w:sz w:val="13"/>
                <w:szCs w:val="13"/>
                <w:b w:val="1"/>
                <w:bCs w:val="1"/>
                <w:color w:val="auto"/>
                <w:w w:val="99"/>
              </w:rPr>
              <w:t>Net Carrying</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172"/>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0"/>
                <w:szCs w:val="10"/>
                <w:color w:val="auto"/>
              </w:rPr>
            </w:pPr>
          </w:p>
        </w:tc>
        <w:tc>
          <w:tcPr>
            <w:tcW w:w="1340" w:type="dxa"/>
            <w:vAlign w:val="bottom"/>
            <w:gridSpan w:val="5"/>
          </w:tcPr>
          <w:p>
            <w:pPr>
              <w:jc w:val="right"/>
              <w:ind w:right="360"/>
              <w:spacing w:after="0" w:line="116" w:lineRule="exact"/>
              <w:rPr>
                <w:sz w:val="20"/>
                <w:szCs w:val="20"/>
                <w:color w:val="auto"/>
              </w:rPr>
            </w:pPr>
            <w:r>
              <w:rPr>
                <w:rFonts w:ascii="Arial" w:cs="Arial" w:eastAsia="Arial" w:hAnsi="Arial"/>
                <w:sz w:val="13"/>
                <w:szCs w:val="13"/>
                <w:b w:val="1"/>
                <w:bCs w:val="1"/>
                <w:color w:val="auto"/>
              </w:rPr>
              <w:t>Accumulated</w:t>
            </w:r>
          </w:p>
        </w:tc>
        <w:tc>
          <w:tcPr>
            <w:tcW w:w="840" w:type="dxa"/>
            <w:vAlign w:val="bottom"/>
            <w:gridSpan w:val="3"/>
          </w:tcPr>
          <w:p>
            <w:pPr>
              <w:ind w:left="20"/>
              <w:spacing w:after="0" w:line="116" w:lineRule="exact"/>
              <w:rPr>
                <w:sz w:val="20"/>
                <w:szCs w:val="20"/>
                <w:color w:val="auto"/>
              </w:rPr>
            </w:pPr>
            <w:r>
              <w:rPr>
                <w:rFonts w:ascii="Arial" w:cs="Arial" w:eastAsia="Arial" w:hAnsi="Arial"/>
                <w:sz w:val="13"/>
                <w:szCs w:val="13"/>
                <w:b w:val="1"/>
                <w:bCs w:val="1"/>
                <w:color w:val="auto"/>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8"/>
              </w:rPr>
              <w:t>Amortization</w:t>
            </w:r>
          </w:p>
        </w:tc>
        <w:tc>
          <w:tcPr>
            <w:tcW w:w="180" w:type="dxa"/>
            <w:vAlign w:val="bottom"/>
          </w:tcPr>
          <w:p>
            <w:pPr>
              <w:spacing w:after="0"/>
              <w:rPr>
                <w:sz w:val="15"/>
                <w:szCs w:val="15"/>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3"/>
                <w:szCs w:val="13"/>
                <w:b w:val="1"/>
                <w:bCs w:val="1"/>
                <w:color w:val="auto"/>
              </w:rPr>
              <w:t>Value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Amortization</w:t>
            </w:r>
          </w:p>
        </w:tc>
        <w:tc>
          <w:tcPr>
            <w:tcW w:w="240" w:type="dxa"/>
            <w:vAlign w:val="bottom"/>
          </w:tcPr>
          <w:p>
            <w:pPr>
              <w:spacing w:after="0"/>
              <w:rPr>
                <w:sz w:val="15"/>
                <w:szCs w:val="15"/>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00"/>
              <w:spacing w:after="0" w:line="202" w:lineRule="exact"/>
              <w:rPr>
                <w:sz w:val="20"/>
                <w:szCs w:val="20"/>
                <w:color w:val="auto"/>
              </w:rPr>
            </w:pPr>
            <w:r>
              <w:rPr>
                <w:rFonts w:ascii="Arial" w:cs="Arial" w:eastAsia="Arial" w:hAnsi="Arial"/>
                <w:sz w:val="18"/>
                <w:szCs w:val="18"/>
                <w:color w:val="auto"/>
              </w:rPr>
              <w:t>Patents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1,755</w:t>
            </w:r>
          </w:p>
        </w:tc>
        <w:tc>
          <w:tcPr>
            <w:tcW w:w="40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(566 )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1,189</w:t>
            </w: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1,474</w:t>
            </w:r>
          </w:p>
        </w:tc>
        <w:tc>
          <w:tcPr>
            <w:tcW w:w="460" w:type="dxa"/>
            <w:vAlign w:val="bottom"/>
            <w:gridSpan w:val="2"/>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60" w:type="dxa"/>
            <w:vAlign w:val="bottom"/>
            <w:gridSpan w:val="4"/>
          </w:tcPr>
          <w:p>
            <w:pPr>
              <w:jc w:val="right"/>
              <w:ind w:right="61"/>
              <w:spacing w:after="0" w:line="202" w:lineRule="exact"/>
              <w:rPr>
                <w:sz w:val="20"/>
                <w:szCs w:val="20"/>
                <w:color w:val="auto"/>
              </w:rPr>
            </w:pPr>
            <w:r>
              <w:rPr>
                <w:rFonts w:ascii="Arial" w:cs="Arial" w:eastAsia="Arial" w:hAnsi="Arial"/>
                <w:sz w:val="18"/>
                <w:szCs w:val="18"/>
                <w:color w:val="auto"/>
              </w:rPr>
              <w:t>(494 ) $</w:t>
            </w:r>
          </w:p>
        </w:tc>
        <w:tc>
          <w:tcPr>
            <w:tcW w:w="6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Purchased technology</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16,900</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(6,572 )</w:t>
            </w:r>
          </w:p>
        </w:tc>
        <w:tc>
          <w:tcPr>
            <w:tcW w:w="1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10,328</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(4,694 )</w:t>
            </w:r>
          </w:p>
        </w:tc>
        <w:tc>
          <w:tcPr>
            <w:tcW w:w="2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12,206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00" w:type="dxa"/>
            <w:vAlign w:val="bottom"/>
          </w:tcPr>
          <w:p>
            <w:pPr>
              <w:ind w:left="20"/>
              <w:spacing w:after="0" w:line="162" w:lineRule="exact"/>
              <w:rPr>
                <w:sz w:val="20"/>
                <w:szCs w:val="20"/>
                <w:color w:val="auto"/>
              </w:rPr>
            </w:pPr>
            <w:r>
              <w:rPr>
                <w:rFonts w:ascii="Arial" w:cs="Arial" w:eastAsia="Arial" w:hAnsi="Arial"/>
                <w:sz w:val="18"/>
                <w:szCs w:val="18"/>
                <w:color w:val="auto"/>
              </w:rPr>
              <w:t>Intangible assets not subject to</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74</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18,755</w:t>
            </w:r>
          </w:p>
        </w:tc>
        <w:tc>
          <w:tcPr>
            <w:tcW w:w="200" w:type="dxa"/>
            <w:vAlign w:val="bottom"/>
          </w:tcPr>
          <w:p>
            <w:pPr>
              <w:spacing w:after="0"/>
              <w:rPr>
                <w:sz w:val="17"/>
                <w:szCs w:val="17"/>
                <w:color w:val="auto"/>
              </w:rPr>
            </w:pPr>
          </w:p>
        </w:tc>
        <w:tc>
          <w:tcPr>
            <w:tcW w:w="200" w:type="dxa"/>
            <w:vAlign w:val="bottom"/>
          </w:tcPr>
          <w:p>
            <w:pPr>
              <w:jc w:val="right"/>
              <w:ind w:right="21"/>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(7,138 )</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11,617</w:t>
            </w:r>
          </w:p>
        </w:tc>
        <w:tc>
          <w:tcPr>
            <w:tcW w:w="3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18,448</w:t>
            </w:r>
          </w:p>
        </w:tc>
        <w:tc>
          <w:tcPr>
            <w:tcW w:w="460" w:type="dxa"/>
            <w:vAlign w:val="bottom"/>
            <w:gridSpan w:val="2"/>
          </w:tcPr>
          <w:p>
            <w:pPr>
              <w:jc w:val="right"/>
              <w:ind w:right="133"/>
              <w:spacing w:after="0" w:line="18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(5,188 )</w:t>
            </w:r>
          </w:p>
        </w:tc>
        <w:tc>
          <w:tcPr>
            <w:tcW w:w="24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13,260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F-16</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-3674110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-3674110</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-3408045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-3408045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-2305050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-2287905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-630555</wp:posOffset>
            </wp:positionV>
            <wp:extent cx="6032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-630555</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-630555</wp:posOffset>
            </wp:positionV>
            <wp:extent cx="5969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-630555</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-630555</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-630555</wp:posOffset>
            </wp:positionV>
            <wp:extent cx="514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Amortization expense related to definite-lived intangible assets was (in thousands):</w:t>
            </w: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7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auto"/>
            </w:tcBorders>
            <w:gridSpan w:val="10"/>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Direct costs and expenses</w:t>
            </w:r>
          </w:p>
        </w:tc>
        <w:tc>
          <w:tcPr>
            <w:tcW w:w="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w w:val="97"/>
              </w:rPr>
              <w:t>1,945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w:t>
            </w:r>
          </w:p>
        </w:tc>
        <w:tc>
          <w:tcPr>
            <w:tcW w:w="100" w:type="dxa"/>
            <w:vAlign w:val="bottom"/>
          </w:tcPr>
          <w:p>
            <w:pPr>
              <w:spacing w:after="0"/>
              <w:rPr>
                <w:sz w:val="17"/>
                <w:szCs w:val="17"/>
                <w:color w:val="auto"/>
              </w:rPr>
            </w:pPr>
          </w:p>
        </w:tc>
      </w:tr>
      <w:tr>
        <w:trPr>
          <w:trHeight w:val="236"/>
        </w:trPr>
        <w:tc>
          <w:tcPr>
            <w:tcW w:w="77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750"/>
              <w:spacing w:after="0" w:line="182"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1,950</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45"/>
        </w:trPr>
        <w:tc>
          <w:tcPr>
            <w:tcW w:w="7700" w:type="dxa"/>
            <w:vAlign w:val="bottom"/>
          </w:tcPr>
          <w:p>
            <w:pPr>
              <w:spacing w:after="0"/>
              <w:rPr>
                <w:sz w:val="20"/>
                <w:szCs w:val="20"/>
                <w:color w:val="auto"/>
              </w:rPr>
            </w:pPr>
            <w:r>
              <w:rPr>
                <w:rFonts w:ascii="Arial" w:cs="Arial" w:eastAsia="Arial" w:hAnsi="Arial"/>
                <w:sz w:val="18"/>
                <w:szCs w:val="18"/>
                <w:color w:val="auto"/>
              </w:rPr>
              <w:t>Future estimated amortization expense of intangible assets is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7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7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0"/>
              </w:rPr>
              <w:t>December 31, 2021</w:t>
            </w:r>
          </w:p>
        </w:tc>
      </w:tr>
      <w:tr>
        <w:trPr>
          <w:trHeight w:val="196"/>
        </w:trPr>
        <w:tc>
          <w:tcPr>
            <w:tcW w:w="7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1,975</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1,969</w:t>
            </w:r>
          </w:p>
        </w:tc>
      </w:tr>
      <w:tr>
        <w:trPr>
          <w:trHeight w:val="203"/>
        </w:trPr>
        <w:tc>
          <w:tcPr>
            <w:tcW w:w="7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1,959</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1,954</w:t>
            </w:r>
          </w:p>
        </w:tc>
      </w:tr>
      <w:tr>
        <w:trPr>
          <w:trHeight w:val="203"/>
        </w:trPr>
        <w:tc>
          <w:tcPr>
            <w:tcW w:w="7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1,941</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1,719</w:t>
            </w:r>
          </w:p>
        </w:tc>
      </w:tr>
      <w:tr>
        <w:trPr>
          <w:trHeight w:val="236"/>
        </w:trPr>
        <w:tc>
          <w:tcPr>
            <w:tcW w:w="77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w w:val="98"/>
              </w:rPr>
              <w:t>11,517</w:t>
            </w:r>
          </w:p>
        </w:tc>
      </w:tr>
      <w:tr>
        <w:trPr>
          <w:trHeight w:val="386"/>
        </w:trPr>
        <w:tc>
          <w:tcPr>
            <w:tcW w:w="7700" w:type="dxa"/>
            <w:vAlign w:val="bottom"/>
          </w:tcPr>
          <w:p>
            <w:pPr>
              <w:spacing w:after="0"/>
              <w:rPr>
                <w:sz w:val="20"/>
                <w:szCs w:val="20"/>
                <w:color w:val="auto"/>
              </w:rPr>
            </w:pPr>
            <w:r>
              <w:rPr>
                <w:rFonts w:ascii="Arial" w:cs="Arial" w:eastAsia="Arial" w:hAnsi="Arial"/>
                <w:sz w:val="18"/>
                <w:szCs w:val="18"/>
                <w:b w:val="1"/>
                <w:bCs w:val="1"/>
                <w:color w:val="auto"/>
              </w:rPr>
              <w:t>Note 7 – Accrued Liabilities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70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7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right"/>
              <w:ind w:right="350"/>
              <w:spacing w:after="0"/>
              <w:rPr>
                <w:sz w:val="20"/>
                <w:szCs w:val="20"/>
                <w:color w:val="auto"/>
              </w:rPr>
            </w:pPr>
            <w:r>
              <w:rPr>
                <w:rFonts w:ascii="Arial" w:cs="Arial" w:eastAsia="Arial" w:hAnsi="Arial"/>
                <w:sz w:val="18"/>
                <w:szCs w:val="18"/>
                <w:b w:val="1"/>
                <w:bCs w:val="1"/>
                <w:color w:val="auto"/>
                <w:w w:val="87"/>
              </w:rPr>
              <w:t>As of December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6"/>
        </w:trPr>
        <w:tc>
          <w:tcPr>
            <w:tcW w:w="770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Compensation related accruals</w:t>
            </w:r>
          </w:p>
        </w:tc>
        <w:tc>
          <w:tcPr>
            <w:tcW w:w="980" w:type="dxa"/>
            <w:vAlign w:val="bottom"/>
            <w:tcBorders>
              <w:top w:val="single" w:sz="8" w:color="auto"/>
            </w:tcBorders>
            <w:gridSpan w:val="2"/>
            <w:shd w:val="clear" w:color="auto" w:fill="CCEEFF"/>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5"/>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4,029</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3,975</w:t>
            </w: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Accrued clinical trial expense</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870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715</w:t>
            </w:r>
          </w:p>
        </w:tc>
        <w:tc>
          <w:tcPr>
            <w:tcW w:w="100" w:type="dxa"/>
            <w:vAlign w:val="bottom"/>
          </w:tcPr>
          <w:p>
            <w:pPr>
              <w:spacing w:after="0"/>
              <w:rPr>
                <w:sz w:val="17"/>
                <w:szCs w:val="17"/>
                <w:color w:val="auto"/>
              </w:rPr>
            </w:pPr>
          </w:p>
        </w:tc>
      </w:tr>
      <w:tr>
        <w:trPr>
          <w:trHeight w:val="203"/>
        </w:trPr>
        <w:tc>
          <w:tcPr>
            <w:tcW w:w="77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expenses</w:t>
            </w:r>
          </w:p>
        </w:tc>
        <w:tc>
          <w:tcPr>
            <w:tcW w:w="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2,766</w:t>
            </w:r>
          </w:p>
        </w:tc>
        <w:tc>
          <w:tcPr>
            <w:tcW w:w="1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3,099</w:t>
            </w:r>
          </w:p>
        </w:tc>
        <w:tc>
          <w:tcPr>
            <w:tcW w:w="100" w:type="dxa"/>
            <w:vAlign w:val="bottom"/>
            <w:tcBorders>
              <w:bottom w:val="single" w:sz="8" w:color="auto"/>
            </w:tcBorders>
            <w:shd w:val="clear" w:color="auto" w:fill="CCEEFF"/>
          </w:tcPr>
          <w:p>
            <w:pPr>
              <w:spacing w:after="0"/>
              <w:rPr>
                <w:sz w:val="17"/>
                <w:szCs w:val="17"/>
                <w:color w:val="auto"/>
              </w:rPr>
            </w:pP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color w:val="auto"/>
              </w:rPr>
              <w:t>Total accrued liabilities</w:t>
            </w:r>
          </w:p>
        </w:tc>
        <w:tc>
          <w:tcPr>
            <w:tcW w:w="980" w:type="dxa"/>
            <w:vAlign w:val="bottom"/>
            <w:gridSpan w:val="2"/>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7,665</w:t>
            </w:r>
          </w:p>
        </w:tc>
        <w:tc>
          <w:tcPr>
            <w:tcW w:w="1300" w:type="dxa"/>
            <w:vAlign w:val="bottom"/>
            <w:gridSpan w:val="4"/>
          </w:tcPr>
          <w:p>
            <w:pPr>
              <w:jc w:val="right"/>
              <w:ind w:right="850"/>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7,789</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-2836545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-2819400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11176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6">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long-term debt consists of notes payable associated with our 2021 Term Loan, 2018 Notes and Paycheck Protection Program, each of which is described in further detail below. Long-term notes payable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7"/>
                <w:szCs w:val="17"/>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2021 Term Loan</w:t>
            </w:r>
          </w:p>
        </w:tc>
        <w:tc>
          <w:tcPr>
            <w:tcW w:w="38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2018 Notes</w:t>
            </w:r>
          </w:p>
        </w:tc>
        <w:tc>
          <w:tcPr>
            <w:tcW w:w="38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24,972</w:t>
            </w:r>
          </w:p>
        </w:tc>
        <w:tc>
          <w:tcPr>
            <w:tcW w:w="100" w:type="dxa"/>
            <w:vAlign w:val="bottom"/>
          </w:tcPr>
          <w:p>
            <w:pPr>
              <w:spacing w:after="0"/>
              <w:rPr>
                <w:sz w:val="17"/>
                <w:szCs w:val="17"/>
                <w:color w:val="auto"/>
              </w:rPr>
            </w:pPr>
          </w:p>
        </w:tc>
      </w:tr>
      <w:tr>
        <w:trPr>
          <w:trHeight w:val="203"/>
        </w:trPr>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Paycheck Protection Program</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Unamortized debt discount and debt issuance costs</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(63 )</w:t>
            </w:r>
          </w:p>
        </w:tc>
        <w:tc>
          <w:tcPr>
            <w:tcW w:w="6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(313 )</w:t>
            </w:r>
          </w:p>
        </w:tc>
      </w:tr>
      <w:tr>
        <w:trPr>
          <w:trHeight w:val="196"/>
        </w:trPr>
        <w:tc>
          <w:tcPr>
            <w:tcW w:w="76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10,012</w:t>
            </w:r>
          </w:p>
        </w:tc>
        <w:tc>
          <w:tcPr>
            <w:tcW w:w="28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27,766</w:t>
            </w:r>
          </w:p>
        </w:tc>
        <w:tc>
          <w:tcPr>
            <w:tcW w:w="100" w:type="dxa"/>
            <w:vAlign w:val="bottom"/>
            <w:tcBorders>
              <w:top w:val="single" w:sz="8" w:color="CCEEFF"/>
            </w:tcBorders>
          </w:tcPr>
          <w:p>
            <w:pPr>
              <w:spacing w:after="0"/>
              <w:rPr>
                <w:sz w:val="17"/>
                <w:szCs w:val="17"/>
                <w:color w:val="auto"/>
              </w:rPr>
            </w:pPr>
          </w:p>
        </w:tc>
      </w:tr>
      <w:tr>
        <w:trPr>
          <w:trHeight w:val="203"/>
        </w:trPr>
        <w:tc>
          <w:tcPr>
            <w:tcW w:w="7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Less: current maturities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11,840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Long-term notes payable</w:t>
            </w:r>
          </w:p>
        </w:tc>
        <w:tc>
          <w:tcPr>
            <w:tcW w:w="3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9,993</w:t>
            </w:r>
          </w:p>
        </w:tc>
        <w:tc>
          <w:tcPr>
            <w:tcW w:w="28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15,926</w:t>
            </w:r>
          </w:p>
        </w:tc>
        <w:tc>
          <w:tcPr>
            <w:tcW w:w="10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-424815</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Term Loan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19, 2021 (Effective Date), the Company entered into a Loan and Security Agreement (the 2021 Term Loan) by and between Silicon Valley Bank (SVB or Lender) and the Company, as borrower, whereby subject to the terms and conditions of the 2021 Term Loan, SVB advanced to the Company an original principal amount of $30 million.</w:t>
      </w:r>
    </w:p>
    <w:p>
      <w:pPr>
        <w:spacing w:after="0" w:line="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2021 Term Loan provides for an “interest-only” period from the Effective Date through February 28, 2023, with interest due and payable monthly on the first calendar day of each month. However, the Company achieved a revenue milestone of at least $65 million on a trailing twelve-month basis during the three months ended March 31, 2021 which automatically extended the interest-only period through February 28, 2024. Beginning on the first calendar day of the month following the end of the interest-only period, the 2021 Term Loan shall be payable in (i) consecutive equal installments of principal through March 1, 2026, plus (ii) monthly payments of accrued interest. The principal amount outstanding under the 2021 Term Loan shall accrue interest at a floating per annum rate equal to the greater of (i) 2.00% above the prime rate, or (ii) 5.25%, which interest, in each case, shall be payable monthly. Changes to the interest rate applicable to the 2021 Term Loan based on changes to the prime rate shall be effective on the effective date of any change to the prime rate.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5" w:name="page126"/>
    <w:bookmarkEnd w:id="125"/>
    <w:p>
      <w:pPr>
        <w:jc w:val="both"/>
        <w:spacing w:after="0" w:line="239" w:lineRule="auto"/>
        <w:rPr>
          <w:sz w:val="20"/>
          <w:szCs w:val="20"/>
          <w:color w:val="auto"/>
        </w:rPr>
      </w:pPr>
      <w:r>
        <w:rPr>
          <w:rFonts w:ascii="Arial" w:cs="Arial" w:eastAsia="Arial" w:hAnsi="Arial"/>
          <w:sz w:val="18"/>
          <w:szCs w:val="18"/>
          <w:color w:val="auto"/>
        </w:rPr>
        <w:t>The Company’s final payment, due at maturity on March 1, 2026, shall include all outstanding principal and accrued and unpaid interest, lender fees and expenses, of which the majority will include a final payment of $2.7 million, and all other sums, if any, that shall have become due and payable hereunder with respect to the 2021 Term Loan. The $2.7 million final payment will be amortized as interest expense over the term of the 2021 Term Loan. The Company has the option to prepay, prior to maturity, the total outstanding principal amount plus accrued and unpaid interest, subject to a prepayment penalty of 3% of the principal amount if paid prior to the first anniversary of the Effective Date, 2% of the principal amount if paid on or after the first anniversary but prior to the second anniversary of the Effective Date, 1% of the principal amount if paid on or after the second anniversary but prior to October 19, 2025, and 0% thereafter.</w:t>
      </w:r>
    </w:p>
    <w:p>
      <w:pPr>
        <w:spacing w:after="0" w:line="8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Company granted the Lender a security interest in substantially all of the Company’s assets. The 2021 Term Loan requires the Company to comply with a minimum liquidity ratio covenant (as defined) by the 2021 Term Loan of not less than 0.95 to 1.00, and has a trailing six month rolling minimum revenue requirement of not less than 70% of the Company’s projected revenue performed at the end of each reporting period. On September 30, 2021, we entered into the Consent and First Amendment to Loan and Security Agreement (First Amendment) to, among other things, amend our 2021 Term Loan to eliminate the revenue covenant for the period ended September 30, 2021 and modify the revenue covenant threshold for the three month period ended December 31, 2021. In addition, we agreed to establish a restricted cash collateral account for $15 million for the benefit of our lender if the balance of our cash and cash equivalents declines below $40 million. On December 31, 2021, we entered into the Consent and Second Amendment to Loan and Security Agreement (Second Amendment) to, among other things, amend our 2021 Term Loan and First Amendment to obtain consent for the $4.6 million January 2022 milestone payment under the Indi APA, repay $20 million in outstanding principal on December 31, 2021, waive the $600,000 prepayment fee on the $20 million Term Loan repayment, and waive the minimum revenue covenant as of December 31, 2021 and modify the minimum revenue requirement to not less 75% for the three months ended March 31, 2022 and not less than 75% on a trailing six month rolling basis for each quarter thereafter of the Company’s projected revenue performed at the end of each reporting period. The Lender agreed to apply the full amount of funds previously established within the restricted cash collateral account to partially prepay the $20 million in outstanding principal, thereby eliminating the restricted cash collateral account. The Company recorded a loss on extinguishment of $0.1 million resulting from the write-off of debt issuance costs associated with the $20 million repayment of our 2021 Term Loan.</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2021 Term Loan contains certain covenants limiting the ability of the Company to, among other things, incur future debt, transfer assets except for the ordinary course of business, make acquisitions, pay dividends or make other certain restricted payments, or sell assets, subject to certain exceptions, without the prior written consent of the Lender. Failure to comply with the covenants and loan requirements may result in an event of default. As of December 31, 2021, the Company was in compliance with all restrictive and financial covenants associated with its borrowings. In the event of a default, including, among other things, our failure to make any payment when due or our failure to comply with any covenant under the 2021 Term Loan, the Lender may elect to declare all amounts outstanding to be immediately due and payable, and may proceed against the collateral granted to them to secure such indebtedness, including a royalty-free license or other right to use all of our intellectual property without charge.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Notes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February 2018, the Company issued long-term debt of $23.0 million to Innovatus Life Sciences Lending Fund (Innovatus or Lender) (the 2018 Notes).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Innovatus is also a holder of the Company’s common stock.</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the time of issuance, the Company paid a facility fee of $0.2 million and issued a warrant to Innovatus, with an initial estimated fair value of $0.3 million, for the purchase of 613,333 shares of Series G preferred stock. The facility fee and the estimated warrant fair value were recorded as debt discount and is amortized to interest expense over the term of the 2018 Notes. The 2018 Notes bore annual interest at 10%, of which 7.5% was payable in cash, with the remaining 2.5% added to principal through December 31, 2020. Total interest added to principal was $1.7 million as of March 31, 2021 and December 31, 2020.</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March 19, 2021, in connection with entering into the 2021 Term Loan agreement with SVB, the Company repaid all outstanding principal, accrued and unpaid interest, and prepayment fees in the amount of $25.9 million due under the 2018 Notes and contemporaneously terminated the related Loan and Security Agreement, dated as of February 23, 2018, as amended, between Innovatus and the Company. As a result of the extinguishment of the 2018 Notes, the Company recognized a loss on debt extinguishment of $0.7 million during the three months ended March 31,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Note Payable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April 2020, the Company entered into a loan pursuant to the Paycheck Protection Program under the CARES Act, as administered by the U.S. Small Business Administration (the SBA). The loan, in the principal amount of $3.1 million (the PPP Loan), was disbursed by JPMorgan Chase Bank (JPM) pursuant to a Paycheck Protection Program Promissory Note and Agreement (the Note and Agreement).</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PPP Loan had a maturity date on the two-year anniversary of the funding date, April 2022, and included a fixed rate of 1.00% per annum. Monthly principal and interest payments, less the amount of any potential forgiveness (as discussed below), were scheduled to commence in September 2021. The Company did not provide any collateral or guarantees in connection with the PPP Loan, nor did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6" w:name="page127"/>
    <w:bookmarkEnd w:id="126"/>
    <w:p>
      <w:pPr>
        <w:jc w:val="both"/>
        <w:spacing w:after="0" w:line="261" w:lineRule="auto"/>
        <w:rPr>
          <w:sz w:val="20"/>
          <w:szCs w:val="20"/>
          <w:color w:val="auto"/>
        </w:rPr>
      </w:pPr>
      <w:r>
        <w:rPr>
          <w:rFonts w:ascii="Arial" w:cs="Arial" w:eastAsia="Arial" w:hAnsi="Arial"/>
          <w:sz w:val="18"/>
          <w:szCs w:val="18"/>
          <w:color w:val="auto"/>
        </w:rPr>
        <w:t>Company pay any facility charge to obtain the PPP Loan. The Note and Agreement contained customary events of default, including those relating to failure to make payment, bankruptcy, breaches of representations and material adverse effects.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or a portion of the PPP Loan may be forgiven by the SBA upon application by the Company. Under the CARES Act, loan forgiveness is available for the sum of documented payroll costs, covered rent payments, and covered utilities during the eight-week period beginning on the approval date of the PPP Loan. For purposes of the CARES Act, payroll costs exclude compensation of an individual employee earning more than $100,000, prorated annually. Not more than 40% of the forgiven amount may be for non-payroll costs. Forgiveness is reduced if full-time headcount declines, or if salaries and wages for employees with salaries of $100,000 or less annually are reduced by more than 25%. During the second quarter of 2021, the Company determined that it would apply for forgiveness under the SBA’s Loan Forgiveness program, a change from its previous intent to repay. Subsequently, in July 2021 the Company applied for loan forgiveness and on August 17, 2021, the Company received legal release and formal notification that the PPP Loan was forgiven in full. During the three months ended September 30, 2021, the Company reduced the ‘Current portion of notes payable’ and recorded a gain on extinguishment in the statements of operations for the $3.1 million forgiven.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Scheduled principal repayments (maturities) of long-term obligations were as follows (in 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8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b w:val="1"/>
                <w:bCs w:val="1"/>
                <w:color w:val="auto"/>
              </w:rPr>
              <w:t>As of</w:t>
            </w:r>
          </w:p>
        </w:tc>
        <w:tc>
          <w:tcPr>
            <w:tcW w:w="60" w:type="dxa"/>
            <w:vAlign w:val="bottom"/>
          </w:tcPr>
          <w:p>
            <w:pPr>
              <w:spacing w:after="0"/>
              <w:rPr>
                <w:sz w:val="22"/>
                <w:szCs w:val="22"/>
                <w:color w:val="auto"/>
              </w:rPr>
            </w:pPr>
          </w:p>
        </w:tc>
      </w:tr>
      <w:tr>
        <w:trPr>
          <w:trHeight w:val="216"/>
        </w:trPr>
        <w:tc>
          <w:tcPr>
            <w:tcW w:w="8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c>
          <w:tcPr>
            <w:tcW w:w="60" w:type="dxa"/>
            <w:vAlign w:val="bottom"/>
          </w:tcPr>
          <w:p>
            <w:pPr>
              <w:spacing w:after="0"/>
              <w:rPr>
                <w:sz w:val="18"/>
                <w:szCs w:val="18"/>
                <w:color w:val="auto"/>
              </w:rPr>
            </w:pPr>
          </w:p>
        </w:tc>
      </w:tr>
      <w:tr>
        <w:trPr>
          <w:trHeight w:val="196"/>
        </w:trPr>
        <w:tc>
          <w:tcPr>
            <w:tcW w:w="89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0" w:type="dxa"/>
            <w:vAlign w:val="bottom"/>
          </w:tcPr>
          <w:p>
            <w:pPr>
              <w:spacing w:after="0"/>
              <w:rPr>
                <w:sz w:val="17"/>
                <w:szCs w:val="17"/>
                <w:color w:val="auto"/>
              </w:rPr>
            </w:pPr>
          </w:p>
        </w:tc>
      </w:tr>
      <w:tr>
        <w:trPr>
          <w:trHeight w:val="203"/>
        </w:trPr>
        <w:tc>
          <w:tcPr>
            <w:tcW w:w="8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4,017</w:t>
            </w:r>
          </w:p>
        </w:tc>
        <w:tc>
          <w:tcPr>
            <w:tcW w:w="60" w:type="dxa"/>
            <w:vAlign w:val="bottom"/>
            <w:shd w:val="clear" w:color="auto" w:fill="CCEEFF"/>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4,818</w:t>
            </w:r>
          </w:p>
        </w:tc>
        <w:tc>
          <w:tcPr>
            <w:tcW w:w="60" w:type="dxa"/>
            <w:vAlign w:val="bottom"/>
          </w:tcPr>
          <w:p>
            <w:pPr>
              <w:spacing w:after="0"/>
              <w:rPr>
                <w:sz w:val="17"/>
                <w:szCs w:val="17"/>
                <w:color w:val="auto"/>
              </w:rPr>
            </w:pPr>
          </w:p>
        </w:tc>
      </w:tr>
      <w:tr>
        <w:trPr>
          <w:trHeight w:val="203"/>
        </w:trPr>
        <w:tc>
          <w:tcPr>
            <w:tcW w:w="89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17"/>
                <w:szCs w:val="17"/>
                <w:color w:val="auto"/>
              </w:rPr>
            </w:pPr>
          </w:p>
        </w:tc>
      </w:tr>
      <w:tr>
        <w:trPr>
          <w:trHeight w:val="203"/>
        </w:trPr>
        <w:tc>
          <w:tcPr>
            <w:tcW w:w="894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89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10,075</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to Purchase Convertible Preferred Stock</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issued warrants to purchase shares of convertible preferred stock in conjunction with the sale of certain of the convertible preferred shares and issuance of debt. Through the closing of the Company’s IPO, the preferred warrants were classified as liabilities with estimated fair value remeasured at each reporting date reported within in the accompanying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for convertible preferred stock warrants (in thousands, except weighted average exercise price):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780" w:type="dxa"/>
            <w:vAlign w:val="bottom"/>
          </w:tcPr>
          <w:p>
            <w:pPr>
              <w:spacing w:after="0"/>
              <w:rPr>
                <w:sz w:val="23"/>
                <w:szCs w:val="2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Series E</w:t>
            </w:r>
          </w:p>
        </w:tc>
        <w:tc>
          <w:tcPr>
            <w:tcW w:w="10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 xml:space="preserve">Series G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55"/>
        </w:trPr>
        <w:tc>
          <w:tcPr>
            <w:tcW w:w="5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210"/>
              <w:spacing w:after="0" w:line="156"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90"/>
              <w:spacing w:after="0" w:line="156"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580"/>
              <w:spacing w:after="0" w:line="176" w:lineRule="exact"/>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Warrants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center"/>
              <w:ind w:right="580"/>
              <w:spacing w:after="0" w:line="176" w:lineRule="exact"/>
              <w:rPr>
                <w:sz w:val="20"/>
                <w:szCs w:val="20"/>
                <w:color w:val="auto"/>
              </w:rPr>
            </w:pPr>
            <w:r>
              <w:rPr>
                <w:rFonts w:ascii="Arial" w:cs="Arial" w:eastAsia="Arial" w:hAnsi="Arial"/>
                <w:sz w:val="18"/>
                <w:szCs w:val="18"/>
                <w:b w:val="1"/>
                <w:bCs w:val="1"/>
                <w:color w:val="auto"/>
                <w:w w:val="86"/>
              </w:rPr>
              <w:t>Exercise</w:t>
            </w:r>
          </w:p>
        </w:tc>
        <w:tc>
          <w:tcPr>
            <w:tcW w:w="11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Warrants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2"/>
              </w:rPr>
              <w:t>price</w:t>
            </w: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2020</w:t>
            </w:r>
          </w:p>
        </w:tc>
        <w:tc>
          <w:tcPr>
            <w:tcW w:w="128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925</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613</w:t>
            </w: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Forfeited/canceled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(925 )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Reclassification of warrant liability to additional paid-in capital</w:t>
            </w:r>
          </w:p>
        </w:tc>
        <w:tc>
          <w:tcPr>
            <w:tcW w:w="128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(613 )</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(0.75 )</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2020</w:t>
            </w:r>
          </w:p>
        </w:tc>
        <w:tc>
          <w:tcPr>
            <w:tcW w:w="12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3"/>
          </w:tcPr>
          <w:p>
            <w:pPr>
              <w:ind w:left="760"/>
              <w:spacing w:after="0" w:line="196" w:lineRule="exact"/>
              <w:rPr>
                <w:sz w:val="20"/>
                <w:szCs w:val="20"/>
                <w:color w:val="auto"/>
              </w:rPr>
            </w:pPr>
            <w:r>
              <w:rPr>
                <w:rFonts w:ascii="Arial" w:cs="Arial" w:eastAsia="Arial" w:hAnsi="Arial"/>
                <w:sz w:val="18"/>
                <w:szCs w:val="18"/>
                <w:color w:val="auto"/>
              </w:rPr>
              <w:t>—   $</w:t>
            </w: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-159385</wp:posOffset>
            </wp:positionV>
            <wp:extent cx="7683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-159385</wp:posOffset>
            </wp:positionV>
            <wp:extent cx="7683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-159385</wp:posOffset>
            </wp:positionV>
            <wp:extent cx="8572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warrants to purchase Series E convertible preferred stock were not exercised and expired during the three months ended June 2020.</w:t>
      </w:r>
    </w:p>
    <w:p>
      <w:pPr>
        <w:spacing w:after="0" w:line="104" w:lineRule="exact"/>
        <w:rPr>
          <w:sz w:val="20"/>
          <w:szCs w:val="20"/>
          <w:color w:val="auto"/>
        </w:rPr>
      </w:pPr>
    </w:p>
    <w:p>
      <w:pPr>
        <w:jc w:val="both"/>
        <w:ind w:firstLine="8"/>
        <w:spacing w:after="0" w:line="232" w:lineRule="auto"/>
        <w:tabs>
          <w:tab w:leader="none" w:pos="198" w:val="left"/>
        </w:tabs>
        <w:numPr>
          <w:ilvl w:val="0"/>
          <w:numId w:val="72"/>
        </w:numPr>
        <w:rPr>
          <w:rFonts w:ascii="Arial" w:cs="Arial" w:eastAsia="Arial" w:hAnsi="Arial"/>
          <w:sz w:val="23"/>
          <w:szCs w:val="23"/>
          <w:color w:val="auto"/>
          <w:vertAlign w:val="superscript"/>
        </w:rPr>
      </w:pPr>
      <w:r>
        <w:rPr>
          <w:rFonts w:ascii="Arial" w:cs="Arial" w:eastAsia="Arial" w:hAnsi="Arial"/>
          <w:sz w:val="17"/>
          <w:szCs w:val="17"/>
          <w:color w:val="auto"/>
        </w:rPr>
        <w:t>On October 27, 2020, all convertible preferred stock converted to common stock at the completion of our IPO, and as a consequence, the warrants to purchase Series G convertible preferred stock were converted to 103,326 warrants to purchase common stock at $4.46 per share, which have an expiration date of February 23, 2028. All common stock warrants remain outstanding as of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Equity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7" w:name="page128"/>
    <w:bookmarkEnd w:id="127"/>
    <w:p>
      <w:pPr>
        <w:jc w:val="both"/>
        <w:ind w:right="20"/>
        <w:spacing w:after="0" w:line="261" w:lineRule="auto"/>
        <w:rPr>
          <w:sz w:val="20"/>
          <w:szCs w:val="20"/>
          <w:color w:val="auto"/>
        </w:rPr>
      </w:pPr>
      <w:r>
        <w:rPr>
          <w:rFonts w:ascii="Arial" w:cs="Arial" w:eastAsia="Arial" w:hAnsi="Arial"/>
          <w:sz w:val="18"/>
          <w:szCs w:val="18"/>
          <w:color w:val="auto"/>
        </w:rPr>
        <w:t xml:space="preserve">Company is currently subject to restrictions on the payment of dividends (see Note 8 - </w:t>
      </w:r>
      <w:r>
        <w:rPr>
          <w:rFonts w:ascii="Arial" w:cs="Arial" w:eastAsia="Arial" w:hAnsi="Arial"/>
          <w:sz w:val="18"/>
          <w:szCs w:val="18"/>
          <w:i w:val="1"/>
          <w:iCs w:val="1"/>
          <w:color w:val="auto"/>
        </w:rPr>
        <w:t>Debt</w:t>
      </w:r>
      <w:r>
        <w:rPr>
          <w:rFonts w:ascii="Arial" w:cs="Arial" w:eastAsia="Arial" w:hAnsi="Arial"/>
          <w:sz w:val="18"/>
          <w:szCs w:val="18"/>
          <w:color w:val="auto"/>
        </w:rPr>
        <w:t>) and no dividends have been declared as of December 31, 2021.</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October 27, 2020, the Company issued and sold 4,000,000 shares of common stock in a registered IPO at a price to the public of $18.00 per share. The net proceeds to the Company were approximately $63.8 million, after deducting underwriting discounts and commissions of $5.0 million and direct offering expenses of approximately $3.2 million.</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 December 30, 2021, the Company raised approximately $16.3 million in gross proceeds from the sale of 3,756,994 common shares at a public offering price of $4.35 per share in an at-the-market offering. The Company received net proceeds of $15.7 million, after deducting underwriting discounts and commissions and offering expenses payable of approximately $0.7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Restated Certificate of Incorporation authorizes the Company to issue up to 5,000,000 shares of preferred stock with a par value of $0.001 per share. As of December 31, 2021 and 2020, no shares of preferred stock were issued or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Revenue and Accounts Receivable Credit Concentration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(Services).</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Diagnostic test revenues consist of blood-based lung tests and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historical price concessions granted to groups of customers, and its historical collection experience using a portfolio approach. The Company recognizes revenues for diagnostic tests upon delivery of the tests to the physicians requesting the tests or patient, as applicable.</w:t>
      </w:r>
    </w:p>
    <w:p>
      <w:pPr>
        <w:spacing w:after="0" w:line="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Revenues consisted of the following (in thousands):</w:t>
            </w: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97"/>
        </w:trPr>
        <w:tc>
          <w:tcPr>
            <w:tcW w:w="764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196"/>
        </w:trPr>
        <w:tc>
          <w:tcPr>
            <w:tcW w:w="7640" w:type="dxa"/>
            <w:vAlign w:val="bottom"/>
          </w:tcPr>
          <w:p>
            <w:pPr>
              <w:spacing w:after="0"/>
              <w:rPr>
                <w:sz w:val="17"/>
                <w:szCs w:val="17"/>
                <w:color w:val="auto"/>
              </w:rPr>
            </w:pP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17"/>
                <w:szCs w:val="17"/>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Diagnostic tests</w:t>
            </w:r>
          </w:p>
        </w:tc>
        <w:tc>
          <w:tcPr>
            <w:tcW w:w="114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48,937</w:t>
            </w:r>
          </w:p>
        </w:tc>
        <w:tc>
          <w:tcPr>
            <w:tcW w:w="1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40,919</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Services</w:t>
            </w: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5,569</w:t>
            </w:r>
          </w:p>
        </w:tc>
        <w:tc>
          <w:tcPr>
            <w:tcW w:w="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4,638</w:t>
            </w:r>
          </w:p>
        </w:tc>
      </w:tr>
      <w:tr>
        <w:trPr>
          <w:trHeight w:val="236"/>
        </w:trPr>
        <w:tc>
          <w:tcPr>
            <w:tcW w:w="7640" w:type="dxa"/>
            <w:vAlign w:val="bottom"/>
            <w:tcBorders>
              <w:bottom w:val="single" w:sz="8" w:color="CCEEFF"/>
            </w:tcBorders>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auto"/>
            </w:tcBorders>
            <w:shd w:val="clear" w:color="auto" w:fill="CCEEFF"/>
          </w:tcPr>
          <w:p>
            <w:pPr>
              <w:jc w:val="right"/>
              <w:ind w:right="930"/>
              <w:spacing w:after="0" w:line="182"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54,506</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4"/>
              </w:rPr>
              <w:t>45,557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-25400</wp:posOffset>
            </wp:positionV>
            <wp:extent cx="1111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111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Deferred Revenue consists of cash payments from customers received in advance of delivery. As test results are delivered, the Company recognizes the deferred revenue in ‘Revenues’ in the statements of operations. Of the $3.5 million in ‘Deferred Revenue’ recorded in the balance sheet as of December 31, 2020, $3.0 million was recognized in revenues. During the year ended December 31, 2021 $1.4 million was added to 'Deferred revenue' for up-front cash payments received for which revenue recognition criteria have not been met. The 'Deferred revenue' of $1.9 million recorded in the balance sheet as of December 31, 2021 is expected to be recognized in revenues over the next twelve months as test results are delivered and services are performed. As of December 31, 2021 and 2020, the Company had $0.8 million and $1.4 million in non-current deferred revenue, respectively, recorded within ‘Other long-term liabilities’ in the balance sheets which represent amounts to be recognized in excess of twelve months from the respective balance sheet date.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customers in excess of 10% of total revenue, and their related revenue as a percentage of total revenue were as follows:</w:t>
      </w:r>
    </w:p>
    <w:p>
      <w:pPr>
        <w:spacing w:after="0" w:line="167"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r>
      <w:tr>
        <w:trPr>
          <w:trHeight w:val="196"/>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The Big Ten Conference</w:t>
            </w:r>
          </w:p>
        </w:tc>
        <w:tc>
          <w:tcPr>
            <w:tcW w:w="11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Centura Healthcare</w:t>
            </w: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5 %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17 %</w:t>
            </w:r>
          </w:p>
        </w:tc>
      </w:tr>
    </w:tbl>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above table, we collect reimbursement on behalf of customers covered by Medicare, which accounted for 18% and 17% of the Company’s total revenue for the years ended December 31, 2021 and 2020, respectively. The Company is subject to credit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8" w:name="page129"/>
    <w:bookmarkEnd w:id="128"/>
    <w:p>
      <w:pPr>
        <w:jc w:val="both"/>
        <w:spacing w:after="0" w:line="261" w:lineRule="auto"/>
        <w:rPr>
          <w:sz w:val="20"/>
          <w:szCs w:val="20"/>
          <w:color w:val="auto"/>
        </w:rPr>
      </w:pPr>
      <w:r>
        <w:rPr>
          <w:rFonts w:ascii="Arial" w:cs="Arial" w:eastAsia="Arial" w:hAnsi="Arial"/>
          <w:sz w:val="18"/>
          <w:szCs w:val="18"/>
          <w:color w:val="auto"/>
        </w:rPr>
        <w:t>risk from its accounts receivable related to services provided to its customers. The Company does not perform evaluations of customers' financial condition and does not require collateral.</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Company’s third-party payors and other customers in excess of 10% of accounts receivable, and their related accounts receivable as a percentage of total accounts receivable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248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w w:val="89"/>
              </w:rPr>
              <w:t>As of December 31,</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196"/>
        </w:trPr>
        <w:tc>
          <w:tcPr>
            <w:tcW w:w="7600" w:type="dxa"/>
            <w:vAlign w:val="bottom"/>
          </w:tcPr>
          <w:p>
            <w:pPr>
              <w:spacing w:after="0"/>
              <w:rPr>
                <w:sz w:val="17"/>
                <w:szCs w:val="17"/>
                <w:color w:val="auto"/>
              </w:rPr>
            </w:pPr>
          </w:p>
        </w:tc>
        <w:tc>
          <w:tcPr>
            <w:tcW w:w="15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7"/>
                <w:szCs w:val="17"/>
                <w:color w:val="auto"/>
              </w:rPr>
            </w:pPr>
          </w:p>
        </w:tc>
      </w:tr>
      <w:tr>
        <w:trPr>
          <w:trHeight w:val="196"/>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Medicare</w:t>
            </w: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Janssen Research and Development, LLC</w:t>
            </w:r>
          </w:p>
        </w:tc>
        <w:tc>
          <w:tcPr>
            <w:tcW w:w="19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14 %</w:t>
            </w:r>
          </w:p>
        </w:tc>
        <w:tc>
          <w:tcPr>
            <w:tcW w:w="50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r>
      <w:tr>
        <w:trPr>
          <w:trHeight w:val="203"/>
        </w:trPr>
        <w:tc>
          <w:tcPr>
            <w:tcW w:w="7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LabCorp DD (formerly Covance)</w:t>
            </w:r>
          </w:p>
        </w:tc>
        <w:tc>
          <w:tcPr>
            <w:tcW w:w="198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11 %</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The Big Ten Conference</w:t>
            </w:r>
          </w:p>
        </w:tc>
        <w:tc>
          <w:tcPr>
            <w:tcW w:w="2480" w:type="dxa"/>
            <w:vAlign w:val="bottom"/>
            <w:gridSpan w:val="3"/>
          </w:tcPr>
          <w:p>
            <w:pPr>
              <w:jc w:val="right"/>
              <w:ind w:right="720"/>
              <w:spacing w:after="0" w:line="202" w:lineRule="exact"/>
              <w:rPr>
                <w:sz w:val="20"/>
                <w:szCs w:val="20"/>
                <w:color w:val="auto"/>
              </w:rPr>
            </w:pPr>
            <w:r>
              <w:rPr>
                <w:rFonts w:ascii="Arial" w:cs="Arial" w:eastAsia="Arial" w:hAnsi="Arial"/>
                <w:sz w:val="18"/>
                <w:szCs w:val="18"/>
                <w:color w:val="auto"/>
              </w:rPr>
              <w:t>— %</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7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Centura Healthcare</w:t>
            </w:r>
          </w:p>
        </w:tc>
        <w:tc>
          <w:tcPr>
            <w:tcW w:w="2480" w:type="dxa"/>
            <w:vAlign w:val="bottom"/>
            <w:gridSpan w:val="3"/>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Predecessor 2016 and 2006 Equity Incentive Plans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 the 2006 Equity Incentive Plan (2006 Plan), the Company was authorized to grant incentive stock options, non-statutory stock options, stock appreciation rights, restricted stock awards and RSUs. No additional awards may be granted under the 2006 Plan.</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 Awards granted under the 2016 Plan or the 2006 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Equity Incentive Plan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number of shares reserved for issuance under the 2020 Plan is 1,893,395, plus an annual increase added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 Up to 1,893,395 shares of our common stock that may be issued under the 2020 Plan may be issued in satisfaction of incentive stock option awards.</w:t>
      </w:r>
    </w:p>
    <w:p>
      <w:pPr>
        <w:spacing w:after="0" w:line="6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was 630,685 at December 31,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Effective with our IPO in October 2020, the Company’s Board of Directors and its stockholders approved the Company’s Employee Stock Purchase Plan (ESPP). A total of 338,106 shares of our common stock have been reserved for issuance under the ESPP. The maximum number of shares of our common stock available under the ESPP will automatically increase on the first trading day of each calendar year by an amount equal to the lesser of (i) 1% of the shares of our common stock issued and outstanding on December 31st of the immediately preceding calendar year, and (ii) an amount determined by our Board of Directors.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29" w:name="page130"/>
    <w:bookmarkEnd w:id="129"/>
    <w:p>
      <w:pPr>
        <w:jc w:val="both"/>
        <w:spacing w:after="0" w:line="243" w:lineRule="auto"/>
        <w:rPr>
          <w:sz w:val="20"/>
          <w:szCs w:val="20"/>
          <w:color w:val="auto"/>
        </w:rPr>
      </w:pPr>
      <w:r>
        <w:rPr>
          <w:rFonts w:ascii="Arial" w:cs="Arial" w:eastAsia="Arial" w:hAnsi="Arial"/>
          <w:sz w:val="18"/>
          <w:szCs w:val="18"/>
          <w:color w:val="auto"/>
        </w:rPr>
        <w:t>offering period, whichever is lower. No employee may participate in an offering period if the employee owns 5% or more of the total combined voting power or value of the Company’s stock. The initial offering period was from January 1, 2021 through August 31, 2021. On a go-forward basis, the ESPP provides for successive six-month offering periods beginning on September 1st and March 1st of each year. As of December 31, 2021, 42,855 shares have been issued under the ESPP leaving 295,251 shares remaining for future issuance.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Awards Granted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granted incentive stock options, non-statutory stock options, performance-based stock options, and RSUs.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3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3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Performance-based stock options are typically granted on an annual basis and consist of a performance-based and service-based component. The performance targets and vesting conditions for performance-condition options are based on achievement of recognized revenue targets. Performance-based options vest in three equal annual installments beginning one year after the grant date, pending certification of performance achievement by the Compensation Committee and continued service. The fair value of performance-condition awards is based on the closing market price of the Company’s common stock on the grant date. On January 1, 2019, the Company granted 168,466 performance-condition options, with an exercise price of $0.77 per share and a term of ten years. During the year ended December 31, 2021 and 2020, the performance-conditions were met and 56,156 options and 56,155 options, respectively, vested. During the year ended December 31, 2019, the performance-conditions were not met and 56,155 options were forfeited.</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 To date, the Company has granted service-condition RSUs.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Bonus-To-Options Program</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also has a Bonus-to-Options Program (the “Bonus Option Program”), is separate from predecessor Plans and was initially adopted by the Board of Directors in 2008, and subsequently amended and restated in 2010, 2011 and 2015. For fiscal year 2022, the Bonus Option Program is subject to the shares reserved under the 2020 Plan. The Bonus Option Program, which is limited to participation of the Chief Executive Officer, direct reports to the Chief Executive Officer and Vice Presidents of the Company, allows participants who so elect to convert all or a portion of their annual cash bonus into fully vested, non-qualified stock options to purchase shares of common stock (Bonus Options). The exercise price for the options under the Bonus Option Program equals the then current price for the shares of the common stock as of the grant date, as disclosed below under “</w:t>
      </w:r>
      <w:r>
        <w:rPr>
          <w:rFonts w:ascii="Arial" w:cs="Arial" w:eastAsia="Arial" w:hAnsi="Arial"/>
          <w:sz w:val="17"/>
          <w:szCs w:val="17"/>
          <w:i w:val="1"/>
          <w:iCs w:val="1"/>
          <w:color w:val="auto"/>
        </w:rPr>
        <w:t>Fair Value of Common Stock</w:t>
      </w:r>
      <w:r>
        <w:rPr>
          <w:rFonts w:ascii="Arial" w:cs="Arial" w:eastAsia="Arial" w:hAnsi="Arial"/>
          <w:sz w:val="17"/>
          <w:szCs w:val="17"/>
          <w:color w:val="auto"/>
        </w:rPr>
        <w:t>”. Bonus Options issued must be exercised within a ten-year term.</w:t>
      </w:r>
    </w:p>
    <w:p>
      <w:pPr>
        <w:spacing w:after="0" w:line="7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Company recorded the following activity related to the Bonus Option Program during the year ended December 31, 2021 (in thousands, excepted weighted average exercise price and weighted average contractual life):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86"/>
              </w:rPr>
              <w:t>Exercise</w:t>
            </w:r>
          </w:p>
        </w:tc>
        <w:tc>
          <w:tcPr>
            <w:tcW w:w="260" w:type="dxa"/>
            <w:vAlign w:val="bottom"/>
          </w:tcPr>
          <w:p>
            <w:pPr>
              <w:spacing w:after="0"/>
              <w:rPr>
                <w:sz w:val="15"/>
                <w:szCs w:val="15"/>
                <w:color w:val="auto"/>
              </w:rPr>
            </w:pPr>
          </w:p>
        </w:tc>
        <w:tc>
          <w:tcPr>
            <w:tcW w:w="1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1"/>
              </w:rPr>
              <w:t>Options</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January 1, 2021</w:t>
            </w: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11.11</w:t>
            </w:r>
          </w:p>
        </w:tc>
        <w:tc>
          <w:tcPr>
            <w:tcW w:w="260" w:type="dxa"/>
            <w:vAlign w:val="bottom"/>
            <w:shd w:val="clear" w:color="auto" w:fill="CFF0FC"/>
          </w:tcPr>
          <w:p>
            <w:pPr>
              <w:spacing w:after="0"/>
              <w:rPr>
                <w:sz w:val="17"/>
                <w:szCs w:val="17"/>
                <w:color w:val="auto"/>
              </w:rPr>
            </w:pPr>
          </w:p>
        </w:tc>
        <w:tc>
          <w:tcPr>
            <w:tcW w:w="17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20.67</w:t>
            </w: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Forfeited/canceled</w:t>
            </w: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(46 )</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20.03</w:t>
            </w:r>
          </w:p>
        </w:tc>
        <w:tc>
          <w:tcPr>
            <w:tcW w:w="260" w:type="dxa"/>
            <w:vAlign w:val="bottom"/>
            <w:shd w:val="clear" w:color="auto" w:fill="CFF0FC"/>
          </w:tcPr>
          <w:p>
            <w:pPr>
              <w:spacing w:after="0"/>
              <w:rPr>
                <w:sz w:val="17"/>
                <w:szCs w:val="17"/>
                <w:color w:val="auto"/>
              </w:rPr>
            </w:pPr>
          </w:p>
        </w:tc>
        <w:tc>
          <w:tcPr>
            <w:tcW w:w="17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Exercised</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7.69</w:t>
            </w:r>
          </w:p>
        </w:tc>
        <w:tc>
          <w:tcPr>
            <w:tcW w:w="2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2021</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373</w:t>
            </w: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17.00</w:t>
            </w:r>
          </w:p>
        </w:tc>
        <w:tc>
          <w:tcPr>
            <w:tcW w:w="260" w:type="dxa"/>
            <w:vAlign w:val="bottom"/>
            <w:tcBorders>
              <w:bottom w:val="single" w:sz="8" w:color="CFF0FC"/>
            </w:tcBorders>
            <w:shd w:val="clear" w:color="auto" w:fill="CFF0FC"/>
          </w:tcPr>
          <w:p>
            <w:pPr>
              <w:spacing w:after="0"/>
              <w:rPr>
                <w:sz w:val="20"/>
                <w:szCs w:val="20"/>
                <w:color w:val="auto"/>
              </w:rPr>
            </w:pPr>
          </w:p>
        </w:tc>
        <w:tc>
          <w:tcPr>
            <w:tcW w:w="17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line="183" w:lineRule="exact"/>
              <w:rPr>
                <w:sz w:val="20"/>
                <w:szCs w:val="20"/>
                <w:color w:val="auto"/>
              </w:rPr>
            </w:pPr>
            <w:r>
              <w:rPr>
                <w:rFonts w:ascii="Arial" w:cs="Arial" w:eastAsia="Arial" w:hAnsi="Arial"/>
                <w:sz w:val="18"/>
                <w:szCs w:val="18"/>
                <w:color w:val="auto"/>
              </w:rPr>
              <w:t xml:space="preserve">Exercisable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2021</w:t>
            </w:r>
          </w:p>
        </w:tc>
        <w:tc>
          <w:tcPr>
            <w:tcW w:w="1480" w:type="dxa"/>
            <w:vAlign w:val="bottom"/>
            <w:gridSpan w:val="2"/>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8"/>
                <w:szCs w:val="18"/>
                <w:color w:val="auto"/>
              </w:rPr>
              <w:t>373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line="183" w:lineRule="exact"/>
              <w:rPr>
                <w:sz w:val="20"/>
                <w:szCs w:val="20"/>
                <w:color w:val="auto"/>
              </w:rPr>
            </w:pPr>
            <w:r>
              <w:rPr>
                <w:rFonts w:ascii="Arial" w:cs="Arial" w:eastAsia="Arial" w:hAnsi="Arial"/>
                <w:sz w:val="18"/>
                <w:szCs w:val="18"/>
                <w:color w:val="auto"/>
              </w:rPr>
              <w:t>17.00</w:t>
            </w:r>
          </w:p>
        </w:tc>
        <w:tc>
          <w:tcPr>
            <w:tcW w:w="20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7.5</w:t>
            </w:r>
          </w:p>
        </w:tc>
        <w:tc>
          <w:tcPr>
            <w:tcW w:w="3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-179705</wp:posOffset>
            </wp:positionV>
            <wp:extent cx="596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-162560</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-179705</wp:posOffset>
            </wp:positionV>
            <wp:extent cx="431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-162560</wp:posOffset>
            </wp:positionV>
            <wp:extent cx="431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-179705</wp:posOffset>
            </wp:positionV>
            <wp:extent cx="342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-162560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-179705</wp:posOffset>
            </wp:positionV>
            <wp:extent cx="342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recorded $0.8 million and $3.4 million during the years ended December 31, 2021 and 2020, respectively, associated with the estimate of options to be delivered to eligible participants under the Bonus Option Program and which were granted in February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0" w:name="page131"/>
    <w:bookmarkEnd w:id="130"/>
    <w:p>
      <w:pPr>
        <w:jc w:val="both"/>
        <w:spacing w:after="0" w:line="259" w:lineRule="auto"/>
        <w:rPr>
          <w:sz w:val="20"/>
          <w:szCs w:val="20"/>
          <w:color w:val="auto"/>
        </w:rPr>
      </w:pPr>
      <w:r>
        <w:rPr>
          <w:rFonts w:ascii="Arial" w:cs="Arial" w:eastAsia="Arial" w:hAnsi="Arial"/>
          <w:sz w:val="17"/>
          <w:szCs w:val="17"/>
          <w:color w:val="auto"/>
        </w:rPr>
        <w:t>2022 and 2021 by the Compensation Committee of the Board of Directors. In determining the amount of stock compensation to recognize under the Bonus Option Program, the Company estimates the bonus attainment for the year and determines the expected number of options to be delivered to eligible participants. A Black-Scholes option pricing model is used to determine the estimated fair value of the expected number of options to be delivered to eligible participants. The key elements in determining the estimated fair value include assumptions for volatility, the risk-free interest rate, expected dividends and strike price, utilizing the measurement date closing stock price until the grants are authorized.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Pre-tax share-based compensation expense reported in the Company’s statements of operations was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4"/>
              </w:rPr>
              <w:t>Year Ended December 31,</w:t>
            </w:r>
          </w:p>
        </w:tc>
        <w:tc>
          <w:tcPr>
            <w:tcW w:w="1620" w:type="dxa"/>
            <w:vAlign w:val="bottom"/>
            <w:tcBorders>
              <w:bottom w:val="single" w:sz="8" w:color="auto"/>
            </w:tcBorders>
          </w:tcPr>
          <w:p>
            <w:pPr>
              <w:spacing w:after="0"/>
              <w:rPr>
                <w:sz w:val="19"/>
                <w:szCs w:val="19"/>
                <w:color w:val="auto"/>
              </w:rPr>
            </w:pPr>
          </w:p>
        </w:tc>
      </w:tr>
      <w:tr>
        <w:trPr>
          <w:trHeight w:val="196"/>
        </w:trPr>
        <w:tc>
          <w:tcPr>
            <w:tcW w:w="5860" w:type="dxa"/>
            <w:vAlign w:val="bottom"/>
          </w:tcPr>
          <w:p>
            <w:pPr>
              <w:spacing w:after="0"/>
              <w:rPr>
                <w:sz w:val="17"/>
                <w:szCs w:val="17"/>
                <w:color w:val="auto"/>
              </w:rPr>
            </w:pPr>
          </w:p>
        </w:tc>
        <w:tc>
          <w:tcPr>
            <w:tcW w:w="15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050"/>
              <w:spacing w:after="0" w:line="196" w:lineRule="exact"/>
              <w:rPr>
                <w:sz w:val="20"/>
                <w:szCs w:val="20"/>
                <w:color w:val="auto"/>
              </w:rPr>
            </w:pPr>
            <w:r>
              <w:rPr>
                <w:rFonts w:ascii="Arial" w:cs="Arial" w:eastAsia="Arial" w:hAnsi="Arial"/>
                <w:sz w:val="18"/>
                <w:szCs w:val="18"/>
                <w:b w:val="1"/>
                <w:bCs w:val="1"/>
                <w:color w:val="auto"/>
              </w:rPr>
              <w:t>2020</w:t>
            </w:r>
          </w:p>
        </w:tc>
      </w:tr>
      <w:tr>
        <w:trPr>
          <w:trHeight w:val="196"/>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Direct costs and expenses</w:t>
            </w:r>
          </w:p>
        </w:tc>
        <w:tc>
          <w:tcPr>
            <w:tcW w:w="1520" w:type="dxa"/>
            <w:vAlign w:val="bottom"/>
            <w:shd w:val="clear" w:color="auto" w:fill="CCEEFF"/>
          </w:tcPr>
          <w:p>
            <w:pPr>
              <w:jc w:val="right"/>
              <w:ind w:right="13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52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572</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589</w:t>
            </w:r>
          </w:p>
        </w:tc>
      </w:tr>
      <w:tr>
        <w:trPr>
          <w:trHeight w:val="203"/>
        </w:trPr>
        <w:tc>
          <w:tcPr>
            <w:tcW w:w="5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Sales, marketing, general and administrative</w:t>
            </w:r>
          </w:p>
        </w:tc>
        <w:tc>
          <w:tcPr>
            <w:tcW w:w="15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4,323</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3,120</w:t>
            </w:r>
          </w:p>
        </w:tc>
      </w:tr>
      <w:tr>
        <w:trPr>
          <w:trHeight w:val="196"/>
        </w:trPr>
        <w:tc>
          <w:tcPr>
            <w:tcW w:w="58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520" w:type="dxa"/>
            <w:vAlign w:val="bottom"/>
          </w:tcPr>
          <w:p>
            <w:pPr>
              <w:jc w:val="right"/>
              <w:ind w:right="13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4,944</w:t>
            </w:r>
          </w:p>
        </w:tc>
        <w:tc>
          <w:tcPr>
            <w:tcW w:w="1200" w:type="dxa"/>
            <w:vAlign w:val="bottom"/>
            <w:gridSpan w:val="2"/>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16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3,709</w:t>
            </w:r>
          </w:p>
        </w:tc>
      </w:tr>
      <w:tr>
        <w:trPr>
          <w:trHeight w:val="20"/>
        </w:trPr>
        <w:tc>
          <w:tcPr>
            <w:tcW w:w="58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-159385</wp:posOffset>
            </wp:positionV>
            <wp:extent cx="17145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2">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unrecognized remaining share-based compensation expense for options and RSUs was approximately $7.8 million as of December 31, 2021, and is expected to be amortized to expense over the next 3.8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Stock option activity during the year ended December 31, 2021, excluding the Bonus Option Program described above, was (in thousands, except weighted average exercise price and weighted average contractual life):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7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ind w:right="310"/>
              <w:spacing w:after="0" w:line="176"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jc w:val="center"/>
              <w:ind w:right="330"/>
              <w:spacing w:after="0" w:line="176" w:lineRule="exact"/>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5"/>
                <w:szCs w:val="15"/>
                <w:color w:val="auto"/>
              </w:rPr>
            </w:pPr>
          </w:p>
        </w:tc>
        <w:tc>
          <w:tcPr>
            <w:tcW w:w="17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19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18"/>
                <w:szCs w:val="18"/>
                <w:color w:val="auto"/>
              </w:rPr>
            </w:pPr>
          </w:p>
        </w:tc>
        <w:tc>
          <w:tcPr>
            <w:tcW w:w="17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Life (Years)</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96"/>
        </w:trPr>
        <w:tc>
          <w:tcPr>
            <w:tcW w:w="4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 January 1, 2021</w:t>
            </w:r>
          </w:p>
        </w:tc>
        <w:tc>
          <w:tcPr>
            <w:tcW w:w="17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2,321</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42,580</w:t>
            </w: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7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1,190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17.87</w:t>
            </w:r>
          </w:p>
        </w:tc>
        <w:tc>
          <w:tcPr>
            <w:tcW w:w="160" w:type="dxa"/>
            <w:vAlign w:val="bottom"/>
          </w:tcPr>
          <w:p>
            <w:pPr>
              <w:spacing w:after="0"/>
              <w:rPr>
                <w:sz w:val="17"/>
                <w:szCs w:val="17"/>
                <w:color w:val="auto"/>
              </w:rPr>
            </w:pP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Forfeited/canceled</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(225 )</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line="202" w:lineRule="exact"/>
              <w:rPr>
                <w:sz w:val="20"/>
                <w:szCs w:val="20"/>
                <w:color w:val="auto"/>
              </w:rPr>
            </w:pPr>
            <w:r>
              <w:rPr>
                <w:rFonts w:ascii="Arial" w:cs="Arial" w:eastAsia="Arial" w:hAnsi="Arial"/>
                <w:sz w:val="18"/>
                <w:szCs w:val="18"/>
                <w:color w:val="auto"/>
              </w:rPr>
              <w:t>Exercised</w:t>
            </w: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(408 )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17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 xml:space="preserve">Outstanding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2021</w:t>
            </w:r>
          </w:p>
        </w:tc>
        <w:tc>
          <w:tcPr>
            <w:tcW w:w="17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2,878</w:t>
            </w: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8.08</w:t>
            </w: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183"/>
        </w:trPr>
        <w:tc>
          <w:tcPr>
            <w:tcW w:w="4040" w:type="dxa"/>
            <w:vAlign w:val="bottom"/>
          </w:tcPr>
          <w:p>
            <w:pPr>
              <w:ind w:left="20"/>
              <w:spacing w:after="0" w:line="183" w:lineRule="exact"/>
              <w:rPr>
                <w:sz w:val="20"/>
                <w:szCs w:val="20"/>
                <w:color w:val="auto"/>
              </w:rPr>
            </w:pPr>
            <w:r>
              <w:rPr>
                <w:rFonts w:ascii="Arial" w:cs="Arial" w:eastAsia="Arial" w:hAnsi="Arial"/>
                <w:sz w:val="18"/>
                <w:szCs w:val="18"/>
                <w:color w:val="auto"/>
              </w:rPr>
              <w:t xml:space="preserve">Exercisable </w:t>
            </w:r>
            <w:r>
              <w:rPr>
                <w:rFonts w:ascii="MS PGothic" w:cs="MS PGothic" w:eastAsia="MS PGothic" w:hAnsi="MS PGothic"/>
                <w:sz w:val="18"/>
                <w:szCs w:val="18"/>
                <w:color w:val="auto"/>
              </w:rPr>
              <w:t>‑</w:t>
            </w:r>
            <w:r>
              <w:rPr>
                <w:rFonts w:ascii="Arial" w:cs="Arial" w:eastAsia="Arial" w:hAnsi="Arial"/>
                <w:sz w:val="18"/>
                <w:szCs w:val="18"/>
                <w:color w:val="auto"/>
              </w:rPr>
              <w:t xml:space="preserve"> December 31, 2021</w:t>
            </w:r>
          </w:p>
        </w:tc>
        <w:tc>
          <w:tcPr>
            <w:tcW w:w="1760" w:type="dxa"/>
            <w:vAlign w:val="bottom"/>
          </w:tcPr>
          <w:p>
            <w:pPr>
              <w:jc w:val="right"/>
              <w:ind w:right="50"/>
              <w:spacing w:after="0" w:line="183" w:lineRule="exact"/>
              <w:rPr>
                <w:sz w:val="20"/>
                <w:szCs w:val="20"/>
                <w:color w:val="auto"/>
              </w:rPr>
            </w:pPr>
            <w:r>
              <w:rPr>
                <w:rFonts w:ascii="Arial" w:cs="Arial" w:eastAsia="Arial" w:hAnsi="Arial"/>
                <w:sz w:val="18"/>
                <w:szCs w:val="18"/>
                <w:color w:val="auto"/>
              </w:rPr>
              <w:t>1,428</w:t>
            </w:r>
          </w:p>
        </w:tc>
        <w:tc>
          <w:tcPr>
            <w:tcW w:w="48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line="183" w:lineRule="exact"/>
              <w:rPr>
                <w:sz w:val="20"/>
                <w:szCs w:val="20"/>
                <w:color w:val="auto"/>
              </w:rPr>
            </w:pPr>
            <w:r>
              <w:rPr>
                <w:rFonts w:ascii="Arial" w:cs="Arial" w:eastAsia="Arial" w:hAnsi="Arial"/>
                <w:sz w:val="18"/>
                <w:szCs w:val="18"/>
                <w:color w:val="auto"/>
              </w:rPr>
              <w:t>5.02</w:t>
            </w:r>
          </w:p>
        </w:tc>
        <w:tc>
          <w:tcPr>
            <w:tcW w:w="190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6.7</w:t>
            </w:r>
          </w:p>
        </w:tc>
        <w:tc>
          <w:tcPr>
            <w:tcW w:w="34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-179070</wp:posOffset>
            </wp:positionV>
            <wp:extent cx="1200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-162560</wp:posOffset>
            </wp:positionV>
            <wp:extent cx="12001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-179070</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-162560</wp:posOffset>
            </wp:positionV>
            <wp:extent cx="11112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111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Prior to the Company’s IPO, the fair value of the Company’s common stock underlying the stock options was determined by the Board of Directors with assistance from management and, in part, on input from an independent third-party valuation firm. The Board of Directors determined the fair value of common stock by considering a number of objective and subjective factors, including valuations of comparable companies, sales of convertible preferred stock, operating and financial performance, the lack of liquidity of the Company’s common stock and the general and industry-specific economic outlook. Subsequent to the Company’s IPO, the fair value of the Company’s common stock is determined based on its closing market price on the date of grant.</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estimated grant date fair value of stock options was calculated using the Black-Scholes option-pricing model, based on the following assumptions:</w:t>
      </w:r>
    </w:p>
    <w:p>
      <w:pPr>
        <w:spacing w:after="0" w:line="127" w:lineRule="exact"/>
        <w:rPr>
          <w:sz w:val="20"/>
          <w:szCs w:val="20"/>
          <w:color w:val="auto"/>
        </w:rPr>
      </w:pPr>
    </w:p>
    <w:p>
      <w:pPr>
        <w:ind w:left="900" w:hanging="383"/>
        <w:spacing w:after="0" w:line="261"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options granted are expected to be outstanding using the simplified method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mid-point between the vesting date and the end of the contractual term).</w:t>
      </w:r>
    </w:p>
    <w:p>
      <w:pPr>
        <w:spacing w:after="0" w:line="62"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an average historical stock price of selected comparable companies over the expected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the Company does not have sufficient trading history for its common stock.</w:t>
      </w:r>
    </w:p>
    <w:p>
      <w:pPr>
        <w:spacing w:after="0" w:line="62" w:lineRule="exact"/>
        <w:rPr>
          <w:rFonts w:ascii="Arial" w:cs="Arial" w:eastAsia="Arial" w:hAnsi="Arial"/>
          <w:sz w:val="18"/>
          <w:szCs w:val="18"/>
          <w:color w:val="auto"/>
        </w:rPr>
      </w:pPr>
    </w:p>
    <w:p>
      <w:pPr>
        <w:ind w:left="900" w:right="20" w:hanging="383"/>
        <w:spacing w:after="0" w:line="261"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Company uses the risk-free interest rate over the expected term of the options based on the constant maturity rate</w:t>
      </w:r>
      <w:r>
        <w:rPr>
          <w:rFonts w:ascii="Arial" w:cs="Arial" w:eastAsia="Arial" w:hAnsi="Arial"/>
          <w:sz w:val="18"/>
          <w:szCs w:val="18"/>
          <w:i w:val="1"/>
          <w:iCs w:val="1"/>
          <w:color w:val="auto"/>
        </w:rPr>
        <w:t xml:space="preserve"> </w:t>
      </w:r>
      <w:r>
        <w:rPr>
          <w:rFonts w:ascii="Arial" w:cs="Arial" w:eastAsia="Arial" w:hAnsi="Arial"/>
          <w:sz w:val="18"/>
          <w:szCs w:val="18"/>
          <w:color w:val="auto"/>
        </w:rPr>
        <w:t>of U.S. Treasury securities with similar maturities as of the date of the grant.</w:t>
      </w:r>
    </w:p>
    <w:p>
      <w:pPr>
        <w:spacing w:after="0" w:line="62" w:lineRule="exact"/>
        <w:rPr>
          <w:rFonts w:ascii="Arial" w:cs="Arial" w:eastAsia="Arial" w:hAnsi="Arial"/>
          <w:sz w:val="18"/>
          <w:szCs w:val="18"/>
          <w:color w:val="auto"/>
        </w:rPr>
      </w:pPr>
    </w:p>
    <w:p>
      <w:pPr>
        <w:jc w:val="both"/>
        <w:ind w:left="900" w:right="20" w:hanging="383"/>
        <w:spacing w:after="0" w:line="24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is currently subject to restrictions on the payment of dividends (see Note 8 -</w:t>
      </w:r>
      <w:r>
        <w:rPr>
          <w:rFonts w:ascii="Arial" w:cs="Arial" w:eastAsia="Arial" w:hAnsi="Arial"/>
          <w:sz w:val="18"/>
          <w:szCs w:val="18"/>
          <w:i w:val="1"/>
          <w:iCs w:val="1"/>
          <w:color w:val="auto"/>
        </w:rPr>
        <w:t xml:space="preserve"> Debt</w:t>
      </w:r>
      <w:r>
        <w:rPr>
          <w:rFonts w:ascii="Arial" w:cs="Arial" w:eastAsia="Arial" w:hAnsi="Arial"/>
          <w:sz w:val="18"/>
          <w:szCs w:val="18"/>
          <w:color w:val="auto"/>
        </w:rPr>
        <w:t>) and no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declared as of December 31, 2021 and 2020. The Company has not paid and does not anticipate paying any dividends in the near future. Therefore, the expected dividend yield was zero.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1" w:name="page132"/>
    <w:bookmarkEnd w:id="131"/>
    <w:p>
      <w:pPr>
        <w:ind w:right="20"/>
        <w:spacing w:after="0" w:line="261" w:lineRule="auto"/>
        <w:rPr>
          <w:sz w:val="20"/>
          <w:szCs w:val="20"/>
          <w:color w:val="auto"/>
        </w:rPr>
      </w:pPr>
      <w:r>
        <w:rPr>
          <w:rFonts w:ascii="Arial" w:cs="Arial" w:eastAsia="Arial" w:hAnsi="Arial"/>
          <w:sz w:val="18"/>
          <w:szCs w:val="18"/>
          <w:color w:val="auto"/>
        </w:rPr>
        <w:t>The fair value of each option grant was estimated on the grant date with the following weighted average assumptions for the years ended December 31, 2021 and 2020:</w:t>
      </w:r>
    </w:p>
    <w:p>
      <w:pPr>
        <w:spacing w:after="0" w:line="72"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6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2020</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6.01</w:t>
            </w:r>
          </w:p>
        </w:tc>
        <w:tc>
          <w:tcPr>
            <w:tcW w:w="2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5.73</w:t>
            </w: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color w:val="auto"/>
              </w:rPr>
              <w:t>68.5 %</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77.0 %</w:t>
            </w:r>
          </w:p>
        </w:tc>
      </w:tr>
      <w:tr>
        <w:trPr>
          <w:trHeight w:val="229"/>
        </w:trPr>
        <w:tc>
          <w:tcPr>
            <w:tcW w:w="75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0.79 %</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0.34 %</w:t>
            </w:r>
          </w:p>
        </w:tc>
      </w:tr>
      <w:tr>
        <w:trPr>
          <w:trHeight w:val="243"/>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year ended December 31, 2021, the Company granted 71,707 service-condition RSUs. As of December 31, 2021, there were 150,811 RSUs outstanding, with a weighted average grant date fair value of $5.30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Net Loss per Common Share</w:t>
      </w:r>
    </w:p>
    <w:p>
      <w:pPr>
        <w:spacing w:after="0" w:line="108"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the Company’s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or losses of the Company.</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In connection with the acquisition of Indi in 2018, the Company recorded contingent consideration (See Note 4 – </w:t>
      </w:r>
      <w:r>
        <w:rPr>
          <w:rFonts w:ascii="Arial" w:cs="Arial" w:eastAsia="Arial" w:hAnsi="Arial"/>
          <w:sz w:val="17"/>
          <w:szCs w:val="17"/>
          <w:i w:val="1"/>
          <w:iCs w:val="1"/>
          <w:color w:val="auto"/>
        </w:rPr>
        <w:t>Fair Value</w:t>
      </w:r>
      <w:r>
        <w:rPr>
          <w:rFonts w:ascii="Arial" w:cs="Arial" w:eastAsia="Arial" w:hAnsi="Arial"/>
          <w:sz w:val="17"/>
          <w:szCs w:val="17"/>
          <w:color w:val="auto"/>
        </w:rPr>
        <w:t>) for amounts contingently payable to Indi's selling shareholders pursuant to the terms of the asset purchase agreement. The contingent consideration arrangement requires additional consideration to be paid by the Company to Indi upon attainment of a three-consecutive month gross margin target of $2.0 million within the seven-year period after the acquisition date. If the gross margin target was met, the Company was required to issue 2,520,108 shares of common stock. The Company met the gross margin target of $2.0 million for three consecutive months during the three months ended June 30, 2021. In August 2021, the Company entered into an amendment of the original agreement in which all parties agreed to forgo the issuance of common stock. As a result of the achievement of the gross margin target, the Company included the 2,520,108 shares of common stock in the calculation of weighted-average shares outstanding used in computing basic and diluted net loss per share from the date the gross margin target was met until the amendment was executed. These shares are not included in the statements of convertible preferred stock and stockholders' equity (deficit) or shares issued and outstanding in the accompanying balance sheets.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loss per share for the years ended December 31, 2021 and 2020 were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00" w:type="dxa"/>
            <w:vAlign w:val="bottom"/>
          </w:tcPr>
          <w:p>
            <w:pPr>
              <w:spacing w:after="0"/>
              <w:rPr>
                <w:sz w:val="19"/>
                <w:szCs w:val="19"/>
                <w:color w:val="auto"/>
              </w:rPr>
            </w:pPr>
          </w:p>
        </w:tc>
        <w:tc>
          <w:tcPr>
            <w:tcW w:w="32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160" w:type="dxa"/>
            <w:vAlign w:val="bottom"/>
          </w:tcPr>
          <w:p>
            <w:pPr>
              <w:jc w:val="right"/>
              <w:ind w:right="9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4"/>
              </w:rPr>
              <w:t>(43,159 )</w:t>
            </w:r>
          </w:p>
        </w:tc>
        <w:tc>
          <w:tcPr>
            <w:tcW w:w="1160" w:type="dxa"/>
            <w:vAlign w:val="bottom"/>
          </w:tcPr>
          <w:p>
            <w:pPr>
              <w:jc w:val="right"/>
              <w:ind w:right="950"/>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4"/>
              </w:rPr>
              <w:t>(31,350 )</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Denominator</w:t>
            </w: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00" w:type="dxa"/>
            <w:vAlign w:val="bottom"/>
            <w:shd w:val="clear" w:color="auto" w:fill="CCEEFF"/>
          </w:tcPr>
          <w:p>
            <w:pPr>
              <w:ind w:left="200"/>
              <w:spacing w:after="0" w:line="162" w:lineRule="exact"/>
              <w:rPr>
                <w:sz w:val="20"/>
                <w:szCs w:val="20"/>
                <w:color w:val="auto"/>
              </w:rPr>
            </w:pPr>
            <w:r>
              <w:rPr>
                <w:rFonts w:ascii="Arial" w:cs="Arial" w:eastAsia="Arial" w:hAnsi="Arial"/>
                <w:sz w:val="18"/>
                <w:szCs w:val="18"/>
                <w:color w:val="auto"/>
              </w:rPr>
              <w:t>Weighted-average shares outstanding used</w:t>
            </w:r>
          </w:p>
        </w:tc>
        <w:tc>
          <w:tcPr>
            <w:tcW w:w="1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in computing net loss per share, basic and diluted</w:t>
            </w:r>
          </w:p>
        </w:tc>
        <w:tc>
          <w:tcPr>
            <w:tcW w:w="1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1160" w:type="dxa"/>
            <w:vAlign w:val="bottom"/>
          </w:tcPr>
          <w:p>
            <w:pPr>
              <w:jc w:val="right"/>
              <w:ind w:right="9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(1.58 )</w:t>
            </w:r>
          </w:p>
        </w:tc>
        <w:tc>
          <w:tcPr>
            <w:tcW w:w="116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(6.48 )</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-159385</wp:posOffset>
            </wp:positionV>
            <wp:extent cx="5969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potentially dilutive securities as of December 31, 2021 and 2020 primarily represent the shares subject to future issuance under stock options awards, warrants, RSUs, and shares subject to purchase under our employee stock purchase plan and would be subject to the treasury stock method when dilutive the terms of which are described in further detail in Note 12 – </w:t>
      </w:r>
      <w:r>
        <w:rPr>
          <w:rFonts w:ascii="Arial" w:cs="Arial" w:eastAsia="Arial" w:hAnsi="Arial"/>
          <w:sz w:val="16"/>
          <w:szCs w:val="16"/>
          <w:i w:val="1"/>
          <w:iCs w:val="1"/>
          <w:color w:val="auto"/>
        </w:rPr>
        <w:t>Share Based Compensation</w:t>
      </w:r>
      <w:r>
        <w:rPr>
          <w:rFonts w:ascii="Arial" w:cs="Arial" w:eastAsia="Arial" w:hAnsi="Arial"/>
          <w:sz w:val="16"/>
          <w:szCs w:val="16"/>
          <w:color w:val="auto"/>
        </w:rPr>
        <w:t>. The following outstanding common stock equivalents were excluded from diluted net loss attributable to common stockholders for the periods presented because inclusion would be anti-dilutive (in thousands):</w:t>
      </w:r>
    </w:p>
    <w:p>
      <w:pPr>
        <w:spacing w:after="0" w:line="84"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1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2"/>
          </w:tcPr>
          <w:p>
            <w:pPr>
              <w:jc w:val="right"/>
              <w:ind w:right="650"/>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to purchase common stock</w:t>
            </w:r>
          </w:p>
        </w:tc>
        <w:tc>
          <w:tcPr>
            <w:tcW w:w="1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3,251</w:t>
            </w:r>
          </w:p>
        </w:tc>
        <w:tc>
          <w:tcPr>
            <w:tcW w:w="220" w:type="dxa"/>
            <w:vAlign w:val="bottom"/>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2,495</w:t>
            </w:r>
          </w:p>
        </w:tc>
        <w:tc>
          <w:tcPr>
            <w:tcW w:w="60" w:type="dxa"/>
            <w:vAlign w:val="bottom"/>
            <w:shd w:val="clear" w:color="auto" w:fill="CCEEFF"/>
          </w:tcPr>
          <w:p>
            <w:pPr>
              <w:spacing w:after="0"/>
              <w:rPr>
                <w:sz w:val="17"/>
                <w:szCs w:val="17"/>
                <w:color w:val="auto"/>
              </w:rPr>
            </w:pPr>
          </w:p>
        </w:tc>
      </w:tr>
      <w:tr>
        <w:trPr>
          <w:trHeight w:val="203"/>
        </w:trPr>
        <w:tc>
          <w:tcPr>
            <w:tcW w:w="8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committed under ESPP</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Warrants</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2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7"/>
                <w:szCs w:val="17"/>
                <w:color w:val="auto"/>
              </w:rPr>
            </w:pPr>
          </w:p>
        </w:tc>
      </w:tr>
      <w:tr>
        <w:trPr>
          <w:trHeight w:val="203"/>
        </w:trPr>
        <w:tc>
          <w:tcPr>
            <w:tcW w:w="85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w:t>
            </w:r>
          </w:p>
        </w:tc>
        <w:tc>
          <w:tcPr>
            <w:tcW w:w="60" w:type="dxa"/>
            <w:vAlign w:val="bottom"/>
          </w:tcPr>
          <w:p>
            <w:pPr>
              <w:spacing w:after="0"/>
              <w:rPr>
                <w:sz w:val="17"/>
                <w:szCs w:val="17"/>
                <w:color w:val="auto"/>
              </w:rPr>
            </w:pPr>
          </w:p>
        </w:tc>
      </w:tr>
      <w:tr>
        <w:trPr>
          <w:trHeight w:val="236"/>
        </w:trPr>
        <w:tc>
          <w:tcPr>
            <w:tcW w:w="72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3,535</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615"/>
        </w:trPr>
        <w:tc>
          <w:tcPr>
            <w:tcW w:w="8540" w:type="dxa"/>
            <w:vAlign w:val="bottom"/>
            <w:gridSpan w:val="2"/>
          </w:tcPr>
          <w:p>
            <w:pPr>
              <w:ind w:left="5460"/>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-505460</wp:posOffset>
            </wp:positionV>
            <wp:extent cx="431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-488315</wp:posOffset>
            </wp:positionV>
            <wp:extent cx="431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-505460</wp:posOffset>
            </wp:positionV>
            <wp:extent cx="431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14 - Income Taxes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5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Year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71"/>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r>
      <w:tr>
        <w:trPr>
          <w:trHeight w:val="196"/>
        </w:trPr>
        <w:tc>
          <w:tcPr>
            <w:tcW w:w="7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income tax rate</w:t>
            </w: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r>
      <w:tr>
        <w:trPr>
          <w:trHeight w:val="203"/>
        </w:trPr>
        <w:tc>
          <w:tcPr>
            <w:tcW w:w="87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developments credits</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(1 )</w:t>
            </w:r>
          </w:p>
        </w:tc>
      </w:tr>
      <w:tr>
        <w:trPr>
          <w:trHeight w:val="203"/>
        </w:trPr>
        <w:tc>
          <w:tcPr>
            <w:tcW w:w="8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Permanent items</w:t>
            </w:r>
          </w:p>
        </w:tc>
        <w:tc>
          <w:tcPr>
            <w:tcW w:w="84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(1 )</w:t>
            </w:r>
          </w:p>
        </w:tc>
        <w:tc>
          <w:tcPr>
            <w:tcW w:w="16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(6 )</w:t>
            </w: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Change in valuation allowance</w:t>
            </w:r>
          </w:p>
        </w:tc>
        <w:tc>
          <w:tcPr>
            <w:tcW w:w="1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(26 )</w:t>
            </w:r>
          </w:p>
        </w:tc>
        <w:tc>
          <w:tcPr>
            <w:tcW w:w="16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(16 )</w:t>
            </w:r>
          </w:p>
        </w:tc>
      </w:tr>
      <w:tr>
        <w:trPr>
          <w:trHeight w:val="20"/>
        </w:trPr>
        <w:tc>
          <w:tcPr>
            <w:tcW w:w="75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83"/>
        </w:trPr>
        <w:tc>
          <w:tcPr>
            <w:tcW w:w="7520" w:type="dxa"/>
            <w:vAlign w:val="bottom"/>
          </w:tcPr>
          <w:p>
            <w:pPr>
              <w:ind w:left="200"/>
              <w:spacing w:after="0" w:line="169" w:lineRule="exact"/>
              <w:rPr>
                <w:sz w:val="20"/>
                <w:szCs w:val="20"/>
                <w:color w:val="auto"/>
              </w:rPr>
            </w:pPr>
            <w:r>
              <w:rPr>
                <w:rFonts w:ascii="Arial" w:cs="Arial" w:eastAsia="Arial" w:hAnsi="Arial"/>
                <w:sz w:val="18"/>
                <w:szCs w:val="18"/>
                <w:color w:val="auto"/>
              </w:rPr>
              <w:t>Effective income tax rate</w:t>
            </w:r>
          </w:p>
        </w:tc>
        <w:tc>
          <w:tcPr>
            <w:tcW w:w="1200" w:type="dxa"/>
            <w:vAlign w:val="bottom"/>
          </w:tcPr>
          <w:p>
            <w:pPr>
              <w:spacing w:after="0"/>
              <w:rPr>
                <w:sz w:val="15"/>
                <w:szCs w:val="15"/>
                <w:color w:val="auto"/>
              </w:rPr>
            </w:pPr>
          </w:p>
        </w:tc>
        <w:tc>
          <w:tcPr>
            <w:tcW w:w="840" w:type="dxa"/>
            <w:vAlign w:val="bottom"/>
            <w:gridSpan w:val="2"/>
          </w:tcPr>
          <w:p>
            <w:pPr>
              <w:jc w:val="right"/>
              <w:ind w:right="150"/>
              <w:spacing w:after="0" w:line="169" w:lineRule="exact"/>
              <w:rPr>
                <w:sz w:val="20"/>
                <w:szCs w:val="20"/>
                <w:color w:val="auto"/>
              </w:rPr>
            </w:pPr>
            <w:r>
              <w:rPr>
                <w:rFonts w:ascii="Arial" w:cs="Arial" w:eastAsia="Arial" w:hAnsi="Arial"/>
                <w:sz w:val="16"/>
                <w:szCs w:val="16"/>
                <w:color w:val="auto"/>
              </w:rPr>
              <w:t>— %</w:t>
            </w:r>
          </w:p>
        </w:tc>
        <w:tc>
          <w:tcPr>
            <w:tcW w:w="16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 %</w:t>
            </w:r>
          </w:p>
        </w:tc>
      </w:tr>
      <w:tr>
        <w:trPr>
          <w:trHeight w:val="20"/>
        </w:trPr>
        <w:tc>
          <w:tcPr>
            <w:tcW w:w="7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-150495</wp:posOffset>
            </wp:positionV>
            <wp:extent cx="14605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8">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-150495</wp:posOffset>
            </wp:positionV>
            <wp:extent cx="13716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9">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that give rise to significant portions of the deferred income tax assets and liabilities are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7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17"/>
                <w:szCs w:val="17"/>
                <w:color w:val="auto"/>
              </w:rPr>
            </w:pPr>
          </w:p>
        </w:tc>
      </w:tr>
      <w:tr>
        <w:trPr>
          <w:trHeight w:val="196"/>
        </w:trPr>
        <w:tc>
          <w:tcPr>
            <w:tcW w:w="7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61,874</w:t>
            </w:r>
          </w:p>
        </w:tc>
        <w:tc>
          <w:tcPr>
            <w:tcW w:w="260" w:type="dxa"/>
            <w:vAlign w:val="bottom"/>
          </w:tcPr>
          <w:p>
            <w:pPr>
              <w:spacing w:after="0"/>
              <w:rPr>
                <w:sz w:val="17"/>
                <w:szCs w:val="17"/>
                <w:color w:val="auto"/>
              </w:rPr>
            </w:pPr>
          </w:p>
        </w:tc>
        <w:tc>
          <w:tcPr>
            <w:tcW w:w="58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53,128</w:t>
            </w:r>
          </w:p>
        </w:tc>
        <w:tc>
          <w:tcPr>
            <w:tcW w:w="80" w:type="dxa"/>
            <w:vAlign w:val="bottom"/>
          </w:tcPr>
          <w:p>
            <w:pPr>
              <w:spacing w:after="0"/>
              <w:rPr>
                <w:sz w:val="17"/>
                <w:szCs w:val="17"/>
                <w:color w:val="auto"/>
              </w:rPr>
            </w:pPr>
          </w:p>
        </w:tc>
      </w:tr>
      <w:tr>
        <w:trPr>
          <w:trHeight w:val="203"/>
        </w:trPr>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 tax credits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3,372</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2,860</w:t>
            </w:r>
          </w:p>
        </w:tc>
        <w:tc>
          <w:tcPr>
            <w:tcW w:w="80" w:type="dxa"/>
            <w:vAlign w:val="bottom"/>
            <w:shd w:val="clear" w:color="auto" w:fill="CCEEFF"/>
          </w:tcPr>
          <w:p>
            <w:pPr>
              <w:spacing w:after="0"/>
              <w:rPr>
                <w:sz w:val="17"/>
                <w:szCs w:val="17"/>
                <w:color w:val="auto"/>
              </w:rPr>
            </w:pPr>
          </w:p>
        </w:tc>
      </w:tr>
      <w:tr>
        <w:trPr>
          <w:trHeight w:val="203"/>
        </w:trPr>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limitation</w:t>
            </w:r>
          </w:p>
        </w:tc>
        <w:tc>
          <w:tcPr>
            <w:tcW w:w="4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7"/>
                <w:szCs w:val="17"/>
                <w:color w:val="auto"/>
              </w:rPr>
            </w:pPr>
          </w:p>
        </w:tc>
      </w:tr>
      <w:tr>
        <w:trPr>
          <w:trHeight w:val="378"/>
        </w:trPr>
        <w:tc>
          <w:tcPr>
            <w:tcW w:w="75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w:t>
            </w:r>
          </w:p>
        </w:tc>
        <w:tc>
          <w:tcPr>
            <w:tcW w:w="80" w:type="dxa"/>
            <w:vAlign w:val="bottom"/>
          </w:tcPr>
          <w:p>
            <w:pPr>
              <w:spacing w:after="0"/>
              <w:rPr>
                <w:sz w:val="24"/>
                <w:szCs w:val="24"/>
                <w:color w:val="auto"/>
              </w:rPr>
            </w:pPr>
          </w:p>
        </w:tc>
      </w:tr>
      <w:tr>
        <w:trPr>
          <w:trHeight w:val="203"/>
        </w:trPr>
        <w:tc>
          <w:tcPr>
            <w:tcW w:w="758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Accruals and reserves</w:t>
            </w: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w:t>
            </w:r>
          </w:p>
        </w:tc>
        <w:tc>
          <w:tcPr>
            <w:tcW w:w="4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69,610</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58,538</w:t>
            </w:r>
          </w:p>
        </w:tc>
        <w:tc>
          <w:tcPr>
            <w:tcW w:w="80" w:type="dxa"/>
            <w:vAlign w:val="bottom"/>
          </w:tcPr>
          <w:p>
            <w:pPr>
              <w:spacing w:after="0"/>
              <w:rPr>
                <w:sz w:val="17"/>
                <w:szCs w:val="17"/>
                <w:color w:val="auto"/>
              </w:rPr>
            </w:pPr>
          </w:p>
        </w:tc>
      </w:tr>
      <w:tr>
        <w:trPr>
          <w:trHeight w:val="203"/>
        </w:trPr>
        <w:tc>
          <w:tcPr>
            <w:tcW w:w="7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(67,457 )</w:t>
            </w:r>
          </w:p>
        </w:tc>
        <w:tc>
          <w:tcPr>
            <w:tcW w:w="5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(56,083 )</w:t>
            </w:r>
          </w:p>
        </w:tc>
      </w:tr>
      <w:tr>
        <w:trPr>
          <w:trHeight w:val="196"/>
        </w:trPr>
        <w:tc>
          <w:tcPr>
            <w:tcW w:w="758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deferred tax assets after valuation allowance</w:t>
            </w: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2,153</w:t>
            </w:r>
          </w:p>
        </w:tc>
        <w:tc>
          <w:tcPr>
            <w:tcW w:w="26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2,455</w:t>
            </w:r>
          </w:p>
        </w:tc>
        <w:tc>
          <w:tcPr>
            <w:tcW w:w="80" w:type="dxa"/>
            <w:vAlign w:val="bottom"/>
            <w:tcBorders>
              <w:top w:val="single" w:sz="8" w:color="CCEEFF"/>
            </w:tcBorders>
          </w:tcPr>
          <w:p>
            <w:pPr>
              <w:spacing w:after="0"/>
              <w:rPr>
                <w:sz w:val="17"/>
                <w:szCs w:val="17"/>
                <w:color w:val="auto"/>
              </w:rPr>
            </w:pPr>
          </w:p>
        </w:tc>
      </w:tr>
      <w:tr>
        <w:trPr>
          <w:trHeight w:val="203"/>
        </w:trPr>
        <w:tc>
          <w:tcPr>
            <w:tcW w:w="7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7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(2,153 )</w:t>
            </w:r>
          </w:p>
        </w:tc>
        <w:tc>
          <w:tcPr>
            <w:tcW w:w="5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(2,455 )</w:t>
            </w:r>
          </w:p>
        </w:tc>
      </w:tr>
      <w:tr>
        <w:trPr>
          <w:trHeight w:val="20"/>
        </w:trPr>
        <w:tc>
          <w:tcPr>
            <w:tcW w:w="75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7580" w:type="dxa"/>
            <w:vAlign w:val="bottom"/>
          </w:tcPr>
          <w:p>
            <w:pPr>
              <w:ind w:left="380"/>
              <w:spacing w:after="0" w:line="196" w:lineRule="exact"/>
              <w:rPr>
                <w:sz w:val="20"/>
                <w:szCs w:val="20"/>
                <w:color w:val="auto"/>
              </w:rPr>
            </w:pPr>
            <w:r>
              <w:rPr>
                <w:rFonts w:ascii="Arial" w:cs="Arial" w:eastAsia="Arial" w:hAnsi="Arial"/>
                <w:sz w:val="18"/>
                <w:szCs w:val="18"/>
                <w:color w:val="auto"/>
              </w:rPr>
              <w:t>Total deferred tax liabilities</w:t>
            </w:r>
          </w:p>
        </w:tc>
        <w:tc>
          <w:tcPr>
            <w:tcW w:w="400" w:type="dxa"/>
            <w:vAlign w:val="bottom"/>
          </w:tcPr>
          <w:p>
            <w:pPr>
              <w:spacing w:after="0"/>
              <w:rPr>
                <w:sz w:val="17"/>
                <w:szCs w:val="17"/>
                <w:color w:val="auto"/>
              </w:rPr>
            </w:pPr>
          </w:p>
        </w:tc>
        <w:tc>
          <w:tcPr>
            <w:tcW w:w="1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(2,153 )</w:t>
            </w:r>
          </w:p>
        </w:tc>
        <w:tc>
          <w:tcPr>
            <w:tcW w:w="5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(2,455 )</w:t>
            </w:r>
          </w:p>
        </w:tc>
      </w:tr>
      <w:tr>
        <w:trPr>
          <w:trHeight w:val="203"/>
        </w:trPr>
        <w:tc>
          <w:tcPr>
            <w:tcW w:w="7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7580" w:type="dxa"/>
            <w:vAlign w:val="bottom"/>
          </w:tcPr>
          <w:p>
            <w:pPr>
              <w:ind w:left="20"/>
              <w:spacing w:after="0" w:line="182" w:lineRule="exact"/>
              <w:rPr>
                <w:sz w:val="20"/>
                <w:szCs w:val="20"/>
                <w:color w:val="auto"/>
              </w:rPr>
            </w:pPr>
            <w:r>
              <w:rPr>
                <w:rFonts w:ascii="Arial" w:cs="Arial" w:eastAsia="Arial" w:hAnsi="Arial"/>
                <w:sz w:val="18"/>
                <w:szCs w:val="18"/>
                <w:color w:val="auto"/>
              </w:rPr>
              <w:t>Net deferred tax assets and liabilities</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r>
      <w:tr>
        <w:trPr>
          <w:trHeight w:val="20"/>
        </w:trPr>
        <w:tc>
          <w:tcPr>
            <w:tcW w:w="7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-1230630</wp:posOffset>
            </wp:positionV>
            <wp:extent cx="5143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-1230630</wp:posOffset>
            </wp:positionV>
            <wp:extent cx="51435"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-965200</wp:posOffset>
            </wp:positionV>
            <wp:extent cx="5143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-965200</wp:posOffset>
            </wp:positionV>
            <wp:extent cx="5143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-424815</wp:posOffset>
            </wp:positionV>
            <wp:extent cx="5143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-159385</wp:posOffset>
            </wp:positionV>
            <wp:extent cx="5143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2021, the Company had $267.1 million and $4.2 million of federal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$11.4 million during 2021 and $7.0 million during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3" w:name="page134"/>
    <w:bookmarkEnd w:id="133"/>
    <w:p>
      <w:pPr>
        <w:jc w:val="both"/>
        <w:spacing w:after="0" w:line="243" w:lineRule="auto"/>
        <w:rPr>
          <w:sz w:val="20"/>
          <w:szCs w:val="20"/>
          <w:color w:val="auto"/>
        </w:rPr>
      </w:pPr>
      <w:r>
        <w:rPr>
          <w:rFonts w:ascii="Arial" w:cs="Arial" w:eastAsia="Arial" w:hAnsi="Arial"/>
          <w:sz w:val="18"/>
          <w:szCs w:val="18"/>
          <w:color w:val="auto"/>
        </w:rPr>
        <w:t>During 2021, the Company determined that it now has uncertain tax positions related to its U.S. research and development credits. As of December 31, 2021 and 2020, there was no accrued interest related to uncertain tax positions. The Company does not believe it is reasonably possible that its unrecognized tax benefits will significantly change in the next twelve months. A reconciliation of beginning and ending balances for unrecognized tax benefits is as follows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70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7700" w:type="dxa"/>
            <w:vAlign w:val="bottom"/>
          </w:tcPr>
          <w:p>
            <w:pPr>
              <w:spacing w:after="0"/>
              <w:rPr>
                <w:sz w:val="17"/>
                <w:szCs w:val="17"/>
                <w:color w:val="auto"/>
              </w:rPr>
            </w:pPr>
          </w:p>
        </w:tc>
        <w:tc>
          <w:tcPr>
            <w:tcW w:w="12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3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30"/>
        </w:trPr>
        <w:tc>
          <w:tcPr>
            <w:tcW w:w="7700" w:type="dxa"/>
            <w:vAlign w:val="bottom"/>
          </w:tcPr>
          <w:p>
            <w:pPr>
              <w:ind w:left="200"/>
              <w:spacing w:after="0"/>
              <w:rPr>
                <w:sz w:val="20"/>
                <w:szCs w:val="20"/>
                <w:color w:val="auto"/>
              </w:rPr>
            </w:pPr>
            <w:r>
              <w:rPr>
                <w:rFonts w:ascii="Arial" w:cs="Arial" w:eastAsia="Arial" w:hAnsi="Arial"/>
                <w:sz w:val="18"/>
                <w:szCs w:val="18"/>
                <w:color w:val="auto"/>
              </w:rPr>
              <w:t>Additions for tax positions related to the current year</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r>
      <w:tr>
        <w:trPr>
          <w:trHeight w:val="229"/>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for tax positions related to prior years</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9"/>
                <w:szCs w:val="19"/>
                <w:color w:val="auto"/>
              </w:rPr>
            </w:pPr>
          </w:p>
        </w:tc>
      </w:tr>
      <w:tr>
        <w:trPr>
          <w:trHeight w:val="229"/>
        </w:trPr>
        <w:tc>
          <w:tcPr>
            <w:tcW w:w="7700" w:type="dxa"/>
            <w:vAlign w:val="bottom"/>
          </w:tcPr>
          <w:p>
            <w:pPr>
              <w:ind w:left="200"/>
              <w:spacing w:after="0"/>
              <w:rPr>
                <w:sz w:val="20"/>
                <w:szCs w:val="20"/>
                <w:color w:val="auto"/>
              </w:rPr>
            </w:pPr>
            <w:r>
              <w:rPr>
                <w:rFonts w:ascii="Arial" w:cs="Arial" w:eastAsia="Arial" w:hAnsi="Arial"/>
                <w:sz w:val="18"/>
                <w:szCs w:val="18"/>
                <w:color w:val="auto"/>
              </w:rPr>
              <w:t>Reductions for tax positions related to prior years</w:t>
            </w:r>
          </w:p>
        </w:tc>
        <w:tc>
          <w:tcPr>
            <w:tcW w:w="1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Reductions related to settlements</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Reductions related to a lapse of statute</w:t>
            </w: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7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December 31</w:t>
            </w:r>
          </w:p>
        </w:tc>
        <w:tc>
          <w:tcPr>
            <w:tcW w:w="1220" w:type="dxa"/>
            <w:vAlign w:val="bottom"/>
            <w:tcBorders>
              <w:bottom w:val="single" w:sz="8" w:color="auto"/>
            </w:tcBorders>
            <w:shd w:val="clear" w:color="auto" w:fill="CCEEFF"/>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843</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715</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514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5143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monitors proposed and issued tax law, regulations, and cases to determine the potential impact of uncertain income tax positions. At December 31, 2021, the Company had not identified any potential subsequent events that would have a material impact on unrecognized income tax benefits within the next twelve months.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federal and state returns for all years remain open to examination by tax authorities.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The Company leases facilities under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Rent expense was $1.2 million and $1.7 million for the years ended December 31, 2021 and 2020, respectively.</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Future minimum lease payments, which do not include amounts for common area maintenance, insurance, or taxes, for operating lease obligations are as follows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ind w:right="890"/>
              <w:spacing w:after="0"/>
              <w:rPr>
                <w:sz w:val="20"/>
                <w:szCs w:val="20"/>
                <w:color w:val="auto"/>
              </w:rPr>
            </w:pPr>
            <w:r>
              <w:rPr>
                <w:rFonts w:ascii="Arial" w:cs="Arial" w:eastAsia="Arial" w:hAnsi="Arial"/>
                <w:sz w:val="18"/>
                <w:szCs w:val="18"/>
                <w:b w:val="1"/>
                <w:bCs w:val="1"/>
                <w:color w:val="auto"/>
              </w:rPr>
              <w:t>As of</w:t>
            </w:r>
          </w:p>
        </w:tc>
      </w:tr>
      <w:tr>
        <w:trPr>
          <w:trHeight w:val="216"/>
        </w:trPr>
        <w:tc>
          <w:tcPr>
            <w:tcW w:w="8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6"/>
              </w:rPr>
              <w:t>December 31, 2021</w:t>
            </w:r>
          </w:p>
        </w:tc>
      </w:tr>
      <w:tr>
        <w:trPr>
          <w:trHeight w:val="196"/>
        </w:trPr>
        <w:tc>
          <w:tcPr>
            <w:tcW w:w="8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775</w:t>
            </w: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r>
      <w:tr>
        <w:trPr>
          <w:trHeight w:val="203"/>
        </w:trPr>
        <w:tc>
          <w:tcPr>
            <w:tcW w:w="8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203"/>
        </w:trPr>
        <w:tc>
          <w:tcPr>
            <w:tcW w:w="8760" w:type="dxa"/>
            <w:vAlign w:val="bottom"/>
          </w:tcPr>
          <w:p>
            <w:pPr>
              <w:ind w:left="20"/>
              <w:spacing w:after="0" w:line="202" w:lineRule="exact"/>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876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937</w:t>
            </w:r>
          </w:p>
        </w:tc>
      </w:tr>
    </w:tbl>
    <w:p>
      <w:pPr>
        <w:spacing w:after="0" w:line="9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Co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Development Agreement</w:t>
      </w:r>
    </w:p>
    <w:p>
      <w:pPr>
        <w:spacing w:after="0" w:line="104"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w:t>
      </w:r>
      <w:r>
        <w:rPr>
          <w:rFonts w:ascii="MS PGothic" w:cs="MS PGothic" w:eastAsia="MS PGothic" w:hAnsi="MS PGothic"/>
          <w:sz w:val="16"/>
          <w:szCs w:val="16"/>
          <w:color w:val="auto"/>
        </w:rPr>
        <w:t>‑</w:t>
      </w:r>
      <w:r>
        <w:rPr>
          <w:rFonts w:ascii="Arial" w:cs="Arial" w:eastAsia="Arial" w:hAnsi="Arial"/>
          <w:sz w:val="16"/>
          <w:szCs w:val="16"/>
          <w:color w:val="auto"/>
        </w:rPr>
        <w:t>small cell lung cancer (NSCLC). Under the terms of the agreement, AVEO will conduct a proof</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September 2020, the Company exercised its opt-out right with AVEO for the payment of 50% of development and regulatory costs for ficlatuzumab effective December 2, 2020 (the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has $0.1 million in remaining obligations related to the AVEO agreement as of December 31, 2021. Following the Effective Date, the Company is entitled to a 10% royalty of net sales of ficlatuzumab and 25% of license income generated from the licensing of ficlatuzumab from AVEO.</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were no expenses related to this agreement for the year ended December 31, 2021. Expenses related to this agreement for the year ended December 31, 2020 were approximately $0.9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i w:val="1"/>
          <w:iCs w:val="1"/>
          <w:color w:val="auto"/>
        </w:rPr>
        <w:t>License Agreement</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will no longer pay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Royalty expense under the Bio-Rad License was not significant for the year ended December 31, 2021 and $0.1 million for the year ended December 31, 2020.</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May 13, 2021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Effective Date as an upfront make-good payment covering past royalties due and a royalty rate of 0.675% on future Nodify XL2 test net sales worldwide for 15 years from the first commercial sale, ending in 2034. Royalty expense under the CellCarta License for the year ended December 31, 2021 was $0.1 million.</w:t>
      </w:r>
    </w:p>
    <w:p>
      <w:pPr>
        <w:spacing w:after="0" w:line="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part of the acquisition of Oncimmune, the Company entered into several agreements to govern the relationship between the parties. The Company agreed to a license agreement and royalty payment related to an acquired diagnostic test of 8% of recognized revenue for non-screen tests up to an annual minimum volume and 5% thereafter, with an escalating minimum through the first four years of sales. Royalty expenses of $0.7 million and $0.3 million were incurred for the years ended December 31,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0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In September 2021, we reached a settlement agreement with the plaintiffs, which received preliminary approval from the Circuit Court of the City of St. Louis, State of Missouri (the Court) on November 10</w:t>
      </w:r>
      <w:r>
        <w:rPr>
          <w:rFonts w:ascii="Arial" w:cs="Arial" w:eastAsia="Arial" w:hAnsi="Arial"/>
          <w:sz w:val="24"/>
          <w:szCs w:val="24"/>
          <w:color w:val="auto"/>
          <w:vertAlign w:val="superscript"/>
        </w:rPr>
        <w:t>th</w:t>
      </w:r>
      <w:r>
        <w:rPr>
          <w:rFonts w:ascii="Arial" w:cs="Arial" w:eastAsia="Arial" w:hAnsi="Arial"/>
          <w:sz w:val="18"/>
          <w:szCs w:val="18"/>
          <w:color w:val="auto"/>
        </w:rPr>
        <w:t>, regarding a dispute involving the Telephone Consumer Protection Act (TCPA). On January 31, 2022, the Court approved the final settlement payment to third parties of approximately $210,000 which was accrued as a legal contingency during the year ended December 31, 2021. We are not presently a party to any other legal proceedings that, if determined adversely to us, would individually or taken together have a material adverse effect on our business, results of operations, financial condition,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Purchase Agreement</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March 7, 2022 (the Effective Date), the Company entered into a purchase agreement, dated as of March 7, 2022 with Lincoln Park Capital Fund, LLC, an Illinois limited liability company (Lincoln Park), pursuant to which Lincoln Park has committed to purchase up to $50.0 million of the Company's common stock (the Purchase Agreement).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Under applicable rules of the Nasdaq Capital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5" w:name="page136"/>
    <w:bookmarkEnd w:id="135"/>
    <w:p>
      <w:pPr>
        <w:jc w:val="both"/>
        <w:spacing w:after="0" w:line="270" w:lineRule="auto"/>
        <w:rPr>
          <w:sz w:val="20"/>
          <w:szCs w:val="20"/>
          <w:color w:val="auto"/>
        </w:rPr>
      </w:pPr>
      <w:r>
        <w:rPr>
          <w:rFonts w:ascii="Arial" w:cs="Arial" w:eastAsia="Arial" w:hAnsi="Arial"/>
          <w:sz w:val="17"/>
          <w:szCs w:val="17"/>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Effective Date, the Company issued 184,275 shares of common stock to Lincoln Park as a commitment fee and, upon the available amount being reduced to an amount equal to or less than $20.0 million, the Company will be required to issue 61,426 shares (collectively, the Commitment Shares).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 Valley Properties I, LLC Lease Agreement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March 11, 2022, the Company entered into a Lease Agreement (the Lease) with Centennial Valley Properties I, LLC, a Colorado limited liability company (the Landlord) for office and laboratory space located at 919 West Dillion Road; Louisville, Colorado (the Leased Premises). The purpose of the Lease is to replace the Company’s current leased premises at 2970 Wilderness Place, Suite 100 in Boulder, Colorado and the Company intends to move its corporate headquarters to the Leased Premises by mid-2023.</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initial term of the Lease will extend twelve years (the Initial Term) from the commencement date, which is the earlier of: (i) the Company conducting revenue generating business (as defined in the Lease), or (ii) April 1, 2023 (the Commencement Date), unless earlier terminated in accordance with the Lease. The Company has two renewal options to extend the term of the Lease for an additional seven or ten year terms for each renewal.</w:t>
      </w:r>
    </w:p>
    <w:p>
      <w:pPr>
        <w:spacing w:after="0" w:line="3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Under the Lease, the Company will lease approximately 79,980 square feet at the Leased Premises. The Company will pay base rent over the life of the Lease beginning at approximately $227,000 per month and escalating, based on fixed escalation provisions, to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up to $25.00 per rentable square foot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w:t>
      </w:r>
    </w:p>
    <w:p>
      <w:pPr>
        <w:spacing w:after="0" w:line="5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Lease includes various covenants, indemnities, defaults, termination rights, and other provisions customary for lease transactions of this nature, including maintaining a $5.0 million letter of credit (subject to contingent reduction over the term of the lease) to secure the performance of the Company’s obligations under the Lease. The $5.0 million letter of credit has to be cash collateralized by the Company through a restricted cash account for the benefit of the Landlord.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10.13.2</w:t>
      </w:r>
    </w:p>
    <w:p>
      <w:pPr>
        <w:spacing w:after="0" w:line="61" w:lineRule="exact"/>
        <w:rPr>
          <w:sz w:val="20"/>
          <w:szCs w:val="20"/>
          <w:color w:val="auto"/>
        </w:rPr>
      </w:pPr>
    </w:p>
    <w:p>
      <w:pPr>
        <w:jc w:val="center"/>
        <w:ind w:right="111"/>
        <w:spacing w:after="0"/>
        <w:rPr>
          <w:sz w:val="20"/>
          <w:szCs w:val="20"/>
          <w:color w:val="auto"/>
        </w:rPr>
      </w:pPr>
      <w:r>
        <w:rPr>
          <w:rFonts w:ascii="Arial" w:cs="Arial" w:eastAsia="Arial" w:hAnsi="Arial"/>
          <w:sz w:val="20"/>
          <w:szCs w:val="20"/>
          <w:color w:val="auto"/>
        </w:rPr>
        <w:t>THIRD AMENDMENT TO OFFICE LEASE</w:t>
      </w:r>
    </w:p>
    <w:p>
      <w:pPr>
        <w:spacing w:after="0" w:line="16" w:lineRule="exact"/>
        <w:rPr>
          <w:sz w:val="20"/>
          <w:szCs w:val="20"/>
          <w:color w:val="auto"/>
        </w:rPr>
      </w:pPr>
    </w:p>
    <w:p>
      <w:pPr>
        <w:ind w:left="9" w:right="120" w:firstLine="747"/>
        <w:spacing w:after="0" w:line="269" w:lineRule="auto"/>
        <w:rPr>
          <w:sz w:val="20"/>
          <w:szCs w:val="20"/>
          <w:color w:val="auto"/>
        </w:rPr>
      </w:pPr>
      <w:r>
        <w:rPr>
          <w:rFonts w:ascii="Arial" w:cs="Arial" w:eastAsia="Arial" w:hAnsi="Arial"/>
          <w:sz w:val="19"/>
          <w:szCs w:val="19"/>
          <w:color w:val="auto"/>
        </w:rPr>
        <w:t>This Third Amendment to Office Lease (this “</w:t>
      </w:r>
      <w:r>
        <w:rPr>
          <w:rFonts w:ascii="Arial" w:cs="Arial" w:eastAsia="Arial" w:hAnsi="Arial"/>
          <w:sz w:val="19"/>
          <w:szCs w:val="19"/>
          <w:b w:val="1"/>
          <w:bCs w:val="1"/>
          <w:color w:val="auto"/>
        </w:rPr>
        <w:t>Third Amendment</w:t>
      </w:r>
      <w:r>
        <w:rPr>
          <w:rFonts w:ascii="Arial" w:cs="Arial" w:eastAsia="Arial" w:hAnsi="Arial"/>
          <w:sz w:val="19"/>
          <w:szCs w:val="19"/>
          <w:color w:val="auto"/>
        </w:rPr>
        <w:t>”) is dated as of January 24, 2022, by and between Aero-Tech Investments, LLC, a Colorado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Biodesix, Inc.,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90" w:lineRule="exact"/>
        <w:rPr>
          <w:sz w:val="20"/>
          <w:szCs w:val="20"/>
          <w:color w:val="auto"/>
        </w:rPr>
      </w:pPr>
    </w:p>
    <w:p>
      <w:pPr>
        <w:jc w:val="center"/>
        <w:ind w:right="111"/>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left="749" w:right="120" w:hanging="374"/>
        <w:spacing w:after="0" w:line="278" w:lineRule="auto"/>
        <w:tabs>
          <w:tab w:leader="none" w:pos="7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Landlord and Tenant entered into that certain Office Lease dated as of October 5, 2011, as amended by that certain First Amendment to Office Lease dated as of May 31, 2016 (the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Second Amendment to Office Lease dated as of August 29, 2017, and the Letter Agreement dated June 30, 2021 (collectively,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Tenant leased certain space as further described in the Lease of the building having a street address of 2970 Wilderness Place, Colorado 80301 (the “</w:t>
      </w:r>
      <w:r>
        <w:rPr>
          <w:rFonts w:ascii="Arial" w:cs="Arial" w:eastAsia="Arial" w:hAnsi="Arial"/>
          <w:sz w:val="18"/>
          <w:szCs w:val="18"/>
          <w:b w:val="1"/>
          <w:bCs w:val="1"/>
          <w:color w:val="auto"/>
        </w:rPr>
        <w:t>Building</w:t>
      </w:r>
      <w:r>
        <w:rPr>
          <w:rFonts w:ascii="Arial" w:cs="Arial" w:eastAsia="Arial" w:hAnsi="Arial"/>
          <w:sz w:val="18"/>
          <w:szCs w:val="18"/>
          <w:color w:val="auto"/>
        </w:rPr>
        <w:t>”) and containing approximately 34,595 rentable square feet of space.</w:t>
      </w:r>
    </w:p>
    <w:p>
      <w:pPr>
        <w:spacing w:after="0" w:line="151" w:lineRule="exact"/>
        <w:rPr>
          <w:rFonts w:ascii="Arial" w:cs="Arial" w:eastAsia="Arial" w:hAnsi="Arial"/>
          <w:sz w:val="18"/>
          <w:szCs w:val="18"/>
          <w:color w:val="auto"/>
        </w:rPr>
      </w:pPr>
    </w:p>
    <w:p>
      <w:pPr>
        <w:ind w:left="749" w:right="120" w:hanging="374"/>
        <w:spacing w:after="0" w:line="300" w:lineRule="auto"/>
        <w:tabs>
          <w:tab w:leader="none" w:pos="7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 of the Lease is scheduled to expire on January 14, 2023, and Tenant desires to extend the Term for an additional twelve (12) months with the option to accelerate Expiration Date at any time on not less than ninety (90) days’ notice to Landlord.</w:t>
      </w:r>
    </w:p>
    <w:p>
      <w:pPr>
        <w:spacing w:after="0" w:line="130" w:lineRule="exact"/>
        <w:rPr>
          <w:rFonts w:ascii="Arial" w:cs="Arial" w:eastAsia="Arial" w:hAnsi="Arial"/>
          <w:sz w:val="18"/>
          <w:szCs w:val="18"/>
          <w:color w:val="auto"/>
        </w:rPr>
      </w:pPr>
    </w:p>
    <w:p>
      <w:pPr>
        <w:ind w:left="749" w:hanging="374"/>
        <w:spacing w:after="0"/>
        <w:tabs>
          <w:tab w:leader="none" w:pos="749" w:val="left"/>
        </w:tabs>
        <w:numPr>
          <w:ilvl w:val="0"/>
          <w:numId w:val="74"/>
        </w:numPr>
        <w:rPr>
          <w:rFonts w:ascii="Arial" w:cs="Arial" w:eastAsia="Arial" w:hAnsi="Arial"/>
          <w:sz w:val="20"/>
          <w:szCs w:val="20"/>
          <w:color w:val="auto"/>
        </w:rPr>
      </w:pPr>
      <w:r>
        <w:rPr>
          <w:rFonts w:ascii="Arial" w:cs="Arial" w:eastAsia="Arial" w:hAnsi="Arial"/>
          <w:sz w:val="20"/>
          <w:szCs w:val="20"/>
          <w:color w:val="auto"/>
        </w:rPr>
        <w:t>Landlord and Tenant desire to amend the Lease on the terms and conditions set forth in this Third Amendment.</w:t>
      </w:r>
    </w:p>
    <w:p>
      <w:pPr>
        <w:spacing w:after="0" w:line="210" w:lineRule="exact"/>
        <w:rPr>
          <w:sz w:val="20"/>
          <w:szCs w:val="20"/>
          <w:color w:val="auto"/>
        </w:rPr>
      </w:pPr>
    </w:p>
    <w:p>
      <w:pPr>
        <w:jc w:val="center"/>
        <w:ind w:right="111"/>
        <w:spacing w:after="0"/>
        <w:rPr>
          <w:sz w:val="20"/>
          <w:szCs w:val="20"/>
          <w:color w:val="auto"/>
        </w:rPr>
      </w:pPr>
      <w:r>
        <w:rPr>
          <w:rFonts w:ascii="Arial" w:cs="Arial" w:eastAsia="Arial" w:hAnsi="Arial"/>
          <w:sz w:val="20"/>
          <w:szCs w:val="20"/>
          <w:b w:val="1"/>
          <w:bCs w:val="1"/>
          <w:color w:val="auto"/>
        </w:rPr>
        <w:t>Amendment</w:t>
      </w:r>
    </w:p>
    <w:p>
      <w:pPr>
        <w:spacing w:after="0" w:line="222" w:lineRule="exact"/>
        <w:rPr>
          <w:sz w:val="20"/>
          <w:szCs w:val="20"/>
          <w:color w:val="auto"/>
        </w:rPr>
      </w:pPr>
    </w:p>
    <w:p>
      <w:pPr>
        <w:ind w:left="9" w:right="120" w:firstLine="747"/>
        <w:spacing w:after="0" w:line="260" w:lineRule="auto"/>
        <w:rPr>
          <w:sz w:val="20"/>
          <w:szCs w:val="20"/>
          <w:color w:val="auto"/>
        </w:rPr>
      </w:pPr>
      <w:r>
        <w:rPr>
          <w:rFonts w:ascii="Arial" w:cs="Arial" w:eastAsia="Arial" w:hAnsi="Arial"/>
          <w:sz w:val="20"/>
          <w:szCs w:val="20"/>
          <w:color w:val="auto"/>
        </w:rPr>
        <w:t>NOW, THEREFORE, in consideration of the foregoing and the promises and conditions of this Third Amendment, the parties agree as follows:</w:t>
      </w:r>
    </w:p>
    <w:p>
      <w:pPr>
        <w:spacing w:after="0" w:line="163" w:lineRule="exact"/>
        <w:rPr>
          <w:sz w:val="20"/>
          <w:szCs w:val="20"/>
          <w:color w:val="auto"/>
        </w:rPr>
      </w:pPr>
    </w:p>
    <w:p>
      <w:pPr>
        <w:ind w:left="369" w:right="120" w:hanging="368"/>
        <w:spacing w:after="0" w:line="246" w:lineRule="auto"/>
        <w:tabs>
          <w:tab w:leader="none" w:pos="36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Capitalized Terms</w:t>
      </w:r>
      <w:r>
        <w:rPr>
          <w:rFonts w:ascii="Arial" w:cs="Arial" w:eastAsia="Arial" w:hAnsi="Arial"/>
          <w:sz w:val="20"/>
          <w:szCs w:val="20"/>
          <w:color w:val="auto"/>
        </w:rPr>
        <w:t>. All capitalized terms not otherwise defined in this Third Amendment shall have the same meanings as defined in the Lease.</w:t>
      </w:r>
    </w:p>
    <w:p>
      <w:pPr>
        <w:spacing w:after="0" w:line="176" w:lineRule="exact"/>
        <w:rPr>
          <w:rFonts w:ascii="Arial" w:cs="Arial" w:eastAsia="Arial" w:hAnsi="Arial"/>
          <w:sz w:val="20"/>
          <w:szCs w:val="20"/>
          <w:color w:val="auto"/>
        </w:rPr>
      </w:pPr>
    </w:p>
    <w:p>
      <w:pPr>
        <w:jc w:val="both"/>
        <w:ind w:left="369" w:right="120" w:hanging="368"/>
        <w:spacing w:after="0" w:line="237" w:lineRule="auto"/>
        <w:tabs>
          <w:tab w:leader="none" w:pos="36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Extension of Term</w:t>
      </w:r>
      <w:r>
        <w:rPr>
          <w:rFonts w:ascii="Arial" w:cs="Arial" w:eastAsia="Arial" w:hAnsi="Arial"/>
          <w:sz w:val="20"/>
          <w:szCs w:val="20"/>
          <w:color w:val="auto"/>
        </w:rPr>
        <w:t>. The Term is hereby extended such that the Expiration Date, as set forth in the Summary of Basic Lease Information comprising a portion of the Lease, is hereby amended, and restated to be January 14, 2024. The period from January 15, 2023, through and including January 14, 2024, is referred to herein as the “</w:t>
      </w:r>
      <w:r>
        <w:rPr>
          <w:rFonts w:ascii="Arial" w:cs="Arial" w:eastAsia="Arial" w:hAnsi="Arial"/>
          <w:sz w:val="20"/>
          <w:szCs w:val="20"/>
          <w:b w:val="1"/>
          <w:bCs w:val="1"/>
          <w:color w:val="auto"/>
        </w:rPr>
        <w:t>Extended Term</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ind w:left="369" w:hanging="369"/>
        <w:spacing w:after="0"/>
        <w:tabs>
          <w:tab w:leader="none" w:pos="369" w:val="left"/>
        </w:tabs>
        <w:numPr>
          <w:ilvl w:val="0"/>
          <w:numId w:val="75"/>
        </w:numPr>
        <w:rPr>
          <w:rFonts w:ascii="Arial" w:cs="Arial" w:eastAsia="Arial" w:hAnsi="Arial"/>
          <w:sz w:val="20"/>
          <w:szCs w:val="20"/>
          <w:color w:val="auto"/>
        </w:rPr>
      </w:pPr>
      <w:r>
        <w:rPr>
          <w:rFonts w:ascii="Arial" w:cs="Arial" w:eastAsia="Arial" w:hAnsi="Arial"/>
          <w:sz w:val="20"/>
          <w:szCs w:val="20"/>
          <w:color w:val="auto"/>
        </w:rPr>
        <w:t>Additional Amendments to Lease:</w:t>
      </w:r>
    </w:p>
    <w:p>
      <w:pPr>
        <w:spacing w:after="0" w:line="202" w:lineRule="exact"/>
        <w:rPr>
          <w:sz w:val="20"/>
          <w:szCs w:val="20"/>
          <w:color w:val="auto"/>
        </w:rPr>
      </w:pPr>
    </w:p>
    <w:p>
      <w:pPr>
        <w:ind w:left="749"/>
        <w:spacing w:after="0"/>
        <w:rPr>
          <w:sz w:val="20"/>
          <w:szCs w:val="20"/>
          <w:color w:val="auto"/>
        </w:rPr>
      </w:pPr>
      <w:r>
        <w:rPr>
          <w:rFonts w:ascii="Arial" w:cs="Arial" w:eastAsia="Arial" w:hAnsi="Arial"/>
          <w:sz w:val="20"/>
          <w:szCs w:val="20"/>
          <w:color w:val="auto"/>
        </w:rPr>
        <w:t>3.1  During the Extended Term, the Annual Base Rent shall be $28.00/Square Foot/Year.</w:t>
      </w:r>
    </w:p>
    <w:p>
      <w:pPr>
        <w:spacing w:after="0" w:line="2" w:lineRule="exact"/>
        <w:rPr>
          <w:sz w:val="20"/>
          <w:szCs w:val="20"/>
          <w:color w:val="auto"/>
        </w:rPr>
      </w:pPr>
    </w:p>
    <w:p>
      <w:pPr>
        <w:ind w:left="749"/>
        <w:spacing w:after="0"/>
        <w:rPr>
          <w:sz w:val="20"/>
          <w:szCs w:val="20"/>
          <w:color w:val="auto"/>
        </w:rPr>
      </w:pPr>
      <w:r>
        <w:rPr>
          <w:rFonts w:ascii="Arial" w:cs="Arial" w:eastAsia="Arial" w:hAnsi="Arial"/>
          <w:sz w:val="18"/>
          <w:szCs w:val="18"/>
          <w:color w:val="auto"/>
        </w:rPr>
        <w:t>3.2 In the event Tenant subleases the Premises or any portion thereof prior to the expiration of the Lease, Landlord will receive</w:t>
      </w:r>
    </w:p>
    <w:p>
      <w:pPr>
        <w:ind w:left="1129"/>
        <w:spacing w:after="0" w:line="234" w:lineRule="auto"/>
        <w:rPr>
          <w:sz w:val="20"/>
          <w:szCs w:val="20"/>
          <w:color w:val="auto"/>
        </w:rPr>
      </w:pPr>
      <w:r>
        <w:rPr>
          <w:rFonts w:ascii="Arial" w:cs="Arial" w:eastAsia="Arial" w:hAnsi="Arial"/>
          <w:sz w:val="20"/>
          <w:szCs w:val="20"/>
          <w:color w:val="auto"/>
        </w:rPr>
        <w:t>100% of any net profits above the Rent payable by Tenant under the Lease.</w:t>
      </w:r>
    </w:p>
    <w:p>
      <w:pPr>
        <w:spacing w:after="0" w:line="1" w:lineRule="exact"/>
        <w:rPr>
          <w:sz w:val="20"/>
          <w:szCs w:val="20"/>
          <w:color w:val="auto"/>
        </w:rPr>
      </w:pPr>
    </w:p>
    <w:p>
      <w:pPr>
        <w:jc w:val="both"/>
        <w:ind w:left="1129" w:right="120" w:hanging="369"/>
        <w:spacing w:after="0" w:line="225" w:lineRule="auto"/>
        <w:rPr>
          <w:sz w:val="20"/>
          <w:szCs w:val="20"/>
          <w:color w:val="auto"/>
        </w:rPr>
      </w:pPr>
      <w:r>
        <w:rPr>
          <w:rFonts w:ascii="Arial" w:cs="Arial" w:eastAsia="Arial" w:hAnsi="Arial"/>
          <w:sz w:val="20"/>
          <w:szCs w:val="20"/>
          <w:color w:val="auto"/>
        </w:rPr>
        <w:t>3.3 Addendum One to the Lease (which was previously amended and restated in its entirely pursuant to the First Amendment) is hereby deleted in its entirety and is of no further force or effect.</w:t>
      </w:r>
    </w:p>
    <w:p>
      <w:pPr>
        <w:spacing w:after="0" w:line="1" w:lineRule="exact"/>
        <w:rPr>
          <w:sz w:val="20"/>
          <w:szCs w:val="20"/>
          <w:color w:val="auto"/>
        </w:rPr>
      </w:pPr>
    </w:p>
    <w:p>
      <w:pPr>
        <w:jc w:val="both"/>
        <w:ind w:left="1129" w:right="120" w:hanging="369"/>
        <w:spacing w:after="0" w:line="243" w:lineRule="auto"/>
        <w:rPr>
          <w:sz w:val="20"/>
          <w:szCs w:val="20"/>
          <w:color w:val="auto"/>
        </w:rPr>
      </w:pPr>
      <w:r>
        <w:rPr>
          <w:rFonts w:ascii="Arial" w:cs="Arial" w:eastAsia="Arial" w:hAnsi="Arial"/>
          <w:sz w:val="19"/>
          <w:szCs w:val="19"/>
          <w:color w:val="auto"/>
        </w:rPr>
        <w:t>3.4 Tenant shall have the right (the “</w:t>
      </w:r>
      <w:r>
        <w:rPr>
          <w:rFonts w:ascii="Arial" w:cs="Arial" w:eastAsia="Arial" w:hAnsi="Arial"/>
          <w:sz w:val="19"/>
          <w:szCs w:val="19"/>
          <w:b w:val="1"/>
          <w:bCs w:val="1"/>
          <w:color w:val="auto"/>
        </w:rPr>
        <w:t>Early Termination Option</w:t>
      </w:r>
      <w:r>
        <w:rPr>
          <w:rFonts w:ascii="Arial" w:cs="Arial" w:eastAsia="Arial" w:hAnsi="Arial"/>
          <w:sz w:val="19"/>
          <w:szCs w:val="19"/>
          <w:color w:val="auto"/>
        </w:rPr>
        <w:t>”) to accelerate the Expiration Date with respect to the entire Premises only, from the scheduled Expiration Date to the last day of any calendar month during the Term, as extended by this Amendment, on not less than ninety (90) days’ prior written notice to Landlord. If Tenant validly exercises the Early Termination Option, then (i) notwithstanding any contrary provision of the Lease, but subject</w:t>
      </w:r>
    </w:p>
    <w:p>
      <w:pPr>
        <w:spacing w:after="0" w:line="65"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65405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9"/>
          </w:cols>
          <w:pgMar w:left="431" w:top="115" w:right="339" w:bottom="1440" w:gutter="0" w:footer="0" w:header="0"/>
        </w:sectPr>
      </w:pPr>
    </w:p>
    <w:bookmarkStart w:id="137" w:name="page138"/>
    <w:bookmarkEnd w:id="137"/>
    <w:p>
      <w:pPr>
        <w:jc w:val="both"/>
        <w:ind w:left="1128"/>
        <w:spacing w:after="0" w:line="284" w:lineRule="auto"/>
        <w:rPr>
          <w:sz w:val="20"/>
          <w:szCs w:val="20"/>
          <w:color w:val="auto"/>
        </w:rPr>
      </w:pPr>
      <w:r>
        <w:rPr>
          <w:rFonts w:ascii="Arial" w:cs="Arial" w:eastAsia="Arial" w:hAnsi="Arial"/>
          <w:sz w:val="16"/>
          <w:szCs w:val="16"/>
          <w:color w:val="auto"/>
        </w:rPr>
        <w:t>to the terms of this section, the Term of the Lease shall expire, with respect to the entire Premises, on such accelerated Expiration Date with the same force and effect as if such term were, by the provisions of the Lease, fixed to expire on such accelerated Expiration Date; and (ii) without limiting the foregoing, (A) Tenant shall surrender the Premises to Landlord in accordance with the terms of the Lease on or before such accelerated Expiration Date, (B) Tenant shall remain liable for all Rent and other amounts payable under the Lease for the period up to and to and including such accelerated Expiration Date, even though billings for such amounts may occur after such accelerated Expiration Date, (C) Tenant’s restoration obligations in respect of the Premises shall be as set forth in the Lease, (D) if Tenant fails to surrender all or any portion of the Premises on or before such accelerated Expiration Date, Tenant’s tenancy shall be subject to Article 23 (Holdover) of the Lease, and</w:t>
      </w:r>
    </w:p>
    <w:p>
      <w:pPr>
        <w:spacing w:after="0" w:line="2" w:lineRule="exact"/>
        <w:rPr>
          <w:sz w:val="20"/>
          <w:szCs w:val="20"/>
          <w:color w:val="auto"/>
        </w:rPr>
      </w:pPr>
    </w:p>
    <w:p>
      <w:pPr>
        <w:jc w:val="both"/>
        <w:ind w:left="1128" w:hanging="9"/>
        <w:spacing w:after="0" w:line="229" w:lineRule="auto"/>
        <w:tabs>
          <w:tab w:leader="none" w:pos="1441" w:val="left"/>
        </w:tabs>
        <w:numPr>
          <w:ilvl w:val="1"/>
          <w:numId w:val="76"/>
        </w:numPr>
        <w:rPr>
          <w:rFonts w:ascii="Arial" w:cs="Arial" w:eastAsia="Arial" w:hAnsi="Arial"/>
          <w:sz w:val="20"/>
          <w:szCs w:val="20"/>
          <w:color w:val="auto"/>
        </w:rPr>
      </w:pPr>
      <w:r>
        <w:rPr>
          <w:rFonts w:ascii="Arial" w:cs="Arial" w:eastAsia="Arial" w:hAnsi="Arial"/>
          <w:sz w:val="20"/>
          <w:szCs w:val="20"/>
          <w:color w:val="auto"/>
        </w:rPr>
        <w:t>any other rights or obligations of Landlord or Tenant under the Lease which, in the absence of the early termination of the Term, would have survived the scheduled Expiration Date shall survive such accelerated Expiration Date. Notwithstanding any contrary provision of the Lease, from and after the date Tenant duly exercises the Early Termination Option, Tenant shall not assign the Lease or sublease all or any portion of the Premises for any period following such accelerated Expiration Date.</w:t>
      </w:r>
    </w:p>
    <w:p>
      <w:pPr>
        <w:spacing w:after="0" w:line="182" w:lineRule="exact"/>
        <w:rPr>
          <w:rFonts w:ascii="Arial" w:cs="Arial" w:eastAsia="Arial" w:hAnsi="Arial"/>
          <w:sz w:val="20"/>
          <w:szCs w:val="20"/>
          <w:color w:val="auto"/>
        </w:rPr>
      </w:pPr>
    </w:p>
    <w:p>
      <w:pPr>
        <w:jc w:val="both"/>
        <w:ind w:left="368" w:hanging="368"/>
        <w:spacing w:after="0" w:line="275" w:lineRule="auto"/>
        <w:tabs>
          <w:tab w:leader="none" w:pos="368"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Counterparts; Facsimile, PDF</w:t>
      </w:r>
      <w:r>
        <w:rPr>
          <w:rFonts w:ascii="Arial" w:cs="Arial" w:eastAsia="Arial" w:hAnsi="Arial"/>
          <w:sz w:val="18"/>
          <w:szCs w:val="18"/>
          <w:color w:val="auto"/>
        </w:rPr>
        <w:t>. This Third Amendment may be executed in any number of identical counterparts, all of which, when taken together, shall constitute the same instrument. A facsimile or .pdf copy of this Third Amendment shall be deemed an original for all relevant purposes. Time is of the essence with respect to all rights and obligations of the parties under this Third Amendment.</w:t>
      </w:r>
    </w:p>
    <w:p>
      <w:pPr>
        <w:spacing w:after="0" w:line="152" w:lineRule="exact"/>
        <w:rPr>
          <w:rFonts w:ascii="Arial" w:cs="Arial" w:eastAsia="Arial" w:hAnsi="Arial"/>
          <w:sz w:val="18"/>
          <w:szCs w:val="18"/>
          <w:color w:val="auto"/>
        </w:rPr>
      </w:pPr>
    </w:p>
    <w:p>
      <w:pPr>
        <w:jc w:val="both"/>
        <w:ind w:left="368" w:hanging="368"/>
        <w:spacing w:after="0" w:line="234" w:lineRule="auto"/>
        <w:tabs>
          <w:tab w:leader="none" w:pos="36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Except as modified by this Third Amendment, the Lease shall remain otherwise unmodified and in full force and effect and the parties ratify and confirm the terms of the Lease as modified by this Third Amendment. The Lease (as amended hereby) contains the entire agreement between Landlord and Tenant as to the Premises, and there are no other agreements, oral or written, between Landlord and Tenant relating to the Premises.</w:t>
      </w:r>
    </w:p>
    <w:p>
      <w:pPr>
        <w:spacing w:after="0" w:line="196" w:lineRule="exact"/>
        <w:rPr>
          <w:rFonts w:ascii="Arial" w:cs="Arial" w:eastAsia="Arial" w:hAnsi="Arial"/>
          <w:sz w:val="20"/>
          <w:szCs w:val="20"/>
          <w:color w:val="auto"/>
        </w:rPr>
      </w:pPr>
    </w:p>
    <w:p>
      <w:pPr>
        <w:ind w:left="368" w:hanging="368"/>
        <w:spacing w:after="0" w:line="272" w:lineRule="auto"/>
        <w:tabs>
          <w:tab w:leader="none" w:pos="36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Conflict</w:t>
      </w:r>
      <w:r>
        <w:rPr>
          <w:rFonts w:ascii="Arial" w:cs="Arial" w:eastAsia="Arial" w:hAnsi="Arial"/>
          <w:sz w:val="19"/>
          <w:szCs w:val="19"/>
          <w:color w:val="auto"/>
        </w:rPr>
        <w:t>. Except as modified hereby, the Lease shall be and remain in full force and effect. In the event of any conflict between the terms of the Lease and the terms of this Third Amendment, the terms of this Third Amendment shall control.</w:t>
      </w:r>
    </w:p>
    <w:p>
      <w:pPr>
        <w:spacing w:after="0" w:line="166" w:lineRule="exact"/>
        <w:rPr>
          <w:rFonts w:ascii="Arial" w:cs="Arial" w:eastAsia="Arial" w:hAnsi="Arial"/>
          <w:sz w:val="19"/>
          <w:szCs w:val="19"/>
          <w:color w:val="auto"/>
        </w:rPr>
      </w:pPr>
    </w:p>
    <w:p>
      <w:pPr>
        <w:jc w:val="both"/>
        <w:ind w:left="368" w:hanging="368"/>
        <w:spacing w:after="0" w:line="229" w:lineRule="auto"/>
        <w:tabs>
          <w:tab w:leader="none" w:pos="36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Broker</w:t>
      </w:r>
      <w:r>
        <w:rPr>
          <w:rFonts w:ascii="Arial" w:cs="Arial" w:eastAsia="Arial" w:hAnsi="Arial"/>
          <w:sz w:val="20"/>
          <w:szCs w:val="20"/>
          <w:color w:val="auto"/>
        </w:rPr>
        <w:t>. Tenant covenants, warrants and represents to Landlord that no broker or other similar agent represented Tenant in the negotiation of this Amendment other than Cushman &amp; Wakefield (Steve Billigmeier and Rob Bain) (“</w:t>
      </w:r>
      <w:r>
        <w:rPr>
          <w:rFonts w:ascii="Arial" w:cs="Arial" w:eastAsia="Arial" w:hAnsi="Arial"/>
          <w:sz w:val="20"/>
          <w:szCs w:val="20"/>
          <w:b w:val="1"/>
          <w:bCs w:val="1"/>
          <w:color w:val="auto"/>
        </w:rPr>
        <w:t>Tenant’s Broker</w:t>
      </w:r>
      <w:r>
        <w:rPr>
          <w:rFonts w:ascii="Arial" w:cs="Arial" w:eastAsia="Arial" w:hAnsi="Arial"/>
          <w:sz w:val="20"/>
          <w:szCs w:val="20"/>
          <w:color w:val="auto"/>
        </w:rPr>
        <w:t>”). Landlord covenants, warrants and represents to Tenant that no broker or other similar agent represented Landlord in the negotiation of this Amendment. Each party agrees to and hereby does defend, indemnify and hold the other harmless against and from any brokerage commissions or finder’s fees or claims therefore by a party other than Tenant’s Broker claiming to have dealt with the indemnifying party and all costs, expenses and liabilities in connection therewith, including, without limitation, reasonable attorneys’ fees and expenses, for any breach of the foregoing. The foregoing indemnification shall survive the termination or earlier expiration of the Lease.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20"/>
          <w:szCs w:val="20"/>
          <w:color w:val="auto"/>
        </w:rPr>
        <w:t>[Signatures on Following Page]</w:t>
      </w:r>
    </w:p>
    <w:p>
      <w:pPr>
        <w:spacing w:after="0" w:line="290" w:lineRule="exact"/>
        <w:rPr>
          <w:sz w:val="20"/>
          <w:szCs w:val="20"/>
          <w:color w:val="auto"/>
        </w:rPr>
      </w:pPr>
    </w:p>
    <w:p>
      <w:pPr>
        <w:jc w:val="center"/>
        <w:ind w:right="-87"/>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65405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8"/>
          </w:cols>
          <w:pgMar w:left="432" w:top="190" w:right="459" w:bottom="1440" w:gutter="0" w:footer="0" w:header="0"/>
        </w:sectPr>
      </w:pPr>
    </w:p>
    <w:bookmarkStart w:id="138" w:name="page139"/>
    <w:bookmarkEnd w:id="138"/>
    <w:p>
      <w:pPr>
        <w:spacing w:after="0" w:line="472" w:lineRule="auto"/>
        <w:rPr>
          <w:sz w:val="20"/>
          <w:szCs w:val="20"/>
          <w:color w:val="auto"/>
        </w:rPr>
      </w:pPr>
      <w:r>
        <w:rPr>
          <w:rFonts w:ascii="Arial" w:cs="Arial" w:eastAsia="Arial" w:hAnsi="Arial"/>
          <w:sz w:val="20"/>
          <w:szCs w:val="20"/>
          <w:color w:val="auto"/>
        </w:rPr>
        <w:t>IN WITNESS WHEREOF, Landlord and Tenant have executed this Third Amendment as of the day and year first above written. LANDLORD: AERO-TECH INVESTMENTS, LLC, a Colorado limited liability company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AARON CLAMAN</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Aaron Claman, its Manager</w:t>
      </w:r>
    </w:p>
    <w:p>
      <w:pPr>
        <w:spacing w:after="0" w:line="200" w:lineRule="exact"/>
        <w:rPr>
          <w:sz w:val="20"/>
          <w:szCs w:val="20"/>
          <w:color w:val="auto"/>
        </w:rPr>
      </w:pPr>
    </w:p>
    <w:p>
      <w:pPr>
        <w:spacing w:after="0" w:line="229"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TENANT:</w:t>
      </w:r>
      <w:r>
        <w:rPr>
          <w:sz w:val="20"/>
          <w:szCs w:val="20"/>
          <w:color w:val="auto"/>
        </w:rPr>
        <w:tab/>
      </w:r>
      <w:r>
        <w:rPr>
          <w:rFonts w:ascii="Arial" w:cs="Arial" w:eastAsia="Arial" w:hAnsi="Arial"/>
          <w:sz w:val="20"/>
          <w:szCs w:val="20"/>
          <w:color w:val="auto"/>
        </w:rPr>
        <w:t>BIODESIX, INC. a Delaware corporation</w:t>
      </w:r>
    </w:p>
    <w:p>
      <w:pPr>
        <w:spacing w:after="0" w:line="200" w:lineRule="exact"/>
        <w:rPr>
          <w:sz w:val="20"/>
          <w:szCs w:val="20"/>
          <w:color w:val="auto"/>
        </w:rPr>
      </w:pPr>
    </w:p>
    <w:p>
      <w:pPr>
        <w:spacing w:after="0" w:line="23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ROBIN HARPER COWIE</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Robin Harper Cowie, its CFO</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65405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440" w:top="595" w:right="1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Biodesix, Inc.:</w:t>
      </w:r>
    </w:p>
    <w:p>
      <w:pPr>
        <w:spacing w:after="0" w:line="1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consent to the incorporation by reference in the registration statements (No. 333-249805) on Form S-8 and (No. 333-261905) on Form S-3 of our report dated March 14, 2022, with respect to the financial statements of Biodesix,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78"/>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Biodesix, Inc.;</w:t>
      </w:r>
    </w:p>
    <w:p>
      <w:pPr>
        <w:spacing w:after="0" w:line="202" w:lineRule="exact"/>
        <w:rPr>
          <w:rFonts w:ascii="Arial" w:cs="Arial" w:eastAsia="Arial" w:hAnsi="Arial"/>
          <w:sz w:val="20"/>
          <w:szCs w:val="20"/>
          <w:color w:val="auto"/>
        </w:rPr>
      </w:pPr>
    </w:p>
    <w:p>
      <w:pPr>
        <w:jc w:val="both"/>
        <w:ind w:left="760" w:hanging="752"/>
        <w:spacing w:after="0" w:line="236" w:lineRule="auto"/>
        <w:tabs>
          <w:tab w:leader="none" w:pos="760" w:val="left"/>
        </w:tabs>
        <w:numPr>
          <w:ilvl w:val="0"/>
          <w:numId w:val="78"/>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0"/>
          <w:szCs w:val="20"/>
          <w:color w:val="auto"/>
        </w:rPr>
      </w:pPr>
    </w:p>
    <w:p>
      <w:pPr>
        <w:ind w:left="760" w:hanging="752"/>
        <w:spacing w:after="0" w:line="263" w:lineRule="auto"/>
        <w:tabs>
          <w:tab w:leader="none" w:pos="760" w:val="left"/>
        </w:tabs>
        <w:numPr>
          <w:ilvl w:val="0"/>
          <w:numId w:val="78"/>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78"/>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20"/>
          <w:szCs w:val="20"/>
          <w:color w:val="auto"/>
        </w:rPr>
      </w:pPr>
    </w:p>
    <w:p>
      <w:pPr>
        <w:jc w:val="both"/>
        <w:ind w:left="1500" w:hanging="743"/>
        <w:spacing w:after="0" w:line="236" w:lineRule="auto"/>
        <w:tabs>
          <w:tab w:leader="none" w:pos="1500" w:val="left"/>
        </w:tabs>
        <w:numPr>
          <w:ilvl w:val="1"/>
          <w:numId w:val="78"/>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20"/>
          <w:szCs w:val="20"/>
          <w:color w:val="auto"/>
        </w:rPr>
      </w:pPr>
    </w:p>
    <w:p>
      <w:pPr>
        <w:jc w:val="both"/>
        <w:ind w:left="1500" w:hanging="743"/>
        <w:spacing w:after="0" w:line="236" w:lineRule="auto"/>
        <w:tabs>
          <w:tab w:leader="none" w:pos="1500" w:val="left"/>
        </w:tabs>
        <w:numPr>
          <w:ilvl w:val="1"/>
          <w:numId w:val="78"/>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20"/>
          <w:szCs w:val="20"/>
          <w:color w:val="auto"/>
        </w:rPr>
      </w:pPr>
    </w:p>
    <w:p>
      <w:pPr>
        <w:jc w:val="both"/>
        <w:ind w:left="1500" w:hanging="743"/>
        <w:spacing w:after="0" w:line="294" w:lineRule="auto"/>
        <w:tabs>
          <w:tab w:leader="none" w:pos="1500" w:val="left"/>
        </w:tabs>
        <w:numPr>
          <w:ilvl w:val="1"/>
          <w:numId w:val="78"/>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8"/>
          <w:szCs w:val="18"/>
          <w:color w:val="auto"/>
        </w:rPr>
      </w:pPr>
    </w:p>
    <w:p>
      <w:pPr>
        <w:jc w:val="both"/>
        <w:ind w:left="1500" w:hanging="743"/>
        <w:spacing w:after="0" w:line="236" w:lineRule="auto"/>
        <w:tabs>
          <w:tab w:leader="none" w:pos="1500" w:val="left"/>
        </w:tabs>
        <w:numPr>
          <w:ilvl w:val="1"/>
          <w:numId w:val="78"/>
        </w:numPr>
        <w:rPr>
          <w:rFonts w:ascii="Arial" w:cs="Arial" w:eastAsia="Arial" w:hAnsi="Arial"/>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20"/>
          <w:szCs w:val="20"/>
          <w:color w:val="auto"/>
        </w:rPr>
      </w:pPr>
    </w:p>
    <w:p>
      <w:pPr>
        <w:ind w:left="760" w:hanging="752"/>
        <w:spacing w:after="0" w:line="294" w:lineRule="auto"/>
        <w:tabs>
          <w:tab w:leader="none" w:pos="760" w:val="left"/>
        </w:tabs>
        <w:numPr>
          <w:ilvl w:val="0"/>
          <w:numId w:val="7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8"/>
          <w:szCs w:val="18"/>
          <w:color w:val="auto"/>
        </w:rPr>
      </w:pPr>
    </w:p>
    <w:p>
      <w:pPr>
        <w:ind w:left="1500" w:hanging="743"/>
        <w:spacing w:after="0" w:line="263" w:lineRule="auto"/>
        <w:tabs>
          <w:tab w:leader="none" w:pos="1500" w:val="left"/>
        </w:tabs>
        <w:numPr>
          <w:ilvl w:val="1"/>
          <w:numId w:val="78"/>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9"/>
          <w:szCs w:val="19"/>
          <w:color w:val="auto"/>
        </w:rPr>
      </w:pPr>
    </w:p>
    <w:p>
      <w:pPr>
        <w:ind w:left="1500" w:hanging="743"/>
        <w:spacing w:after="0" w:line="237" w:lineRule="auto"/>
        <w:tabs>
          <w:tab w:leader="none" w:pos="1500" w:val="left"/>
        </w:tabs>
        <w:numPr>
          <w:ilvl w:val="1"/>
          <w:numId w:val="78"/>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4960" w:val="left"/>
          <w:tab w:leader="none" w:pos="75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6350</wp:posOffset>
            </wp:positionV>
            <wp:extent cx="37033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Scott Hutton</w:t>
      </w:r>
    </w:p>
    <w:p>
      <w:pPr>
        <w:jc w:val="center"/>
        <w:ind w:left="53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0"/>
          <w:szCs w:val="20"/>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79"/>
        </w:numPr>
        <w:rPr>
          <w:rFonts w:ascii="Arial" w:cs="Arial" w:eastAsia="Arial" w:hAnsi="Arial"/>
          <w:sz w:val="20"/>
          <w:szCs w:val="20"/>
          <w:color w:val="auto"/>
        </w:rPr>
      </w:pPr>
      <w:r>
        <w:rPr>
          <w:rFonts w:ascii="Arial" w:cs="Arial" w:eastAsia="Arial" w:hAnsi="Arial"/>
          <w:sz w:val="18"/>
          <w:szCs w:val="18"/>
          <w:color w:val="auto"/>
        </w:rPr>
        <w:t>I have reviewed this Annual Report on Form 10-K of Biodesix, Inc.;</w:t>
      </w:r>
    </w:p>
    <w:p>
      <w:pPr>
        <w:spacing w:after="0" w:line="202" w:lineRule="exact"/>
        <w:rPr>
          <w:rFonts w:ascii="Arial" w:cs="Arial" w:eastAsia="Arial" w:hAnsi="Arial"/>
          <w:sz w:val="20"/>
          <w:szCs w:val="20"/>
          <w:color w:val="auto"/>
        </w:rPr>
      </w:pPr>
    </w:p>
    <w:p>
      <w:pPr>
        <w:jc w:val="both"/>
        <w:ind w:left="760" w:hanging="752"/>
        <w:spacing w:after="0" w:line="236" w:lineRule="auto"/>
        <w:tabs>
          <w:tab w:leader="none" w:pos="760" w:val="left"/>
        </w:tabs>
        <w:numPr>
          <w:ilvl w:val="0"/>
          <w:numId w:val="79"/>
        </w:numPr>
        <w:rPr>
          <w:rFonts w:ascii="Arial" w:cs="Arial" w:eastAsia="Arial" w:hAnsi="Arial"/>
          <w:sz w:val="20"/>
          <w:szCs w:val="20"/>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20"/>
          <w:szCs w:val="20"/>
          <w:color w:val="auto"/>
        </w:rPr>
      </w:pPr>
    </w:p>
    <w:p>
      <w:pPr>
        <w:ind w:left="760" w:hanging="752"/>
        <w:spacing w:after="0" w:line="263" w:lineRule="auto"/>
        <w:tabs>
          <w:tab w:leader="none" w:pos="760" w:val="left"/>
        </w:tabs>
        <w:numPr>
          <w:ilvl w:val="0"/>
          <w:numId w:val="79"/>
        </w:numPr>
        <w:rPr>
          <w:rFonts w:ascii="Arial" w:cs="Arial" w:eastAsia="Arial" w:hAnsi="Arial"/>
          <w:sz w:val="19"/>
          <w:szCs w:val="19"/>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9"/>
          <w:szCs w:val="19"/>
          <w:color w:val="auto"/>
        </w:rPr>
      </w:pPr>
    </w:p>
    <w:p>
      <w:pPr>
        <w:jc w:val="both"/>
        <w:ind w:left="760" w:hanging="752"/>
        <w:spacing w:after="0" w:line="236" w:lineRule="auto"/>
        <w:tabs>
          <w:tab w:leader="none" w:pos="760" w:val="left"/>
        </w:tabs>
        <w:numPr>
          <w:ilvl w:val="0"/>
          <w:numId w:val="79"/>
        </w:numPr>
        <w:rPr>
          <w:rFonts w:ascii="Arial" w:cs="Arial" w:eastAsia="Arial" w:hAnsi="Arial"/>
          <w:sz w:val="20"/>
          <w:szCs w:val="20"/>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Arial" w:cs="Arial" w:eastAsia="Arial" w:hAnsi="Arial"/>
          <w:sz w:val="20"/>
          <w:szCs w:val="20"/>
          <w:color w:val="auto"/>
        </w:rPr>
      </w:pPr>
    </w:p>
    <w:p>
      <w:pPr>
        <w:jc w:val="both"/>
        <w:ind w:left="1500" w:hanging="743"/>
        <w:spacing w:after="0" w:line="236" w:lineRule="auto"/>
        <w:tabs>
          <w:tab w:leader="none" w:pos="1500" w:val="left"/>
        </w:tabs>
        <w:numPr>
          <w:ilvl w:val="1"/>
          <w:numId w:val="79"/>
        </w:numPr>
        <w:rPr>
          <w:rFonts w:ascii="Arial" w:cs="Arial" w:eastAsia="Arial" w:hAnsi="Arial"/>
          <w:sz w:val="20"/>
          <w:szCs w:val="20"/>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20"/>
          <w:szCs w:val="20"/>
          <w:color w:val="auto"/>
        </w:rPr>
      </w:pPr>
    </w:p>
    <w:p>
      <w:pPr>
        <w:jc w:val="both"/>
        <w:ind w:left="1500" w:hanging="743"/>
        <w:spacing w:after="0" w:line="236" w:lineRule="auto"/>
        <w:tabs>
          <w:tab w:leader="none" w:pos="1500" w:val="left"/>
        </w:tabs>
        <w:numPr>
          <w:ilvl w:val="1"/>
          <w:numId w:val="79"/>
        </w:numPr>
        <w:rPr>
          <w:rFonts w:ascii="Arial" w:cs="Arial" w:eastAsia="Arial" w:hAnsi="Arial"/>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20"/>
          <w:szCs w:val="20"/>
          <w:color w:val="auto"/>
        </w:rPr>
      </w:pPr>
    </w:p>
    <w:p>
      <w:pPr>
        <w:jc w:val="both"/>
        <w:ind w:left="1500" w:hanging="743"/>
        <w:spacing w:after="0" w:line="294" w:lineRule="auto"/>
        <w:tabs>
          <w:tab w:leader="none" w:pos="1500" w:val="left"/>
        </w:tabs>
        <w:numPr>
          <w:ilvl w:val="1"/>
          <w:numId w:val="79"/>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8"/>
          <w:szCs w:val="18"/>
          <w:color w:val="auto"/>
        </w:rPr>
      </w:pPr>
    </w:p>
    <w:p>
      <w:pPr>
        <w:jc w:val="both"/>
        <w:ind w:left="1500" w:hanging="743"/>
        <w:spacing w:after="0" w:line="236" w:lineRule="auto"/>
        <w:tabs>
          <w:tab w:leader="none" w:pos="1500" w:val="left"/>
        </w:tabs>
        <w:numPr>
          <w:ilvl w:val="1"/>
          <w:numId w:val="79"/>
        </w:numPr>
        <w:rPr>
          <w:rFonts w:ascii="Arial" w:cs="Arial" w:eastAsia="Arial" w:hAnsi="Arial"/>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20"/>
          <w:szCs w:val="20"/>
          <w:color w:val="auto"/>
        </w:rPr>
      </w:pPr>
    </w:p>
    <w:p>
      <w:pPr>
        <w:ind w:left="760" w:hanging="752"/>
        <w:spacing w:after="0" w:line="294" w:lineRule="auto"/>
        <w:tabs>
          <w:tab w:leader="none" w:pos="760" w:val="left"/>
        </w:tabs>
        <w:numPr>
          <w:ilvl w:val="0"/>
          <w:numId w:val="79"/>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8"/>
          <w:szCs w:val="18"/>
          <w:color w:val="auto"/>
        </w:rPr>
      </w:pPr>
    </w:p>
    <w:p>
      <w:pPr>
        <w:ind w:left="1500" w:hanging="743"/>
        <w:spacing w:after="0" w:line="263" w:lineRule="auto"/>
        <w:tabs>
          <w:tab w:leader="none" w:pos="1500" w:val="left"/>
        </w:tabs>
        <w:numPr>
          <w:ilvl w:val="1"/>
          <w:numId w:val="79"/>
        </w:numPr>
        <w:rPr>
          <w:rFonts w:ascii="Arial" w:cs="Arial" w:eastAsia="Arial" w:hAnsi="Arial"/>
          <w:sz w:val="19"/>
          <w:szCs w:val="19"/>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9"/>
          <w:szCs w:val="19"/>
          <w:color w:val="auto"/>
        </w:rPr>
      </w:pPr>
    </w:p>
    <w:p>
      <w:pPr>
        <w:ind w:left="1500" w:hanging="743"/>
        <w:spacing w:after="0" w:line="237" w:lineRule="auto"/>
        <w:tabs>
          <w:tab w:leader="none" w:pos="1500" w:val="left"/>
        </w:tabs>
        <w:numPr>
          <w:ilvl w:val="1"/>
          <w:numId w:val="79"/>
        </w:numPr>
        <w:rPr>
          <w:rFonts w:ascii="Arial" w:cs="Arial" w:eastAsia="Arial" w:hAnsi="Arial"/>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20"/>
        <w:spacing w:after="0"/>
        <w:tabs>
          <w:tab w:leader="none" w:pos="5180" w:val="left"/>
          <w:tab w:leader="none" w:pos="736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6350</wp:posOffset>
            </wp:positionV>
            <wp:extent cx="3522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 w:lineRule="exact"/>
        <w:rPr>
          <w:sz w:val="20"/>
          <w:szCs w:val="20"/>
          <w:color w:val="auto"/>
        </w:rPr>
      </w:pPr>
    </w:p>
    <w:p>
      <w:pPr>
        <w:jc w:val="center"/>
        <w:ind w:left="5680"/>
        <w:spacing w:after="0"/>
        <w:rPr>
          <w:sz w:val="20"/>
          <w:szCs w:val="20"/>
          <w:color w:val="auto"/>
        </w:rPr>
      </w:pPr>
      <w:r>
        <w:rPr>
          <w:rFonts w:ascii="Arial" w:cs="Arial" w:eastAsia="Arial" w:hAnsi="Arial"/>
          <w:sz w:val="18"/>
          <w:szCs w:val="18"/>
          <w:color w:val="auto"/>
        </w:rPr>
        <w:t>Robin Harper Cowie</w:t>
      </w:r>
    </w:p>
    <w:p>
      <w:pPr>
        <w:jc w:val="center"/>
        <w:ind w:left="5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2021 as filed with the Securities and Exchange Commission on the date hereof (the “Report”), I certify, pursuant to 18 U.S.C. § 1350, as adopted pursuant to § 906 of the Sarbanes-Oxley Act of 2002, that, to my knowledge:</w:t>
      </w:r>
    </w:p>
    <w:p>
      <w:pPr>
        <w:spacing w:after="0" w:line="182" w:lineRule="exact"/>
        <w:rPr>
          <w:sz w:val="20"/>
          <w:szCs w:val="20"/>
          <w:color w:val="auto"/>
        </w:rPr>
      </w:pPr>
    </w:p>
    <w:p>
      <w:pPr>
        <w:ind w:left="1500" w:hanging="743"/>
        <w:spacing w:after="0"/>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500" w:hanging="743"/>
        <w:spacing w:after="0" w:line="261" w:lineRule="auto"/>
        <w:tabs>
          <w:tab w:leader="none" w:pos="1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780" w:val="left"/>
          <w:tab w:leader="none" w:pos="79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Scott Hutton</w:t>
      </w:r>
    </w:p>
    <w:p>
      <w:pPr>
        <w:jc w:val="center"/>
        <w:ind w:left="61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connection with the Annual Report of Biodesix, Inc. (the “Company”) on Form 10-K for the year ending December 31, 2021 as filed with the Securities and Exchange Commission on the date hereof (the “Report”), I certify, pursuant to 18 U.S.C. § 1350, as adopted pursuant to § 906 of the Sarbanes-Oxley Act of 2002, that, to my knowledge:</w:t>
      </w:r>
    </w:p>
    <w:p>
      <w:pPr>
        <w:spacing w:after="0" w:line="182" w:lineRule="exact"/>
        <w:rPr>
          <w:sz w:val="20"/>
          <w:szCs w:val="20"/>
          <w:color w:val="auto"/>
        </w:rPr>
      </w:pPr>
    </w:p>
    <w:p>
      <w:pPr>
        <w:ind w:left="1500" w:hanging="743"/>
        <w:spacing w:after="0"/>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500" w:hanging="743"/>
        <w:spacing w:after="0" w:line="261" w:lineRule="auto"/>
        <w:tabs>
          <w:tab w:leader="none" w:pos="1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780" w:val="left"/>
          <w:tab w:leader="none" w:pos="7620" w:val="left"/>
        </w:tabs>
        <w:rPr>
          <w:sz w:val="20"/>
          <w:szCs w:val="20"/>
          <w:color w:val="auto"/>
        </w:rPr>
      </w:pPr>
      <w:r>
        <w:rPr>
          <w:rFonts w:ascii="Arial" w:cs="Arial" w:eastAsia="Arial" w:hAnsi="Arial"/>
          <w:sz w:val="18"/>
          <w:szCs w:val="18"/>
          <w:color w:val="auto"/>
        </w:rPr>
        <w:t>Date: March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Robin Harper Cowie</w:t>
      </w: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lvl w:ilvl="1">
      <w:lvlJc w:val="left"/>
      <w:lvlText w:val="o"/>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lvl w:ilvl="1">
      <w:lvlJc w:val="left"/>
      <w:lvlText w:val="o"/>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o"/>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1)"/>
      <w:numFmt w:val="decimal"/>
      <w:start w:val="3"/>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1"/>
      <w:numFmt w:val="upperLetter"/>
      <w:start w:val="6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1"/>
    </w:lvl>
  </w:abstractNum>
  <w:abstractNum w:abstractNumId="61">
    <w:nsid w:val="6B94764"/>
    <w:multiLevelType w:val="hybridMultilevel"/>
    <w:lvl w:ilvl="0">
      <w:lvlJc w:val="left"/>
      <w:lvlText w:val="(%1)"/>
      <w:numFmt w:val="lowerLetter"/>
      <w:start w:val="1"/>
    </w:lvl>
  </w:abstractNum>
  <w:abstractNum w:abstractNumId="62">
    <w:nsid w:val="42C296BD"/>
    <w:multiLevelType w:val="hybridMultilevel"/>
    <w:lvl w:ilvl="0">
      <w:lvlJc w:val="left"/>
      <w:lvlText w:val="%1."/>
      <w:numFmt w:val="decimal"/>
      <w:start w:val="2"/>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
      <w:numFmt w:val="bullet"/>
      <w:start w:val="1"/>
    </w:lvl>
    <w:lvl w:ilvl="1">
      <w:lvlJc w:val="left"/>
      <w:lvlText w:val="%2"/>
      <w:numFmt w:val="decimal"/>
      <w:start w:val="104"/>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1"/>
      <w:numFmt w:val="bullet"/>
      <w:start w:val="1"/>
    </w:lvl>
  </w:abstractNum>
  <w:abstractNum w:abstractNumId="69">
    <w:nsid w:val="51D9C564"/>
    <w:multiLevelType w:val="hybridMultilevel"/>
    <w:lvl w:ilvl="0">
      <w:lvlJc w:val="left"/>
      <w:lvlText w:val="2"/>
      <w:numFmt w:val="bullet"/>
      <w:start w:val="1"/>
    </w:lvl>
  </w:abstractNum>
  <w:abstractNum w:abstractNumId="70">
    <w:nsid w:val="613EFDC5"/>
    <w:multiLevelType w:val="hybridMultilevel"/>
    <w:lvl w:ilvl="0">
      <w:lvlJc w:val="left"/>
      <w:lvlText w:val="3"/>
      <w:numFmt w:val="bullet"/>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1."/>
      <w:numFmt w:val="upperLetter"/>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lvl w:ilvl="1">
      <w:lvlJc w:val="left"/>
      <w:lvlText w:val="(%2)"/>
      <w:numFmt w:val="upperLetter"/>
      <w:start w:val="5"/>
    </w:lvl>
  </w:abstractNum>
  <w:abstractNum w:abstractNumId="76">
    <w:nsid w:val="1A32234B"/>
    <w:multiLevelType w:val="hybridMultilevel"/>
    <w:lvl w:ilvl="0">
      <w:lvlJc w:val="left"/>
      <w:lvlText w:val="%1."/>
      <w:numFmt w:val="decimal"/>
      <w:start w:val="4"/>
    </w:lvl>
    <w:lvl w:ilvl="1">
      <w:lvlJc w:val="left"/>
      <w:lvlText w:val="%2"/>
      <w:numFmt w:val="upperLetter"/>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23" Type="http://schemas.openxmlformats.org/officeDocument/2006/relationships/image" Target="media/image164.png"/><Relationship Id="rId224" Type="http://schemas.openxmlformats.org/officeDocument/2006/relationships/image" Target="media/image165.png"/><Relationship Id="rId225" Type="http://schemas.openxmlformats.org/officeDocument/2006/relationships/image" Target="media/image166.png"/><Relationship Id="rId226" Type="http://schemas.openxmlformats.org/officeDocument/2006/relationships/image" Target="media/image167.png"/><Relationship Id="rId227" Type="http://schemas.openxmlformats.org/officeDocument/2006/relationships/image" Target="media/image168.png"/><Relationship Id="rId228" Type="http://schemas.openxmlformats.org/officeDocument/2006/relationships/image" Target="media/image169.png"/><Relationship Id="rId229" Type="http://schemas.openxmlformats.org/officeDocument/2006/relationships/image" Target="media/image170.png"/><Relationship Id="rId230" Type="http://schemas.openxmlformats.org/officeDocument/2006/relationships/image" Target="media/image171.png"/><Relationship Id="rId231" Type="http://schemas.openxmlformats.org/officeDocument/2006/relationships/image" Target="media/image172.png"/><Relationship Id="rId232" Type="http://schemas.openxmlformats.org/officeDocument/2006/relationships/image" Target="media/image173.png"/><Relationship Id="rId233" Type="http://schemas.openxmlformats.org/officeDocument/2006/relationships/image" Target="media/image174.png"/><Relationship Id="rId234" Type="http://schemas.openxmlformats.org/officeDocument/2006/relationships/image" Target="media/image175.png"/><Relationship Id="rId235" Type="http://schemas.openxmlformats.org/officeDocument/2006/relationships/image" Target="media/image176.png"/><Relationship Id="rId236" Type="http://schemas.openxmlformats.org/officeDocument/2006/relationships/image" Target="media/image177.png"/><Relationship Id="rId237"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76" Type="http://schemas.openxmlformats.org/officeDocument/2006/relationships/image" Target="media/image208.png"/><Relationship Id="rId277" Type="http://schemas.openxmlformats.org/officeDocument/2006/relationships/image" Target="media/image209.png"/><Relationship Id="rId278" Type="http://schemas.openxmlformats.org/officeDocument/2006/relationships/image" Target="media/image210.png"/><Relationship Id="rId279" Type="http://schemas.openxmlformats.org/officeDocument/2006/relationships/image" Target="media/image211.png"/><Relationship Id="rId280" Type="http://schemas.openxmlformats.org/officeDocument/2006/relationships/image" Target="media/image212.png"/><Relationship Id="rId281" Type="http://schemas.openxmlformats.org/officeDocument/2006/relationships/image" Target="media/image213.png"/><Relationship Id="rId282" Type="http://schemas.openxmlformats.org/officeDocument/2006/relationships/image" Target="media/image214.png"/><Relationship Id="rId283" Type="http://schemas.openxmlformats.org/officeDocument/2006/relationships/image" Target="media/image215.png"/><Relationship Id="rId284" Type="http://schemas.openxmlformats.org/officeDocument/2006/relationships/image" Target="media/image216.png"/><Relationship Id="rId285" Type="http://schemas.openxmlformats.org/officeDocument/2006/relationships/image" Target="media/image217.png"/><Relationship Id="rId286" Type="http://schemas.openxmlformats.org/officeDocument/2006/relationships/image" Target="media/image218.png"/><Relationship Id="rId287" Type="http://schemas.openxmlformats.org/officeDocument/2006/relationships/image" Target="media/image219.png"/><Relationship Id="rId288" Type="http://schemas.openxmlformats.org/officeDocument/2006/relationships/image" Target="media/image220.png"/><Relationship Id="rId289" Type="http://schemas.openxmlformats.org/officeDocument/2006/relationships/image" Target="media/image221.png"/><Relationship Id="rId290" Type="http://schemas.openxmlformats.org/officeDocument/2006/relationships/image" Target="media/image222.png"/><Relationship Id="rId291" Type="http://schemas.openxmlformats.org/officeDocument/2006/relationships/image" Target="media/image223.png"/><Relationship Id="rId292" Type="http://schemas.openxmlformats.org/officeDocument/2006/relationships/image" Target="media/image224.png"/><Relationship Id="rId293" Type="http://schemas.openxmlformats.org/officeDocument/2006/relationships/image" Target="media/image225.png"/><Relationship Id="rId294" Type="http://schemas.openxmlformats.org/officeDocument/2006/relationships/image" Target="media/image226.png"/><Relationship Id="rId295" Type="http://schemas.openxmlformats.org/officeDocument/2006/relationships/image" Target="media/image227.png"/><Relationship Id="rId296" Type="http://schemas.openxmlformats.org/officeDocument/2006/relationships/image" Target="media/image228.png"/><Relationship Id="rId297" Type="http://schemas.openxmlformats.org/officeDocument/2006/relationships/image" Target="media/image229.png"/><Relationship Id="rId298" Type="http://schemas.openxmlformats.org/officeDocument/2006/relationships/image" Target="media/image230.png"/><Relationship Id="rId299" Type="http://schemas.openxmlformats.org/officeDocument/2006/relationships/image" Target="media/image231.png"/><Relationship Id="rId300" Type="http://schemas.openxmlformats.org/officeDocument/2006/relationships/image" Target="media/image232.png"/><Relationship Id="rId301" Type="http://schemas.openxmlformats.org/officeDocument/2006/relationships/image" Target="media/image233.png"/><Relationship Id="rId302" Type="http://schemas.openxmlformats.org/officeDocument/2006/relationships/image" Target="media/image234.png"/><Relationship Id="rId303" Type="http://schemas.openxmlformats.org/officeDocument/2006/relationships/image" Target="media/image235.png"/><Relationship Id="rId304" Type="http://schemas.openxmlformats.org/officeDocument/2006/relationships/image" Target="media/image236.png"/><Relationship Id="rId305" Type="http://schemas.openxmlformats.org/officeDocument/2006/relationships/image" Target="media/image237.png"/><Relationship Id="rId306" Type="http://schemas.openxmlformats.org/officeDocument/2006/relationships/image" Target="media/image238.png"/><Relationship Id="rId307" Type="http://schemas.openxmlformats.org/officeDocument/2006/relationships/image" Target="media/image239.png"/><Relationship Id="rId308" Type="http://schemas.openxmlformats.org/officeDocument/2006/relationships/image" Target="media/image240.png"/><Relationship Id="rId309" Type="http://schemas.openxmlformats.org/officeDocument/2006/relationships/image" Target="media/image241.png"/><Relationship Id="rId310" Type="http://schemas.openxmlformats.org/officeDocument/2006/relationships/image" Target="media/image242.png"/><Relationship Id="rId311" Type="http://schemas.openxmlformats.org/officeDocument/2006/relationships/image" Target="media/image243.png"/><Relationship Id="rId312" Type="http://schemas.openxmlformats.org/officeDocument/2006/relationships/image" Target="media/image244.png"/><Relationship Id="rId313" Type="http://schemas.openxmlformats.org/officeDocument/2006/relationships/image" Target="media/image245.png"/><Relationship Id="rId314"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322" Type="http://schemas.openxmlformats.org/officeDocument/2006/relationships/image" Target="media/image254.png"/><Relationship Id="rId323" Type="http://schemas.openxmlformats.org/officeDocument/2006/relationships/image" Target="media/image255.png"/><Relationship Id="rId324" Type="http://schemas.openxmlformats.org/officeDocument/2006/relationships/image" Target="media/image256.png"/><Relationship Id="rId325" Type="http://schemas.openxmlformats.org/officeDocument/2006/relationships/image" Target="media/image257.png"/><Relationship Id="rId326" Type="http://schemas.openxmlformats.org/officeDocument/2006/relationships/image" Target="media/image258.png"/><Relationship Id="rId327" Type="http://schemas.openxmlformats.org/officeDocument/2006/relationships/image" Target="media/image259.png"/><Relationship Id="rId328" Type="http://schemas.openxmlformats.org/officeDocument/2006/relationships/image" Target="media/image260.png"/><Relationship Id="rId329" Type="http://schemas.openxmlformats.org/officeDocument/2006/relationships/image" Target="media/image261.png"/><Relationship Id="rId330" Type="http://schemas.openxmlformats.org/officeDocument/2006/relationships/image" Target="media/image262.png"/><Relationship Id="rId331" Type="http://schemas.openxmlformats.org/officeDocument/2006/relationships/image" Target="media/image263.png"/><Relationship Id="rId332" Type="http://schemas.openxmlformats.org/officeDocument/2006/relationships/image" Target="media/image264.png"/><Relationship Id="rId333" Type="http://schemas.openxmlformats.org/officeDocument/2006/relationships/image" Target="media/image265.png"/><Relationship Id="rId334"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0" Type="http://schemas.openxmlformats.org/officeDocument/2006/relationships/image" Target="media/image272.png"/><Relationship Id="rId341" Type="http://schemas.openxmlformats.org/officeDocument/2006/relationships/image" Target="media/image273.png"/><Relationship Id="rId342" Type="http://schemas.openxmlformats.org/officeDocument/2006/relationships/image" Target="media/image274.png"/><Relationship Id="rId343" Type="http://schemas.openxmlformats.org/officeDocument/2006/relationships/image" Target="media/image275.png"/><Relationship Id="rId344" Type="http://schemas.openxmlformats.org/officeDocument/2006/relationships/image" Target="media/image276.png"/><Relationship Id="rId345" Type="http://schemas.openxmlformats.org/officeDocument/2006/relationships/image" Target="media/image277.png"/><Relationship Id="rId346" Type="http://schemas.openxmlformats.org/officeDocument/2006/relationships/image" Target="media/image278.png"/><Relationship Id="rId347" Type="http://schemas.openxmlformats.org/officeDocument/2006/relationships/image" Target="media/image279.png"/><Relationship Id="rId348" Type="http://schemas.openxmlformats.org/officeDocument/2006/relationships/image" Target="media/image280.png"/><Relationship Id="rId349" Type="http://schemas.openxmlformats.org/officeDocument/2006/relationships/image" Target="media/image281.png"/><Relationship Id="rId350" Type="http://schemas.openxmlformats.org/officeDocument/2006/relationships/image" Target="media/image282.png"/><Relationship Id="rId351" Type="http://schemas.openxmlformats.org/officeDocument/2006/relationships/image" Target="media/image283.png"/><Relationship Id="rId352" Type="http://schemas.openxmlformats.org/officeDocument/2006/relationships/image" Target="media/image284.png"/><Relationship Id="rId353" Type="http://schemas.openxmlformats.org/officeDocument/2006/relationships/image" Target="media/image285.png"/><Relationship Id="rId354" Type="http://schemas.openxmlformats.org/officeDocument/2006/relationships/image" Target="media/image286.png"/><Relationship Id="rId355" Type="http://schemas.openxmlformats.org/officeDocument/2006/relationships/image" Target="media/image287.png"/><Relationship Id="rId356" Type="http://schemas.openxmlformats.org/officeDocument/2006/relationships/image" Target="media/image288.png"/><Relationship Id="rId357" Type="http://schemas.openxmlformats.org/officeDocument/2006/relationships/image" Target="media/image289.png"/><Relationship Id="rId358" Type="http://schemas.openxmlformats.org/officeDocument/2006/relationships/image" Target="media/image290.png"/><Relationship Id="rId359" Type="http://schemas.openxmlformats.org/officeDocument/2006/relationships/image" Target="media/image291.png"/><Relationship Id="rId360" Type="http://schemas.openxmlformats.org/officeDocument/2006/relationships/image" Target="media/image292.png"/><Relationship Id="rId361" Type="http://schemas.openxmlformats.org/officeDocument/2006/relationships/image" Target="media/image293.png"/><Relationship Id="rId362" Type="http://schemas.openxmlformats.org/officeDocument/2006/relationships/image" Target="media/image294.png"/><Relationship Id="rId363" Type="http://schemas.openxmlformats.org/officeDocument/2006/relationships/image" Target="media/image295.png"/><Relationship Id="rId364" Type="http://schemas.openxmlformats.org/officeDocument/2006/relationships/image" Target="media/image296.png"/><Relationship Id="rId365" Type="http://schemas.openxmlformats.org/officeDocument/2006/relationships/image" Target="media/image297.png"/><Relationship Id="rId366" Type="http://schemas.openxmlformats.org/officeDocument/2006/relationships/image" Target="media/image298.png"/><Relationship Id="rId367" Type="http://schemas.openxmlformats.org/officeDocument/2006/relationships/image" Target="media/image299.png"/><Relationship Id="rId368" Type="http://schemas.openxmlformats.org/officeDocument/2006/relationships/image" Target="media/image300.png"/><Relationship Id="rId369" Type="http://schemas.openxmlformats.org/officeDocument/2006/relationships/image" Target="media/image301.png"/><Relationship Id="rId370" Type="http://schemas.openxmlformats.org/officeDocument/2006/relationships/image" Target="media/image302.png"/><Relationship Id="rId371" Type="http://schemas.openxmlformats.org/officeDocument/2006/relationships/image" Target="media/image303.png"/><Relationship Id="rId372" Type="http://schemas.openxmlformats.org/officeDocument/2006/relationships/image" Target="media/image304.png"/><Relationship Id="rId373" Type="http://schemas.openxmlformats.org/officeDocument/2006/relationships/image" Target="media/image305.png"/><Relationship Id="rId374" Type="http://schemas.openxmlformats.org/officeDocument/2006/relationships/image" Target="media/image306.png"/><Relationship Id="rId375" Type="http://schemas.openxmlformats.org/officeDocument/2006/relationships/image" Target="media/image307.png"/><Relationship Id="rId376" Type="http://schemas.openxmlformats.org/officeDocument/2006/relationships/image" Target="media/image308.png"/><Relationship Id="rId377" Type="http://schemas.openxmlformats.org/officeDocument/2006/relationships/image" Target="media/image309.png"/><Relationship Id="rId378" Type="http://schemas.openxmlformats.org/officeDocument/2006/relationships/image" Target="media/image310.png"/><Relationship Id="rId379" Type="http://schemas.openxmlformats.org/officeDocument/2006/relationships/image" Target="media/image311.png"/><Relationship Id="rId380" Type="http://schemas.openxmlformats.org/officeDocument/2006/relationships/image" Target="media/image312.png"/><Relationship Id="rId381" Type="http://schemas.openxmlformats.org/officeDocument/2006/relationships/image" Target="media/image313.png"/><Relationship Id="rId382" Type="http://schemas.openxmlformats.org/officeDocument/2006/relationships/image" Target="media/image314.png"/><Relationship Id="rId383" Type="http://schemas.openxmlformats.org/officeDocument/2006/relationships/image" Target="media/image315.png"/><Relationship Id="rId384" Type="http://schemas.openxmlformats.org/officeDocument/2006/relationships/image" Target="media/image316.png"/><Relationship Id="rId385" Type="http://schemas.openxmlformats.org/officeDocument/2006/relationships/image" Target="media/image317.png"/><Relationship Id="rId386" Type="http://schemas.openxmlformats.org/officeDocument/2006/relationships/image" Target="media/image318.png"/><Relationship Id="rId387" Type="http://schemas.openxmlformats.org/officeDocument/2006/relationships/image" Target="media/image319.png"/><Relationship Id="rId388" Type="http://schemas.openxmlformats.org/officeDocument/2006/relationships/image" Target="media/image320.png"/><Relationship Id="rId389" Type="http://schemas.openxmlformats.org/officeDocument/2006/relationships/image" Target="media/image321.png"/><Relationship Id="rId390" Type="http://schemas.openxmlformats.org/officeDocument/2006/relationships/image" Target="media/image322.png"/><Relationship Id="rId391" Type="http://schemas.openxmlformats.org/officeDocument/2006/relationships/image" Target="media/image323.png"/><Relationship Id="rId392" Type="http://schemas.openxmlformats.org/officeDocument/2006/relationships/image" Target="media/image324.png"/><Relationship Id="rId393" Type="http://schemas.openxmlformats.org/officeDocument/2006/relationships/image" Target="media/image325.png"/><Relationship Id="rId394" Type="http://schemas.openxmlformats.org/officeDocument/2006/relationships/image" Target="media/image326.png"/><Relationship Id="rId395" Type="http://schemas.openxmlformats.org/officeDocument/2006/relationships/image" Target="media/image327.png"/><Relationship Id="rId396" Type="http://schemas.openxmlformats.org/officeDocument/2006/relationships/image" Target="media/image328.png"/><Relationship Id="rId397" Type="http://schemas.openxmlformats.org/officeDocument/2006/relationships/image" Target="media/image329.png"/><Relationship Id="rId398" Type="http://schemas.openxmlformats.org/officeDocument/2006/relationships/image" Target="media/image330.png"/><Relationship Id="rId399" Type="http://schemas.openxmlformats.org/officeDocument/2006/relationships/image" Target="media/image331.png"/><Relationship Id="rId400" Type="http://schemas.openxmlformats.org/officeDocument/2006/relationships/image" Target="media/image332.png"/><Relationship Id="rId401" Type="http://schemas.openxmlformats.org/officeDocument/2006/relationships/image" Target="media/image333.png"/><Relationship Id="rId402" Type="http://schemas.openxmlformats.org/officeDocument/2006/relationships/image" Target="media/image334.png"/><Relationship Id="rId403" Type="http://schemas.openxmlformats.org/officeDocument/2006/relationships/image" Target="media/image335.png"/><Relationship Id="rId404" Type="http://schemas.openxmlformats.org/officeDocument/2006/relationships/image" Target="media/image336.png"/><Relationship Id="rId405" Type="http://schemas.openxmlformats.org/officeDocument/2006/relationships/image" Target="media/image337.png"/><Relationship Id="rId406" Type="http://schemas.openxmlformats.org/officeDocument/2006/relationships/image" Target="media/image338.png"/><Relationship Id="rId407" Type="http://schemas.openxmlformats.org/officeDocument/2006/relationships/image" Target="media/image339.png"/><Relationship Id="rId408" Type="http://schemas.openxmlformats.org/officeDocument/2006/relationships/image" Target="media/image340.png"/><Relationship Id="rId409" Type="http://schemas.openxmlformats.org/officeDocument/2006/relationships/image" Target="media/image341.png"/><Relationship Id="rId410" Type="http://schemas.openxmlformats.org/officeDocument/2006/relationships/image" Target="media/image342.png"/><Relationship Id="rId411" Type="http://schemas.openxmlformats.org/officeDocument/2006/relationships/image" Target="media/image343.png"/><Relationship Id="rId412" Type="http://schemas.openxmlformats.org/officeDocument/2006/relationships/image" Target="media/image344.png"/><Relationship Id="rId413" Type="http://schemas.openxmlformats.org/officeDocument/2006/relationships/image" Target="media/image345.png"/><Relationship Id="rId414" Type="http://schemas.openxmlformats.org/officeDocument/2006/relationships/image" Target="media/image346.png"/><Relationship Id="rId415" Type="http://schemas.openxmlformats.org/officeDocument/2006/relationships/image" Target="media/image347.png"/><Relationship Id="rId416" Type="http://schemas.openxmlformats.org/officeDocument/2006/relationships/image" Target="media/image348.png"/><Relationship Id="rId417" Type="http://schemas.openxmlformats.org/officeDocument/2006/relationships/image" Target="media/image349.png"/><Relationship Id="rId418" Type="http://schemas.openxmlformats.org/officeDocument/2006/relationships/image" Target="media/image350.png"/><Relationship Id="rId419" Type="http://schemas.openxmlformats.org/officeDocument/2006/relationships/image" Target="media/image351.png"/><Relationship Id="rId420" Type="http://schemas.openxmlformats.org/officeDocument/2006/relationships/image" Target="media/image352.png"/><Relationship Id="rId421" Type="http://schemas.openxmlformats.org/officeDocument/2006/relationships/image" Target="media/image353.png"/><Relationship Id="rId422" Type="http://schemas.openxmlformats.org/officeDocument/2006/relationships/image" Target="media/image354.png"/><Relationship Id="rId423" Type="http://schemas.openxmlformats.org/officeDocument/2006/relationships/image" Target="media/image355.png"/><Relationship Id="rId424" Type="http://schemas.openxmlformats.org/officeDocument/2006/relationships/image" Target="media/image356.png"/><Relationship Id="rId425" Type="http://schemas.openxmlformats.org/officeDocument/2006/relationships/image" Target="media/image357.png"/><Relationship Id="rId426" Type="http://schemas.openxmlformats.org/officeDocument/2006/relationships/image" Target="media/image358.png"/><Relationship Id="rId427" Type="http://schemas.openxmlformats.org/officeDocument/2006/relationships/image" Target="media/image359.png"/><Relationship Id="rId167" Type="http://schemas.openxmlformats.org/officeDocument/2006/relationships/hyperlink" Target="https://www.sec.gov/Archives/edgar/data/1439725/000156459020056735/bdsx-ex31_716.htm" TargetMode="External"/><Relationship Id="rId168" Type="http://schemas.openxmlformats.org/officeDocument/2006/relationships/hyperlink" Target="https://www.sec.gov/Archives/edgar/data/1439725/000156459020056735/bdsx-ex32_717.htm" TargetMode="External"/><Relationship Id="rId169" Type="http://schemas.openxmlformats.org/officeDocument/2006/relationships/hyperlink" Target="https://www.sec.gov/Archives/edgar/data/1439725/000119312520273369/d937421dex41.htm" TargetMode="External"/><Relationship Id="rId170" Type="http://schemas.openxmlformats.org/officeDocument/2006/relationships/hyperlink" Target="https://www.sec.gov/Archives/edgar/data/1439725/000119312520262422/d937421dex42.htm" TargetMode="External"/><Relationship Id="rId171" Type="http://schemas.openxmlformats.org/officeDocument/2006/relationships/hyperlink" Target="https://www.sec.gov/Archives/edgar/data/1439725/000119312520262422/d937421dex43.htm" TargetMode="External"/><Relationship Id="rId172" Type="http://schemas.openxmlformats.org/officeDocument/2006/relationships/hyperlink" Target="https://www.sec.gov/Archives/edgar/data/1439725/000119312520262422/d937421dex44.htm" TargetMode="External"/><Relationship Id="rId173" Type="http://schemas.openxmlformats.org/officeDocument/2006/relationships/hyperlink" Target="https://www.sec.gov/Archives/edgar/data/1439725/000156459021013512/bdsx-ex45_270.htm" TargetMode="External"/><Relationship Id="rId174" Type="http://schemas.openxmlformats.org/officeDocument/2006/relationships/hyperlink" Target="https://www.sec.gov/Archives/edgar/data/1439725/000119312520266992/d937421dex101.htm" TargetMode="External"/><Relationship Id="rId175" Type="http://schemas.openxmlformats.org/officeDocument/2006/relationships/hyperlink" Target="https://www.sec.gov/Archives/edgar/data/1439725/000119312520266992/d937421dex1021.htm" TargetMode="External"/><Relationship Id="rId176" Type="http://schemas.openxmlformats.org/officeDocument/2006/relationships/hyperlink" Target="https://www.sec.gov/Archives/edgar/data/1439725/000119312520266992/d937421dex1022.htm" TargetMode="External"/><Relationship Id="rId177" Type="http://schemas.openxmlformats.org/officeDocument/2006/relationships/hyperlink" Target="https://www.sec.gov/Archives/edgar/data/1439725/000119312520266992/d937421dex1023.htm" TargetMode="External"/><Relationship Id="rId178" Type="http://schemas.openxmlformats.org/officeDocument/2006/relationships/hyperlink" Target="https://www.sec.gov/Archives/edgar/data/1439725/000119312520262422/d937421dex103.htm" TargetMode="External"/><Relationship Id="rId179" Type="http://schemas.openxmlformats.org/officeDocument/2006/relationships/hyperlink" Target="https://www.sec.gov/Archives/edgar/data/1439725/000119312520266992/d937421dex1041.htm" TargetMode="External"/><Relationship Id="rId180" Type="http://schemas.openxmlformats.org/officeDocument/2006/relationships/hyperlink" Target="https://www.sec.gov/Archives/edgar/data/1439725/000119312520266992/d937421dex1042.htm" TargetMode="External"/><Relationship Id="rId181" Type="http://schemas.openxmlformats.org/officeDocument/2006/relationships/hyperlink" Target="https://www.sec.gov/Archives/edgar/data/1439725/000119312520266992/d937421dex1043.htm" TargetMode="External"/><Relationship Id="rId182" Type="http://schemas.openxmlformats.org/officeDocument/2006/relationships/hyperlink" Target="https://www.sec.gov/Archives/edgar/data/1439725/000119312520275630/d937421dex105.htm" TargetMode="External"/><Relationship Id="rId183" Type="http://schemas.openxmlformats.org/officeDocument/2006/relationships/hyperlink" Target="https://www.sec.gov/Archives/edgar/data/1439725/000156459021013512/bdsx-ex1051_388.htm" TargetMode="External"/><Relationship Id="rId184" Type="http://schemas.openxmlformats.org/officeDocument/2006/relationships/hyperlink" Target="https://www.sec.gov/Archives/edgar/data/1439725/000156459021043081/bdsx-ex1052_236.htm" TargetMode="External"/><Relationship Id="rId187" Type="http://schemas.openxmlformats.org/officeDocument/2006/relationships/hyperlink" Target="https://www.sec.gov/Archives/edgar/data/1439725/000119312520275630/d937421dex106.htm" TargetMode="External"/><Relationship Id="rId188" Type="http://schemas.openxmlformats.org/officeDocument/2006/relationships/hyperlink" Target="https://www.sec.gov/Archives/edgar/data/1439725/000119312520262422/d937421dex1051.htm" TargetMode="External"/><Relationship Id="rId189" Type="http://schemas.openxmlformats.org/officeDocument/2006/relationships/hyperlink" Target="https://www.sec.gov/Archives/edgar/data/1439725/000119312520262422/d937421dex1052.htm" TargetMode="External"/><Relationship Id="rId190" Type="http://schemas.openxmlformats.org/officeDocument/2006/relationships/hyperlink" Target="https://www.sec.gov/Archives/edgar/data/1439725/000119312520262422/d937421dex1053.htm" TargetMode="External"/><Relationship Id="rId191" Type="http://schemas.openxmlformats.org/officeDocument/2006/relationships/hyperlink" Target="https://www.sec.gov/Archives/edgar/data/1439725/000119312520266992/d937421dex1061.htm" TargetMode="External"/><Relationship Id="rId192" Type="http://schemas.openxmlformats.org/officeDocument/2006/relationships/hyperlink" Target="https://www.sec.gov/Archives/edgar/data/1439725/000119312520266992/d937421dex1062.htm" TargetMode="External"/><Relationship Id="rId193" Type="http://schemas.openxmlformats.org/officeDocument/2006/relationships/hyperlink" Target="https://www.sec.gov/Archives/edgar/data/1439725/000119312520268763/d937421dex107.htm" TargetMode="External"/><Relationship Id="rId194" Type="http://schemas.openxmlformats.org/officeDocument/2006/relationships/hyperlink" Target="https://www.sec.gov/Archives/edgar/data/1439725/000119312520262422/d937421dex1091.htm" TargetMode="External"/><Relationship Id="rId195" Type="http://schemas.openxmlformats.org/officeDocument/2006/relationships/hyperlink" Target="https://www.sec.gov/Archives/edgar/data/1439725/000119312520262422/d937421dex1092.htm" TargetMode="External"/><Relationship Id="rId196" Type="http://schemas.openxmlformats.org/officeDocument/2006/relationships/hyperlink" Target="https://www.sec.gov/Archives/edgar/data/1439725/000119312520262422/d937421dex10101.htm" TargetMode="External"/><Relationship Id="rId197" Type="http://schemas.openxmlformats.org/officeDocument/2006/relationships/hyperlink" Target="https://www.sec.gov/Archives/edgar/data/1439725/000119312520262422/d937421dex10102.htm" TargetMode="External"/><Relationship Id="rId198" Type="http://schemas.openxmlformats.org/officeDocument/2006/relationships/hyperlink" Target="https://www.sec.gov/Archives/edgar/data/1439725/000119312520262422/d937421dex1011.htm" TargetMode="External"/><Relationship Id="rId199" Type="http://schemas.openxmlformats.org/officeDocument/2006/relationships/hyperlink" Target="https://www.sec.gov/Archives/edgar/data/1439725/000119312520266992/d937421dex1011.htm" TargetMode="External"/><Relationship Id="rId200" Type="http://schemas.openxmlformats.org/officeDocument/2006/relationships/hyperlink" Target="https://www.sec.gov/Archives/edgar/data/1439725/000119312520262422/d937421dex1013.htm" TargetMode="External"/><Relationship Id="rId201" Type="http://schemas.openxmlformats.org/officeDocument/2006/relationships/hyperlink" Target="https://www.sec.gov/Archives/edgar/data/1439725/000119312520266992/d937421dex10131.htm" TargetMode="External"/><Relationship Id="rId202" Type="http://schemas.openxmlformats.org/officeDocument/2006/relationships/hyperlink" Target="https://www.sec.gov/Archives/edgar/data/1439725/000119312520262422/d937421dex10142.htm" TargetMode="External"/><Relationship Id="rId203" Type="http://schemas.openxmlformats.org/officeDocument/2006/relationships/hyperlink" Target="https://www.sec.gov/Archives/edgar/data/1439725/000119312520262422/d937421dex1015.htm" TargetMode="External"/><Relationship Id="rId206" Type="http://schemas.openxmlformats.org/officeDocument/2006/relationships/hyperlink" Target="https://www.sec.gov/Archives/edgar/data/1439725/000119312520266992/d937421dex1015.htm" TargetMode="External"/><Relationship Id="rId207" Type="http://schemas.openxmlformats.org/officeDocument/2006/relationships/hyperlink" Target="https://www.sec.gov/Archives/edgar/data/1439725/000119312520266992/d937421dex1016.htm" TargetMode="External"/><Relationship Id="rId208" Type="http://schemas.openxmlformats.org/officeDocument/2006/relationships/hyperlink" Target="https://www.sec.gov/Archives/edgar/data/1439725/000119312520266992/d937421dex1017.htm" TargetMode="External"/><Relationship Id="rId209" Type="http://schemas.openxmlformats.org/officeDocument/2006/relationships/hyperlink" Target="https://www.sec.gov/Archives/edgar/data/1439725/000119312520266992/d937421dex1018.htm" TargetMode="External"/><Relationship Id="rId210" Type="http://schemas.openxmlformats.org/officeDocument/2006/relationships/hyperlink" Target="https://www.sec.gov/Archives/edgar/data/1439725/000119312520266992/d937421dex1019.htm" TargetMode="External"/><Relationship Id="rId211" Type="http://schemas.openxmlformats.org/officeDocument/2006/relationships/hyperlink" Target="https://www.sec.gov/Archives/edgar/data/1439725/000119312520266992/d937421dex1020.htm" TargetMode="External"/><Relationship Id="rId212" Type="http://schemas.openxmlformats.org/officeDocument/2006/relationships/hyperlink" Target="https://www.sec.gov/Archives/edgar/data/1439725/000119312520262422/d937421dex1022.htm" TargetMode="External"/><Relationship Id="rId213" Type="http://schemas.openxmlformats.org/officeDocument/2006/relationships/hyperlink" Target="https://www.sec.gov/Archives/edgar/data/1439725/000119312520262422/d937421dex1023.htm" TargetMode="External"/><Relationship Id="rId214" Type="http://schemas.openxmlformats.org/officeDocument/2006/relationships/hyperlink" Target="https://www.sec.gov/Archives/edgar/data/1439725/000156459021043081/bdsx-ex1038_489.htm" TargetMode="External"/><Relationship Id="rId215" Type="http://schemas.openxmlformats.org/officeDocument/2006/relationships/hyperlink" Target="https://www.sec.gov/Archives/edgar/data/1439725/000119312520262422/d937421dex1024.htm" TargetMode="External"/><Relationship Id="rId216" Type="http://schemas.openxmlformats.org/officeDocument/2006/relationships/hyperlink" Target="https://www.sec.gov/Archives/edgar/data/1439725/000119312520262422/d937421dex1025.htm" TargetMode="External"/><Relationship Id="rId217" Type="http://schemas.openxmlformats.org/officeDocument/2006/relationships/hyperlink" Target="https://www.sec.gov/Archives/edgar/data/1439725/000119312520262422/d937421dex1026.htm" TargetMode="External"/><Relationship Id="rId218" Type="http://schemas.openxmlformats.org/officeDocument/2006/relationships/hyperlink" Target="https://www.sec.gov/Archives/edgar/data/1439725/000119312520262422/d937421dex1027.htm" TargetMode="External"/><Relationship Id="rId219" Type="http://schemas.openxmlformats.org/officeDocument/2006/relationships/hyperlink" Target="https://www.sec.gov/Archives/edgar/data/1439725/000119312520262422/d937421dex1028.htm" TargetMode="External"/><Relationship Id="rId220" Type="http://schemas.openxmlformats.org/officeDocument/2006/relationships/hyperlink" Target="https://www.sec.gov/Archives/edgar/data/1439725/000119312520262422/d937421dex1029.htm" TargetMode="External"/><Relationship Id="rId221" Type="http://schemas.openxmlformats.org/officeDocument/2006/relationships/hyperlink" Target="https://www.sec.gov/Archives/edgar/data/1439725/000119312520262422/d937421dex1030.htm" TargetMode="External"/><Relationship Id="rId222" Type="http://schemas.openxmlformats.org/officeDocument/2006/relationships/hyperlink" Target="https://www.sec.gov/Archives/edgar/data/1439725/000119312520262422/d937421dex1031.htm" TargetMode="External"/><Relationship Id="rId267" Type="http://schemas.openxmlformats.org/officeDocument/2006/relationships/hyperlink" Target="https://www.sec.gov/Archives/edgar/data/1439725/000119312520262422/d937421dex1032.htm" TargetMode="External"/><Relationship Id="rId268" Type="http://schemas.openxmlformats.org/officeDocument/2006/relationships/hyperlink" Target="https://www.sec.gov/Archives/edgar/data/1439725/000119312520262422/d937421dex1033.htm" TargetMode="External"/><Relationship Id="rId269" Type="http://schemas.openxmlformats.org/officeDocument/2006/relationships/hyperlink" Target="https://www.sec.gov/Archives/edgar/data/1439725/000119312520273369/d937421dex1033.htm" TargetMode="External"/><Relationship Id="rId270" Type="http://schemas.openxmlformats.org/officeDocument/2006/relationships/hyperlink" Target="https://www.sec.gov/Archives/edgar/data/1439725/000119312520273369/d937421dex1034.htm" TargetMode="External"/><Relationship Id="rId271" Type="http://schemas.openxmlformats.org/officeDocument/2006/relationships/hyperlink" Target="https://www.sec.gov/Archives/edgar/data/1439725/000156459021043081/bdsx-ex1037_47.htm" TargetMode="External"/><Relationship Id="rId272" Type="http://schemas.openxmlformats.org/officeDocument/2006/relationships/hyperlink" Target="https://www.sec.gov/Archives/edgar/data/1439725/000156459021014880/bdsx-ex101_29.htm" TargetMode="External"/><Relationship Id="rId273" Type="http://schemas.openxmlformats.org/officeDocument/2006/relationships/hyperlink" Target="https://www.sec.gov/Archives/edgar/data/1439725/000156459021056811/bdsx-ex1039_135.htm" TargetMode="External"/><Relationship Id="rId274" Type="http://schemas.openxmlformats.org/officeDocument/2006/relationships/hyperlink" Target="https://www.sec.gov/Archives/edgar/data/1439725/000095017022003002/bdsx-ex10_1.htm" TargetMode="External"/><Relationship Id="rId275" Type="http://schemas.openxmlformats.org/officeDocument/2006/relationships/hyperlink" Target="https://www.sec.gov/Archives/edgar/data/1439725/000095017022003002/bdsx-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2022-03-14T05:36:12Z</dcterms:created>
  <dcterms:modified xsi:type="dcterms:W3CDTF">2022-03-14T05:36:12Z</dcterms:modified>
</cp:coreProperties>
</file>