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231F20"/>
        </w:rPr>
        <mc:AlternateContent>
          <mc:Choice Requires="wps">
            <w:drawing>
              <wp:anchor simplePos="0" relativeHeight="251657728" behindDoc="1" locked="0" layoutInCell="0" allowOverlap="1">
                <wp:simplePos x="0" y="0"/>
                <wp:positionH relativeFrom="page">
                  <wp:posOffset>342900</wp:posOffset>
                </wp:positionH>
                <wp:positionV relativeFrom="page">
                  <wp:posOffset>493395</wp:posOffset>
                </wp:positionV>
                <wp:extent cx="6858000"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38.85pt" to="567pt,38.85pt" o:allowincell="f" strokecolor="#231F20" strokeweight="0.75pt">
                <w10:wrap anchorx="page" anchory="page"/>
              </v:line>
            </w:pict>
          </mc:Fallback>
        </mc:AlternateContent>
        <mc:AlternateContent>
          <mc:Choice Requires="wps">
            <w:drawing>
              <wp:anchor simplePos="0" relativeHeight="251657728" behindDoc="1" locked="0" layoutInCell="0" allowOverlap="1">
                <wp:simplePos x="0" y="0"/>
                <wp:positionH relativeFrom="page">
                  <wp:posOffset>342900</wp:posOffset>
                </wp:positionH>
                <wp:positionV relativeFrom="page">
                  <wp:posOffset>512445</wp:posOffset>
                </wp:positionV>
                <wp:extent cx="6858000"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pt,40.35pt" to="567pt,40.35pt" o:allowincell="f" strokecolor="#231F20" strokeweight="0.75pt">
                <w10:wrap anchorx="page" anchory="page"/>
              </v:line>
            </w:pict>
          </mc:Fallback>
        </mc:AlternateContent>
        <w:t>UNITED STATES</w:t>
      </w:r>
    </w:p>
    <w:p>
      <w:pPr>
        <w:jc w:val="center"/>
        <w:spacing w:after="0" w:line="226" w:lineRule="auto"/>
        <w:rPr>
          <w:sz w:val="20"/>
          <w:szCs w:val="20"/>
          <w:color w:val="auto"/>
        </w:rPr>
      </w:pPr>
      <w:r>
        <w:rPr>
          <w:rFonts w:ascii="Times New Roman" w:cs="Times New Roman" w:eastAsia="Times New Roman" w:hAnsi="Times New Roman"/>
          <w:sz w:val="32"/>
          <w:szCs w:val="32"/>
          <w:b w:val="1"/>
          <w:bCs w:val="1"/>
          <w:color w:val="231F20"/>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Washington, D.C. 20549</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231F20"/>
        </w:rPr>
        <w:t>FORM 10-K</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-243840</wp:posOffset>
                </wp:positionV>
                <wp:extent cx="1371600" cy="0"/>
                <wp:wrapNone/>
                <wp:docPr id="3" name="Shape 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3" o:spid="_x0000_s10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19.1999pt" to="324pt,-19.1999pt" o:allowincell="f" strokecolor="#231F20" strokeweight="1pt"/>
            </w:pict>
          </mc:Fallback>
        </mc:AlternateContent>
        <mc:AlternateContent>
          <mc:Choice Requires="wps">
            <w:drawing>
              <wp:anchor simplePos="0" relativeHeight="251657728" behindDoc="1" locked="0" layoutInCell="0" allowOverlap="1">
                <wp:simplePos x="0" y="0"/>
                <wp:positionH relativeFrom="column">
                  <wp:posOffset>2743200</wp:posOffset>
                </wp:positionH>
                <wp:positionV relativeFrom="paragraph">
                  <wp:posOffset>79375</wp:posOffset>
                </wp:positionV>
                <wp:extent cx="13716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6.25pt" to="324pt,6.25pt" o:allowincell="f" strokecolor="#231F20" strokeweight="1pt"/>
            </w:pict>
          </mc:Fallback>
        </mc:AlternateContent>
      </w:r>
    </w:p>
    <w:p>
      <w:pPr>
        <w:spacing w:after="0" w:line="13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231F20"/>
        </w:rPr>
        <w:t>(Mark One)</w:t>
      </w:r>
    </w:p>
    <w:p>
      <w:pPr>
        <w:ind w:left="440" w:hanging="426"/>
        <w:spacing w:after="0" w:line="229" w:lineRule="auto"/>
        <w:tabs>
          <w:tab w:leader="none" w:pos="440" w:val="left"/>
        </w:tabs>
        <w:numPr>
          <w:ilvl w:val="0"/>
          <w:numId w:val="1"/>
        </w:numPr>
        <w:rPr>
          <w:rFonts w:ascii="Segoe UI" w:cs="Segoe UI" w:eastAsia="Segoe UI" w:hAnsi="Segoe UI"/>
          <w:sz w:val="16"/>
          <w:szCs w:val="16"/>
          <w:b w:val="1"/>
          <w:bCs w:val="1"/>
          <w:color w:val="231F20"/>
        </w:rPr>
      </w:pPr>
      <w:r>
        <w:rPr>
          <w:rFonts w:ascii="Times New Roman" w:cs="Times New Roman" w:eastAsia="Times New Roman" w:hAnsi="Times New Roman"/>
          <w:sz w:val="16"/>
          <w:szCs w:val="16"/>
          <w:b w:val="1"/>
          <w:bCs w:val="1"/>
          <w:color w:val="231F20"/>
        </w:rPr>
        <w:t>ANNUAL REPORT PURSUANT TO SECTION 13 OR 15(d) OF THE SECURITIES EXCHANGE ACT OF 1934</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For the fiscal year ended December 31, 2025</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OR</w:t>
      </w:r>
    </w:p>
    <w:p>
      <w:pPr>
        <w:ind w:left="440" w:hanging="426"/>
        <w:spacing w:after="0" w:line="184" w:lineRule="auto"/>
        <w:tabs>
          <w:tab w:leader="none" w:pos="440" w:val="left"/>
        </w:tabs>
        <w:numPr>
          <w:ilvl w:val="0"/>
          <w:numId w:val="2"/>
        </w:numPr>
        <w:rPr>
          <w:rFonts w:ascii="Segoe UI" w:cs="Segoe UI" w:eastAsia="Segoe UI" w:hAnsi="Segoe UI"/>
          <w:sz w:val="18"/>
          <w:szCs w:val="18"/>
          <w:b w:val="1"/>
          <w:bCs w:val="1"/>
          <w:color w:val="231F20"/>
          <w:vertAlign w:val="subscript"/>
        </w:rPr>
      </w:pPr>
      <w:r>
        <w:rPr>
          <w:rFonts w:ascii="Times New Roman" w:cs="Times New Roman" w:eastAsia="Times New Roman" w:hAnsi="Times New Roman"/>
          <w:sz w:val="11"/>
          <w:szCs w:val="11"/>
          <w:b w:val="1"/>
          <w:bCs w:val="1"/>
          <w:color w:val="231F20"/>
        </w:rPr>
        <w:t>TRANSITION REPORT PURSUANT TO SECTION 13 OR 15(d) OF THE SECURITIES EXCHANGE ACT OF 1934 FOR THE TRANSITION</w:t>
      </w:r>
    </w:p>
    <w:p>
      <w:pPr>
        <w:ind w:left="440"/>
        <w:spacing w:after="0"/>
        <w:rPr>
          <w:rFonts w:ascii="Segoe UI" w:cs="Segoe UI" w:eastAsia="Segoe UI" w:hAnsi="Segoe UI"/>
          <w:sz w:val="18"/>
          <w:szCs w:val="18"/>
          <w:b w:val="1"/>
          <w:bCs w:val="1"/>
          <w:color w:val="231F20"/>
          <w:vertAlign w:val="subscript"/>
        </w:rPr>
      </w:pPr>
      <w:r>
        <w:rPr>
          <w:rFonts w:ascii="Times New Roman" w:cs="Times New Roman" w:eastAsia="Times New Roman" w:hAnsi="Times New Roman"/>
          <w:sz w:val="16"/>
          <w:szCs w:val="16"/>
          <w:b w:val="1"/>
          <w:bCs w:val="1"/>
          <w:color w:val="231F20"/>
        </w:rPr>
        <w:t>PERIOD FROM</w:t>
      </w:r>
      <w:r>
        <w:rPr>
          <w:rFonts w:ascii="Times New Roman" w:cs="Times New Roman" w:eastAsia="Times New Roman" w:hAnsi="Times New Roman"/>
          <w:sz w:val="15"/>
          <w:szCs w:val="15"/>
          <w:b w:val="1"/>
          <w:bCs w:val="1"/>
          <w:color w:val="231F20"/>
        </w:rPr>
        <w:t>TO</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Commission File Number 001-39659</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4"/>
          <w:szCs w:val="44"/>
          <w:b w:val="1"/>
          <w:bCs w:val="1"/>
          <w:color w:val="231F20"/>
        </w:rPr>
        <w:t>Biodesix, Inc.</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-290830</wp:posOffset>
                </wp:positionV>
                <wp:extent cx="137160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22.8999pt" to="324pt,-22.8999pt" o:allowincell="f" strokecolor="#231F20" strokeweight="1pt"/>
            </w:pict>
          </mc:Fallback>
        </mc:AlternateConten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(Exact name of Registrant as specified in its Charter)</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49530</wp:posOffset>
                </wp:positionV>
                <wp:extent cx="13716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3.9pt" to="324pt,3.9pt" o:allowincell="f" strokecolor="#231F20" strokeweight="1pt"/>
            </w:pict>
          </mc:Fallback>
        </mc:AlternateContent>
      </w:r>
    </w:p>
    <w:p>
      <w:pPr>
        <w:sectPr>
          <w:pgSz w:w="11880" w:h="15480" w:orient="portrait"/>
          <w:cols w:equalWidth="0" w:num="1">
            <w:col w:w="10800"/>
          </w:cols>
          <w:pgMar w:left="540" w:top="887" w:right="540" w:bottom="233" w:gutter="0" w:footer="0" w:header="0"/>
        </w:sectPr>
      </w:pPr>
    </w:p>
    <w:p>
      <w:pPr>
        <w:spacing w:after="0" w:line="106" w:lineRule="exact"/>
        <w:rPr>
          <w:sz w:val="24"/>
          <w:szCs w:val="24"/>
          <w:color w:val="auto"/>
        </w:rPr>
      </w:pPr>
    </w:p>
    <w:p>
      <w:pPr>
        <w:jc w:val="center"/>
        <w:ind w:right="1440"/>
        <w:spacing w:after="0"/>
        <w:rPr>
          <w:sz w:val="20"/>
          <w:szCs w:val="20"/>
          <w:color w:val="auto"/>
        </w:rPr>
      </w:pPr>
      <w:r>
        <w:rPr>
          <w:rFonts w:ascii="Times New Roman" w:cs="Times New Roman" w:eastAsia="Times New Roman" w:hAnsi="Times New Roman"/>
          <w:sz w:val="20"/>
          <w:szCs w:val="20"/>
          <w:b w:val="1"/>
          <w:bCs w:val="1"/>
          <w:color w:val="231F20"/>
        </w:rPr>
        <w:t>Delaware</w:t>
      </w:r>
    </w:p>
    <w:p>
      <w:pPr>
        <w:ind w:left="1820"/>
        <w:spacing w:after="0" w:line="229" w:lineRule="auto"/>
        <w:rPr>
          <w:sz w:val="20"/>
          <w:szCs w:val="20"/>
          <w:color w:val="auto"/>
        </w:rPr>
      </w:pPr>
      <w:r>
        <w:rPr>
          <w:rFonts w:ascii="Times New Roman" w:cs="Times New Roman" w:eastAsia="Times New Roman" w:hAnsi="Times New Roman"/>
          <w:sz w:val="14"/>
          <w:szCs w:val="14"/>
          <w:b w:val="1"/>
          <w:bCs w:val="1"/>
          <w:color w:val="231F20"/>
        </w:rPr>
        <w:t>(State or other jurisdiction of</w:t>
      </w:r>
    </w:p>
    <w:p>
      <w:pPr>
        <w:spacing w:after="0" w:line="1"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3"/>
          <w:szCs w:val="13"/>
          <w:b w:val="1"/>
          <w:bCs w:val="1"/>
          <w:color w:val="231F20"/>
        </w:rPr>
        <w:t>incorporation or organization)</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231F20"/>
        </w:rPr>
        <w:t>20-3986492</w:t>
      </w:r>
    </w:p>
    <w:p>
      <w:pPr>
        <w:spacing w:after="0" w:line="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231F20"/>
        </w:rPr>
        <w:t>(I.R.S. Employer</w:t>
      </w:r>
    </w:p>
    <w:p>
      <w:pPr>
        <w:spacing w:after="0"/>
        <w:rPr>
          <w:sz w:val="20"/>
          <w:szCs w:val="20"/>
          <w:color w:val="auto"/>
        </w:rPr>
      </w:pPr>
      <w:r>
        <w:rPr>
          <w:rFonts w:ascii="Times New Roman" w:cs="Times New Roman" w:eastAsia="Times New Roman" w:hAnsi="Times New Roman"/>
          <w:sz w:val="14"/>
          <w:szCs w:val="14"/>
          <w:b w:val="1"/>
          <w:bCs w:val="1"/>
          <w:color w:val="231F20"/>
        </w:rPr>
        <w:t>Identification No.)</w:t>
      </w:r>
    </w:p>
    <w:p>
      <w:pPr>
        <w:spacing w:after="0" w:line="157" w:lineRule="exact"/>
        <w:rPr>
          <w:sz w:val="24"/>
          <w:szCs w:val="24"/>
          <w:color w:val="auto"/>
        </w:rPr>
      </w:pPr>
    </w:p>
    <w:p>
      <w:pPr>
        <w:sectPr>
          <w:pgSz w:w="11880" w:h="15480" w:orient="portrait"/>
          <w:cols w:equalWidth="0" w:num="2">
            <w:col w:w="6820" w:space="720"/>
            <w:col w:w="3260"/>
          </w:cols>
          <w:pgMar w:left="540" w:top="887" w:right="540" w:bottom="233" w:gutter="0" w:footer="0" w:header="0"/>
          <w:type w:val="continuous"/>
        </w:sectPr>
      </w:pPr>
    </w:p>
    <w:tbl>
      <w:tblPr>
        <w:tblLayout w:type="fixed"/>
        <w:tblInd w:w="1540" w:type="dxa"/>
        <w:tblCellMar>
          <w:top w:w="0" w:type="dxa"/>
          <w:left w:w="0" w:type="dxa"/>
          <w:bottom w:w="0" w:type="dxa"/>
          <w:right w:w="0" w:type="dxa"/>
        </w:tblCellMar>
      </w:tblPr>
      <w:tr>
        <w:trPr>
          <w:trHeight w:val="230"/>
        </w:trPr>
        <w:tc>
          <w:tcPr>
            <w:tcW w:w="4280" w:type="dxa"/>
            <w:vAlign w:val="bottom"/>
          </w:tcPr>
          <w:p>
            <w:pPr>
              <w:jc w:val="center"/>
              <w:ind w:right="1870"/>
              <w:spacing w:after="0"/>
              <w:rPr>
                <w:sz w:val="20"/>
                <w:szCs w:val="20"/>
                <w:color w:val="auto"/>
              </w:rPr>
            </w:pPr>
            <w:r>
              <w:rPr>
                <w:rFonts w:ascii="Times New Roman" w:cs="Times New Roman" w:eastAsia="Times New Roman" w:hAnsi="Times New Roman"/>
                <w:sz w:val="20"/>
                <w:szCs w:val="20"/>
                <w:b w:val="1"/>
                <w:bCs w:val="1"/>
                <w:color w:val="231F20"/>
                <w:w w:val="99"/>
              </w:rPr>
              <w:t>919 West Dillon Rd.,</w:t>
            </w:r>
          </w:p>
        </w:tc>
        <w:tc>
          <w:tcPr>
            <w:tcW w:w="2600" w:type="dxa"/>
            <w:vAlign w:val="bottom"/>
          </w:tcPr>
          <w:p>
            <w:pPr>
              <w:spacing w:after="0"/>
              <w:rPr>
                <w:sz w:val="19"/>
                <w:szCs w:val="19"/>
                <w:color w:val="auto"/>
              </w:rPr>
            </w:pPr>
          </w:p>
        </w:tc>
      </w:tr>
      <w:tr>
        <w:trPr>
          <w:trHeight w:val="233"/>
        </w:trPr>
        <w:tc>
          <w:tcPr>
            <w:tcW w:w="4280" w:type="dxa"/>
            <w:vAlign w:val="bottom"/>
          </w:tcPr>
          <w:p>
            <w:pPr>
              <w:jc w:val="center"/>
              <w:ind w:right="1870"/>
              <w:spacing w:after="0"/>
              <w:rPr>
                <w:sz w:val="20"/>
                <w:szCs w:val="20"/>
                <w:color w:val="auto"/>
              </w:rPr>
            </w:pPr>
            <w:r>
              <w:rPr>
                <w:rFonts w:ascii="Times New Roman" w:cs="Times New Roman" w:eastAsia="Times New Roman" w:hAnsi="Times New Roman"/>
                <w:sz w:val="20"/>
                <w:szCs w:val="20"/>
                <w:b w:val="1"/>
                <w:bCs w:val="1"/>
                <w:color w:val="231F20"/>
              </w:rPr>
              <w:t>Louisville, CO</w:t>
            </w:r>
          </w:p>
        </w:tc>
        <w:tc>
          <w:tcPr>
            <w:tcW w:w="26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80027</w:t>
            </w:r>
          </w:p>
        </w:tc>
      </w:tr>
      <w:tr>
        <w:trPr>
          <w:trHeight w:val="192"/>
        </w:trPr>
        <w:tc>
          <w:tcPr>
            <w:tcW w:w="4280" w:type="dxa"/>
            <w:vAlign w:val="bottom"/>
          </w:tcPr>
          <w:p>
            <w:pPr>
              <w:jc w:val="center"/>
              <w:ind w:right="1870"/>
              <w:spacing w:after="0"/>
              <w:rPr>
                <w:sz w:val="20"/>
                <w:szCs w:val="20"/>
                <w:color w:val="auto"/>
              </w:rPr>
            </w:pPr>
            <w:r>
              <w:rPr>
                <w:rFonts w:ascii="Times New Roman" w:cs="Times New Roman" w:eastAsia="Times New Roman" w:hAnsi="Times New Roman"/>
                <w:sz w:val="14"/>
                <w:szCs w:val="14"/>
                <w:b w:val="1"/>
                <w:bCs w:val="1"/>
                <w:color w:val="231F20"/>
              </w:rPr>
              <w:t>(Address of principal executive offices)</w:t>
            </w:r>
          </w:p>
        </w:tc>
        <w:tc>
          <w:tcPr>
            <w:tcW w:w="2600" w:type="dxa"/>
            <w:vAlign w:val="bottom"/>
          </w:tcPr>
          <w:p>
            <w:pPr>
              <w:jc w:val="center"/>
              <w:ind w:left="1855"/>
              <w:spacing w:after="0"/>
              <w:rPr>
                <w:sz w:val="20"/>
                <w:szCs w:val="20"/>
                <w:color w:val="auto"/>
              </w:rPr>
            </w:pPr>
            <w:r>
              <w:rPr>
                <w:rFonts w:ascii="Times New Roman" w:cs="Times New Roman" w:eastAsia="Times New Roman" w:hAnsi="Times New Roman"/>
                <w:sz w:val="14"/>
                <w:szCs w:val="14"/>
                <w:b w:val="1"/>
                <w:bCs w:val="1"/>
                <w:color w:val="231F20"/>
              </w:rPr>
              <w:t>(Zip Code)</w:t>
            </w:r>
          </w:p>
        </w:tc>
      </w:tr>
    </w:tbl>
    <w:p>
      <w:pPr>
        <w:jc w:val="center"/>
        <w:spacing w:after="0"/>
        <w:rPr>
          <w:sz w:val="20"/>
          <w:szCs w:val="20"/>
          <w:color w:val="auto"/>
        </w:rPr>
      </w:pPr>
      <w:r>
        <w:rPr>
          <w:rFonts w:ascii="Times New Roman" w:cs="Times New Roman" w:eastAsia="Times New Roman" w:hAnsi="Times New Roman"/>
          <w:sz w:val="20"/>
          <w:szCs w:val="20"/>
          <w:b w:val="1"/>
          <w:bCs w:val="1"/>
          <w:color w:val="231F20"/>
        </w:rPr>
        <w:t>Registrant’s telephone number, including area code: (303) 417-0500</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2743200</wp:posOffset>
                </wp:positionH>
                <wp:positionV relativeFrom="paragraph">
                  <wp:posOffset>56515</wp:posOffset>
                </wp:positionV>
                <wp:extent cx="137160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371600" cy="4763"/>
                        </a:xfrm>
                        <a:prstGeom prst="line">
                          <a:avLst/>
                        </a:prstGeom>
                        <a:solidFill>
                          <a:srgbClr val="FFFFFF"/>
                        </a:solidFill>
                        <a:ln w="12700">
                          <a:solidFill>
                            <a:srgbClr val="231F2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6pt,4.45pt" to="324pt,4.45pt" o:allowincell="f" strokecolor="#231F20" strokeweight="1pt"/>
            </w:pict>
          </mc:Fallback>
        </mc:AlternateContent>
      </w:r>
    </w:p>
    <w:p>
      <w:pPr>
        <w:spacing w:after="0" w:line="8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231F20"/>
              </w:rPr>
              <w:t>Securities registered pursuant to Section 12(b) of the Act:</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220" w:type="dxa"/>
            <w:vAlign w:val="bottom"/>
            <w:vMerge w:val="restart"/>
          </w:tcPr>
          <w:p>
            <w:pPr>
              <w:ind w:left="1500"/>
              <w:spacing w:after="0"/>
              <w:rPr>
                <w:sz w:val="20"/>
                <w:szCs w:val="20"/>
                <w:color w:val="auto"/>
              </w:rPr>
            </w:pPr>
            <w:r>
              <w:rPr>
                <w:rFonts w:ascii="Times New Roman" w:cs="Times New Roman" w:eastAsia="Times New Roman" w:hAnsi="Times New Roman"/>
                <w:sz w:val="16"/>
                <w:szCs w:val="16"/>
                <w:b w:val="1"/>
                <w:bCs w:val="1"/>
                <w:color w:val="231F20"/>
              </w:rPr>
              <w:t>Title of each class</w:t>
            </w:r>
          </w:p>
        </w:tc>
        <w:tc>
          <w:tcPr>
            <w:tcW w:w="100" w:type="dxa"/>
            <w:vAlign w:val="bottom"/>
          </w:tcPr>
          <w:p>
            <w:pPr>
              <w:spacing w:after="0"/>
              <w:rPr>
                <w:sz w:val="15"/>
                <w:szCs w:val="15"/>
                <w:color w:val="auto"/>
              </w:rPr>
            </w:pPr>
          </w:p>
        </w:tc>
        <w:tc>
          <w:tcPr>
            <w:tcW w:w="2160" w:type="dxa"/>
            <w:vAlign w:val="bottom"/>
          </w:tcPr>
          <w:p>
            <w:pPr>
              <w:jc w:val="center"/>
              <w:spacing w:after="0" w:line="178" w:lineRule="exact"/>
              <w:rPr>
                <w:sz w:val="20"/>
                <w:szCs w:val="20"/>
                <w:color w:val="auto"/>
              </w:rPr>
            </w:pPr>
            <w:r>
              <w:rPr>
                <w:rFonts w:ascii="Times New Roman" w:cs="Times New Roman" w:eastAsia="Times New Roman" w:hAnsi="Times New Roman"/>
                <w:sz w:val="16"/>
                <w:szCs w:val="16"/>
                <w:b w:val="1"/>
                <w:bCs w:val="1"/>
                <w:color w:val="231F20"/>
                <w:w w:val="99"/>
              </w:rPr>
              <w:t>Trading</w:t>
            </w:r>
          </w:p>
        </w:tc>
        <w:tc>
          <w:tcPr>
            <w:tcW w:w="100" w:type="dxa"/>
            <w:vAlign w:val="bottom"/>
          </w:tcPr>
          <w:p>
            <w:pPr>
              <w:spacing w:after="0"/>
              <w:rPr>
                <w:sz w:val="15"/>
                <w:szCs w:val="15"/>
                <w:color w:val="auto"/>
              </w:rPr>
            </w:pPr>
          </w:p>
        </w:tc>
        <w:tc>
          <w:tcPr>
            <w:tcW w:w="4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231F20"/>
              </w:rPr>
              <w:t>Name of each exchange on which registered</w:t>
            </w:r>
          </w:p>
        </w:tc>
        <w:tc>
          <w:tcPr>
            <w:tcW w:w="0" w:type="dxa"/>
            <w:vAlign w:val="bottom"/>
          </w:tcPr>
          <w:p>
            <w:pPr>
              <w:spacing w:after="0"/>
              <w:rPr>
                <w:sz w:val="1"/>
                <w:szCs w:val="1"/>
                <w:color w:val="auto"/>
              </w:rPr>
            </w:pPr>
          </w:p>
        </w:tc>
      </w:tr>
      <w:tr>
        <w:trPr>
          <w:trHeight w:val="195"/>
        </w:trPr>
        <w:tc>
          <w:tcPr>
            <w:tcW w:w="4220" w:type="dxa"/>
            <w:vAlign w:val="bottom"/>
            <w:tcBorders>
              <w:bottom w:val="single" w:sz="8" w:color="231F20"/>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Symbol(s)</w:t>
            </w:r>
          </w:p>
        </w:tc>
        <w:tc>
          <w:tcPr>
            <w:tcW w:w="100" w:type="dxa"/>
            <w:vAlign w:val="bottom"/>
          </w:tcPr>
          <w:p>
            <w:pPr>
              <w:spacing w:after="0"/>
              <w:rPr>
                <w:sz w:val="16"/>
                <w:szCs w:val="16"/>
                <w:color w:val="auto"/>
              </w:rPr>
            </w:pPr>
          </w:p>
        </w:tc>
        <w:tc>
          <w:tcPr>
            <w:tcW w:w="4220" w:type="dxa"/>
            <w:vAlign w:val="bottom"/>
            <w:tcBorders>
              <w:bottom w:val="single" w:sz="8" w:color="231F20"/>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231F20"/>
              </w:rPr>
              <w:t>Common Stock, par value $0.001 per share</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BDSX</w:t>
            </w:r>
          </w:p>
        </w:tc>
        <w:tc>
          <w:tcPr>
            <w:tcW w:w="100" w:type="dxa"/>
            <w:vAlign w:val="bottom"/>
          </w:tcPr>
          <w:p>
            <w:pPr>
              <w:spacing w:after="0"/>
              <w:rPr>
                <w:sz w:val="19"/>
                <w:szCs w:val="19"/>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231F20"/>
              </w:rPr>
              <w:t>The NASDAQ Global Market</w:t>
            </w:r>
          </w:p>
        </w:tc>
        <w:tc>
          <w:tcPr>
            <w:tcW w:w="0" w:type="dxa"/>
            <w:vAlign w:val="bottom"/>
          </w:tcPr>
          <w:p>
            <w:pPr>
              <w:spacing w:after="0"/>
              <w:rPr>
                <w:sz w:val="1"/>
                <w:szCs w:val="1"/>
                <w:color w:val="auto"/>
              </w:rPr>
            </w:pPr>
          </w:p>
        </w:tc>
      </w:tr>
      <w:tr>
        <w:trPr>
          <w:trHeight w:val="221"/>
        </w:trPr>
        <w:tc>
          <w:tcPr>
            <w:tcW w:w="4220" w:type="dxa"/>
            <w:vAlign w:val="bottom"/>
          </w:tcPr>
          <w:p>
            <w:pPr>
              <w:spacing w:after="0"/>
              <w:rPr>
                <w:sz w:val="20"/>
                <w:szCs w:val="20"/>
                <w:color w:val="auto"/>
              </w:rPr>
            </w:pPr>
            <w:r>
              <w:rPr>
                <w:rFonts w:ascii="Times New Roman" w:cs="Times New Roman" w:eastAsia="Times New Roman" w:hAnsi="Times New Roman"/>
                <w:sz w:val="16"/>
                <w:szCs w:val="16"/>
                <w:color w:val="231F20"/>
              </w:rPr>
              <w:t xml:space="preserve">Securities registered pursuant to Section 12(g) of the Act: </w:t>
            </w:r>
            <w:r>
              <w:rPr>
                <w:rFonts w:ascii="Times New Roman" w:cs="Times New Roman" w:eastAsia="Times New Roman" w:hAnsi="Times New Roman"/>
                <w:sz w:val="16"/>
                <w:szCs w:val="16"/>
                <w:b w:val="1"/>
                <w:bCs w:val="1"/>
                <w:color w:val="231F20"/>
              </w:rPr>
              <w:t>None</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2674620</wp:posOffset>
                </wp:positionH>
                <wp:positionV relativeFrom="paragraph">
                  <wp:posOffset>-288290</wp:posOffset>
                </wp:positionV>
                <wp:extent cx="6858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6pt,-22.6999pt" to="216pt,-22.6999pt" o:allowincell="f" strokecolor="#FFFFFF" strokeweight="0.5pt"/>
            </w:pict>
          </mc:Fallback>
        </mc:AlternateContent>
        <mc:AlternateContent>
          <mc:Choice Requires="wps">
            <w:drawing>
              <wp:anchor simplePos="0" relativeHeight="251657728" behindDoc="1" locked="0" layoutInCell="0" allowOverlap="1">
                <wp:simplePos x="0" y="0"/>
                <wp:positionH relativeFrom="column">
                  <wp:posOffset>4114800</wp:posOffset>
                </wp:positionH>
                <wp:positionV relativeFrom="paragraph">
                  <wp:posOffset>-288290</wp:posOffset>
                </wp:positionV>
                <wp:extent cx="68580"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 cy="4763"/>
                        </a:xfrm>
                        <a:prstGeom prst="line">
                          <a:avLst/>
                        </a:prstGeom>
                        <a:solidFill>
                          <a:srgbClr val="FFFFFF"/>
                        </a:solidFill>
                        <a:ln w="6350">
                          <a:solidFill>
                            <a:srgbClr val="FFFFFF"/>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4pt,-22.6999pt" to="329.4pt,-22.6999pt" o:allowincell="f" strokecolor="#FFFFFF" strokeweight="0.5pt"/>
            </w:pict>
          </mc:Fallback>
        </mc:AlternateContent>
      </w:r>
    </w:p>
    <w:p>
      <w:pPr>
        <w:spacing w:after="0" w:line="4" w:lineRule="exact"/>
        <w:rPr>
          <w:sz w:val="24"/>
          <w:szCs w:val="24"/>
          <w:color w:val="auto"/>
        </w:rPr>
      </w:pPr>
    </w:p>
    <w:p>
      <w:pPr>
        <w:ind w:right="2260"/>
        <w:spacing w:after="0" w:line="309" w:lineRule="auto"/>
        <w:rPr>
          <w:sz w:val="20"/>
          <w:szCs w:val="20"/>
          <w:color w:val="auto"/>
        </w:rPr>
      </w:pPr>
      <w:r>
        <w:rPr>
          <w:rFonts w:ascii="Times New Roman" w:cs="Times New Roman" w:eastAsia="Times New Roman" w:hAnsi="Times New Roman"/>
          <w:sz w:val="16"/>
          <w:szCs w:val="16"/>
          <w:color w:val="231F20"/>
        </w:rPr>
        <w:t xml:space="preserve">Indicate by check mark if the Registrant is a well-known seasoned issuer, as defined in Rule 405 of the Securities Act. YES </w:t>
      </w:r>
      <w:r>
        <w:rPr>
          <w:rFonts w:ascii="Segoe UI" w:cs="Segoe UI" w:eastAsia="Segoe UI" w:hAnsi="Segoe UI"/>
          <w:sz w:val="16"/>
          <w:szCs w:val="16"/>
          <w:color w:val="231F20"/>
        </w:rPr>
        <w:t>ն</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շ</w:t>
      </w:r>
      <w:r>
        <w:rPr>
          <w:rFonts w:ascii="Times New Roman" w:cs="Times New Roman" w:eastAsia="Times New Roman" w:hAnsi="Times New Roman"/>
          <w:sz w:val="16"/>
          <w:szCs w:val="16"/>
          <w:color w:val="231F20"/>
        </w:rPr>
        <w:t xml:space="preserve"> Indicate by check mark if the Registrant is not required to file reports pursuant to Section 13 or 15(d) of the Act. YES </w:t>
      </w:r>
      <w:r>
        <w:rPr>
          <w:rFonts w:ascii="Segoe UI" w:cs="Segoe UI" w:eastAsia="Segoe UI" w:hAnsi="Segoe UI"/>
          <w:sz w:val="16"/>
          <w:szCs w:val="16"/>
          <w:color w:val="231F20"/>
        </w:rPr>
        <w:t>ն</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շ</w:t>
      </w:r>
    </w:p>
    <w:p>
      <w:pPr>
        <w:ind w:right="20"/>
        <w:spacing w:after="0" w:line="224" w:lineRule="auto"/>
        <w:rPr>
          <w:sz w:val="20"/>
          <w:szCs w:val="20"/>
          <w:color w:val="auto"/>
        </w:rPr>
      </w:pPr>
      <w:r>
        <w:rPr>
          <w:rFonts w:ascii="Times New Roman" w:cs="Times New Roman" w:eastAsia="Times New Roman" w:hAnsi="Times New Roman"/>
          <w:sz w:val="16"/>
          <w:szCs w:val="16"/>
          <w:color w:val="231F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days. YES </w:t>
      </w:r>
      <w:r>
        <w:rPr>
          <w:rFonts w:ascii="Segoe UI" w:cs="Segoe UI" w:eastAsia="Segoe UI" w:hAnsi="Segoe UI"/>
          <w:sz w:val="16"/>
          <w:szCs w:val="16"/>
          <w:color w:val="231F20"/>
        </w:rPr>
        <w:t>շ</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ն</w:t>
      </w:r>
    </w:p>
    <w:p>
      <w:pPr>
        <w:spacing w:after="0" w:line="46" w:lineRule="exact"/>
        <w:rPr>
          <w:sz w:val="24"/>
          <w:szCs w:val="24"/>
          <w:color w:val="auto"/>
        </w:rPr>
      </w:pPr>
    </w:p>
    <w:p>
      <w:pPr>
        <w:ind w:right="60"/>
        <w:spacing w:after="0" w:line="264" w:lineRule="auto"/>
        <w:rPr>
          <w:sz w:val="20"/>
          <w:szCs w:val="20"/>
          <w:color w:val="auto"/>
        </w:rPr>
      </w:pPr>
      <w:r>
        <w:rPr>
          <w:rFonts w:ascii="Times New Roman" w:cs="Times New Roman" w:eastAsia="Times New Roman" w:hAnsi="Times New Roman"/>
          <w:sz w:val="16"/>
          <w:szCs w:val="16"/>
          <w:color w:val="231F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Segoe UI" w:cs="Segoe UI" w:eastAsia="Segoe UI" w:hAnsi="Segoe UI"/>
          <w:sz w:val="16"/>
          <w:szCs w:val="16"/>
          <w:color w:val="231F20"/>
        </w:rPr>
        <w:t>շ</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ն</w:t>
      </w:r>
    </w:p>
    <w:p>
      <w:pPr>
        <w:spacing w:after="0" w:line="1" w:lineRule="exact"/>
        <w:rPr>
          <w:sz w:val="24"/>
          <w:szCs w:val="24"/>
          <w:color w:val="auto"/>
        </w:rPr>
      </w:pPr>
    </w:p>
    <w:p>
      <w:pPr>
        <w:ind w:right="200"/>
        <w:spacing w:after="0" w:line="236" w:lineRule="auto"/>
        <w:rPr>
          <w:sz w:val="20"/>
          <w:szCs w:val="20"/>
          <w:color w:val="auto"/>
        </w:rPr>
      </w:pPr>
      <w:r>
        <w:rPr>
          <w:rFonts w:ascii="Times New Roman" w:cs="Times New Roman" w:eastAsia="Times New Roman" w:hAnsi="Times New Roman"/>
          <w:sz w:val="16"/>
          <w:szCs w:val="16"/>
          <w:color w:val="231F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61"/>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231F20"/>
              </w:rPr>
              <w:t>Large accelerated filer</w:t>
            </w:r>
          </w:p>
        </w:tc>
        <w:tc>
          <w:tcPr>
            <w:tcW w:w="3340" w:type="dxa"/>
            <w:vAlign w:val="bottom"/>
          </w:tcPr>
          <w:p>
            <w:pPr>
              <w:ind w:left="220"/>
              <w:spacing w:after="0"/>
              <w:rPr>
                <w:sz w:val="20"/>
                <w:szCs w:val="20"/>
                <w:color w:val="auto"/>
              </w:rPr>
            </w:pPr>
            <w:r>
              <w:rPr>
                <w:rFonts w:ascii="Segoe UI" w:cs="Segoe UI" w:eastAsia="Segoe UI" w:hAnsi="Segoe UI"/>
                <w:sz w:val="16"/>
                <w:szCs w:val="16"/>
                <w:color w:val="231F20"/>
              </w:rPr>
              <w:t>ն</w:t>
            </w:r>
          </w:p>
        </w:tc>
        <w:tc>
          <w:tcPr>
            <w:tcW w:w="5000" w:type="dxa"/>
            <w:vAlign w:val="bottom"/>
          </w:tcPr>
          <w:p>
            <w:pPr>
              <w:ind w:left="2980"/>
              <w:spacing w:after="0"/>
              <w:rPr>
                <w:sz w:val="20"/>
                <w:szCs w:val="20"/>
                <w:color w:val="auto"/>
              </w:rPr>
            </w:pPr>
            <w:r>
              <w:rPr>
                <w:rFonts w:ascii="Times New Roman" w:cs="Times New Roman" w:eastAsia="Times New Roman" w:hAnsi="Times New Roman"/>
                <w:sz w:val="16"/>
                <w:szCs w:val="16"/>
                <w:color w:val="231F20"/>
              </w:rPr>
              <w:t>Accelerated filer</w:t>
            </w:r>
          </w:p>
        </w:tc>
        <w:tc>
          <w:tcPr>
            <w:tcW w:w="420" w:type="dxa"/>
            <w:vAlign w:val="bottom"/>
          </w:tcPr>
          <w:p>
            <w:pPr>
              <w:ind w:left="280"/>
              <w:spacing w:after="0"/>
              <w:rPr>
                <w:sz w:val="20"/>
                <w:szCs w:val="20"/>
                <w:color w:val="auto"/>
              </w:rPr>
            </w:pPr>
            <w:r>
              <w:rPr>
                <w:rFonts w:ascii="Segoe UI" w:cs="Segoe UI" w:eastAsia="Segoe UI" w:hAnsi="Segoe UI"/>
                <w:sz w:val="16"/>
                <w:szCs w:val="16"/>
                <w:color w:val="231F20"/>
              </w:rPr>
              <w:t>ն</w:t>
            </w:r>
          </w:p>
        </w:tc>
      </w:tr>
      <w:tr>
        <w:trPr>
          <w:trHeight w:val="408"/>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231F20"/>
              </w:rPr>
              <w:t>Non-accelerated filer</w:t>
            </w:r>
          </w:p>
        </w:tc>
        <w:tc>
          <w:tcPr>
            <w:tcW w:w="3340" w:type="dxa"/>
            <w:vAlign w:val="bottom"/>
          </w:tcPr>
          <w:p>
            <w:pPr>
              <w:ind w:left="220"/>
              <w:spacing w:after="0"/>
              <w:rPr>
                <w:sz w:val="20"/>
                <w:szCs w:val="20"/>
                <w:color w:val="auto"/>
              </w:rPr>
            </w:pPr>
            <w:r>
              <w:rPr>
                <w:rFonts w:ascii="Segoe UI" w:cs="Segoe UI" w:eastAsia="Segoe UI" w:hAnsi="Segoe UI"/>
                <w:sz w:val="16"/>
                <w:szCs w:val="16"/>
                <w:color w:val="231F20"/>
              </w:rPr>
              <w:t>շ</w:t>
            </w:r>
          </w:p>
        </w:tc>
        <w:tc>
          <w:tcPr>
            <w:tcW w:w="5000" w:type="dxa"/>
            <w:vAlign w:val="bottom"/>
          </w:tcPr>
          <w:p>
            <w:pPr>
              <w:ind w:left="2980"/>
              <w:spacing w:after="0"/>
              <w:rPr>
                <w:sz w:val="20"/>
                <w:szCs w:val="20"/>
                <w:color w:val="auto"/>
              </w:rPr>
            </w:pPr>
            <w:r>
              <w:rPr>
                <w:rFonts w:ascii="Times New Roman" w:cs="Times New Roman" w:eastAsia="Times New Roman" w:hAnsi="Times New Roman"/>
                <w:sz w:val="16"/>
                <w:szCs w:val="16"/>
                <w:color w:val="231F20"/>
              </w:rPr>
              <w:t>Smaller reporting company</w:t>
            </w:r>
          </w:p>
        </w:tc>
        <w:tc>
          <w:tcPr>
            <w:tcW w:w="420" w:type="dxa"/>
            <w:vAlign w:val="bottom"/>
          </w:tcPr>
          <w:p>
            <w:pPr>
              <w:ind w:left="280"/>
              <w:spacing w:after="0"/>
              <w:rPr>
                <w:sz w:val="20"/>
                <w:szCs w:val="20"/>
                <w:color w:val="auto"/>
              </w:rPr>
            </w:pPr>
            <w:r>
              <w:rPr>
                <w:rFonts w:ascii="Segoe UI" w:cs="Segoe UI" w:eastAsia="Segoe UI" w:hAnsi="Segoe UI"/>
                <w:sz w:val="16"/>
                <w:szCs w:val="16"/>
                <w:color w:val="231F20"/>
              </w:rPr>
              <w:t>շ</w:t>
            </w:r>
          </w:p>
        </w:tc>
      </w:tr>
      <w:tr>
        <w:trPr>
          <w:trHeight w:val="382"/>
        </w:trPr>
        <w:tc>
          <w:tcPr>
            <w:tcW w:w="1960" w:type="dxa"/>
            <w:vAlign w:val="bottom"/>
          </w:tcPr>
          <w:p>
            <w:pPr>
              <w:spacing w:after="0"/>
              <w:rPr>
                <w:sz w:val="20"/>
                <w:szCs w:val="20"/>
                <w:color w:val="auto"/>
              </w:rPr>
            </w:pPr>
            <w:r>
              <w:rPr>
                <w:rFonts w:ascii="Times New Roman" w:cs="Times New Roman" w:eastAsia="Times New Roman" w:hAnsi="Times New Roman"/>
                <w:sz w:val="16"/>
                <w:szCs w:val="16"/>
                <w:color w:val="231F20"/>
              </w:rPr>
              <w:t>Emerging growth company</w:t>
            </w:r>
          </w:p>
        </w:tc>
        <w:tc>
          <w:tcPr>
            <w:tcW w:w="3340" w:type="dxa"/>
            <w:vAlign w:val="bottom"/>
          </w:tcPr>
          <w:p>
            <w:pPr>
              <w:ind w:left="220"/>
              <w:spacing w:after="0"/>
              <w:rPr>
                <w:sz w:val="20"/>
                <w:szCs w:val="20"/>
                <w:color w:val="auto"/>
              </w:rPr>
            </w:pPr>
            <w:r>
              <w:rPr>
                <w:rFonts w:ascii="Segoe UI" w:cs="Segoe UI" w:eastAsia="Segoe UI" w:hAnsi="Segoe UI"/>
                <w:sz w:val="16"/>
                <w:szCs w:val="16"/>
                <w:color w:val="231F20"/>
              </w:rPr>
              <w:t>ն</w:t>
            </w:r>
          </w:p>
        </w:tc>
        <w:tc>
          <w:tcPr>
            <w:tcW w:w="50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16" w:lineRule="exact"/>
        <w:rPr>
          <w:sz w:val="24"/>
          <w:szCs w:val="24"/>
          <w:color w:val="auto"/>
        </w:rPr>
      </w:pPr>
    </w:p>
    <w:p>
      <w:pPr>
        <w:ind w:right="260"/>
        <w:spacing w:after="0" w:line="264" w:lineRule="auto"/>
        <w:rPr>
          <w:sz w:val="20"/>
          <w:szCs w:val="20"/>
          <w:color w:val="auto"/>
        </w:rPr>
      </w:pPr>
      <w:r>
        <w:rPr>
          <w:rFonts w:ascii="Times New Roman" w:cs="Times New Roman" w:eastAsia="Times New Roman" w:hAnsi="Times New Roman"/>
          <w:sz w:val="16"/>
          <w:szCs w:val="16"/>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Segoe UI" w:cs="Segoe UI" w:eastAsia="Segoe UI" w:hAnsi="Segoe UI"/>
          <w:sz w:val="16"/>
          <w:szCs w:val="16"/>
          <w:color w:val="231F20"/>
        </w:rPr>
        <w:t>ն</w:t>
      </w:r>
    </w:p>
    <w:p>
      <w:pPr>
        <w:spacing w:after="0" w:line="1" w:lineRule="exact"/>
        <w:rPr>
          <w:sz w:val="24"/>
          <w:szCs w:val="24"/>
          <w:color w:val="auto"/>
        </w:rPr>
      </w:pPr>
    </w:p>
    <w:p>
      <w:pPr>
        <w:ind w:right="40"/>
        <w:spacing w:after="0" w:line="224" w:lineRule="auto"/>
        <w:rPr>
          <w:sz w:val="20"/>
          <w:szCs w:val="20"/>
          <w:color w:val="auto"/>
        </w:rPr>
      </w:pPr>
      <w:r>
        <w:rPr>
          <w:rFonts w:ascii="Times New Roman" w:cs="Times New Roman" w:eastAsia="Times New Roman" w:hAnsi="Times New Roman"/>
          <w:sz w:val="16"/>
          <w:szCs w:val="16"/>
          <w:color w:val="231F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1" w:lineRule="exact"/>
        <w:rPr>
          <w:sz w:val="24"/>
          <w:szCs w:val="24"/>
          <w:color w:val="auto"/>
        </w:rPr>
      </w:pPr>
    </w:p>
    <w:p>
      <w:pPr>
        <w:spacing w:after="0"/>
        <w:rPr>
          <w:sz w:val="20"/>
          <w:szCs w:val="20"/>
          <w:color w:val="auto"/>
        </w:rPr>
      </w:pPr>
      <w:r>
        <w:rPr>
          <w:rFonts w:ascii="Segoe UI" w:cs="Segoe UI" w:eastAsia="Segoe UI" w:hAnsi="Segoe UI"/>
          <w:sz w:val="16"/>
          <w:szCs w:val="16"/>
          <w:color w:val="231F20"/>
        </w:rPr>
        <w:t>ն</w:t>
      </w:r>
    </w:p>
    <w:p>
      <w:pPr>
        <w:spacing w:after="0" w:line="46" w:lineRule="exact"/>
        <w:rPr>
          <w:sz w:val="24"/>
          <w:szCs w:val="24"/>
          <w:color w:val="auto"/>
        </w:rPr>
      </w:pPr>
    </w:p>
    <w:p>
      <w:pPr>
        <w:jc w:val="both"/>
        <w:ind w:right="20"/>
        <w:spacing w:after="0" w:line="264" w:lineRule="auto"/>
        <w:rPr>
          <w:sz w:val="20"/>
          <w:szCs w:val="20"/>
          <w:color w:val="auto"/>
        </w:rPr>
      </w:pPr>
      <w:r>
        <w:rPr>
          <w:rFonts w:ascii="Times New Roman" w:cs="Times New Roman" w:eastAsia="Times New Roman" w:hAnsi="Times New Roman"/>
          <w:sz w:val="16"/>
          <w:szCs w:val="16"/>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Segoe UI" w:cs="Segoe UI" w:eastAsia="Segoe UI" w:hAnsi="Segoe UI"/>
          <w:sz w:val="16"/>
          <w:szCs w:val="16"/>
          <w:color w:val="231F20"/>
        </w:rPr>
        <w:t>ն</w:t>
      </w:r>
    </w:p>
    <w:p>
      <w:pPr>
        <w:spacing w:after="0" w:line="1"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6"/>
          <w:szCs w:val="16"/>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Segoe UI" w:cs="Segoe UI" w:eastAsia="Segoe UI" w:hAnsi="Segoe UI"/>
          <w:sz w:val="16"/>
          <w:szCs w:val="16"/>
          <w:color w:val="231F20"/>
        </w:rPr>
        <w:t>ն</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31F20"/>
        </w:rPr>
        <w:t xml:space="preserve">Indicate by check mark whether the Registrant is a shell company (as defined in Rule 12b-2 of the Act). YES </w:t>
      </w:r>
      <w:r>
        <w:rPr>
          <w:rFonts w:ascii="Segoe UI" w:cs="Segoe UI" w:eastAsia="Segoe UI" w:hAnsi="Segoe UI"/>
          <w:sz w:val="16"/>
          <w:szCs w:val="16"/>
          <w:color w:val="231F20"/>
        </w:rPr>
        <w:t>ն</w:t>
      </w:r>
      <w:r>
        <w:rPr>
          <w:rFonts w:ascii="Times New Roman" w:cs="Times New Roman" w:eastAsia="Times New Roman" w:hAnsi="Times New Roman"/>
          <w:sz w:val="16"/>
          <w:szCs w:val="16"/>
          <w:color w:val="231F20"/>
        </w:rPr>
        <w:t xml:space="preserve"> NO </w:t>
      </w:r>
      <w:r>
        <w:rPr>
          <w:rFonts w:ascii="Segoe UI" w:cs="Segoe UI" w:eastAsia="Segoe UI" w:hAnsi="Segoe UI"/>
          <w:sz w:val="16"/>
          <w:szCs w:val="16"/>
          <w:color w:val="231F20"/>
        </w:rPr>
        <w:t>շ</w:t>
      </w:r>
    </w:p>
    <w:p>
      <w:pPr>
        <w:spacing w:after="0" w:line="64" w:lineRule="exact"/>
        <w:rPr>
          <w:sz w:val="24"/>
          <w:szCs w:val="24"/>
          <w:color w:val="auto"/>
        </w:rPr>
      </w:pPr>
    </w:p>
    <w:p>
      <w:pPr>
        <w:ind w:right="100"/>
        <w:spacing w:after="0" w:line="253" w:lineRule="auto"/>
        <w:rPr>
          <w:sz w:val="20"/>
          <w:szCs w:val="20"/>
          <w:color w:val="auto"/>
        </w:rPr>
      </w:pPr>
      <w:r>
        <w:rPr>
          <w:rFonts w:ascii="Times New Roman" w:cs="Times New Roman" w:eastAsia="Times New Roman" w:hAnsi="Times New Roman"/>
          <w:sz w:val="16"/>
          <w:szCs w:val="16"/>
          <w:color w:val="231F20"/>
        </w:rPr>
        <w:t>As of June 30, 2025, the aggregate market value of common stock held by non-affiliates of the Registrant was $19.6 million, based on the closing price of the common stock as reported on the NASDAQ Global Market for that date.</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231F20"/>
        </w:rPr>
        <w:t>The number of shares of Registrant’s Common Stock outstanding as of February 20, 2026 was 9,858,358.</w:t>
      </w:r>
    </w:p>
    <w:p>
      <w:pPr>
        <w:spacing w:after="0" w:line="77"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6"/>
          <w:szCs w:val="16"/>
          <w:color w:val="231F20"/>
        </w:rPr>
        <w:t>DOCUMENTS INCORPORATED BY REFERENCE</w:t>
      </w:r>
    </w:p>
    <w:p>
      <w:pPr>
        <w:spacing w:after="0" w:line="80"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231F20"/>
        </w:rPr>
        <w:t>Portions of the Company’s definitive Proxy Statement to be filed with the Securities and Exchange Commission within 120 days after December 31, 2025, and delivered to stockholders in connection with the Registrant’s annual meeting of stockholders are to be incorporated by reference into Part III, as specifically set forth in Part III.</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858000"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540pt,2.35pt" o:allowincell="f" strokecolor="#231F20" strokeweight="0.75pt"/>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48895</wp:posOffset>
                </wp:positionV>
                <wp:extent cx="6858000"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3.85pt" to="540pt,3.85pt" o:allowincell="f" strokecolor="#231F20" strokeweight="0.75pt"/>
            </w:pict>
          </mc:Fallback>
        </mc:AlternateContent>
      </w:r>
    </w:p>
    <w:p>
      <w:pPr>
        <w:sectPr>
          <w:pgSz w:w="11880" w:h="15480" w:orient="portrait"/>
          <w:cols w:equalWidth="0" w:num="1">
            <w:col w:w="10800"/>
          </w:cols>
          <w:pgMar w:left="540" w:top="887" w:right="540" w:bottom="233"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3"/>
                <w:szCs w:val="23"/>
                <w:color w:val="auto"/>
              </w:rPr>
            </w:pPr>
          </w:p>
        </w:tc>
        <w:tc>
          <w:tcPr>
            <w:tcW w:w="9100" w:type="dxa"/>
            <w:vAlign w:val="bottom"/>
          </w:tcPr>
          <w:p>
            <w:pPr>
              <w:ind w:left="3680"/>
              <w:spacing w:after="0"/>
              <w:rPr>
                <w:sz w:val="20"/>
                <w:szCs w:val="20"/>
                <w:color w:val="auto"/>
              </w:rPr>
            </w:pPr>
            <w:r>
              <w:rPr>
                <w:rFonts w:ascii="Times New Roman" w:cs="Times New Roman" w:eastAsia="Times New Roman" w:hAnsi="Times New Roman"/>
                <w:sz w:val="20"/>
                <w:szCs w:val="20"/>
                <w:b w:val="1"/>
                <w:bCs w:val="1"/>
                <w:color w:val="231F20"/>
              </w:rPr>
              <w:t>Table of Contents</w:t>
            </w: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20"/>
        </w:trPr>
        <w:tc>
          <w:tcPr>
            <w:tcW w:w="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PART I</w:t>
            </w:r>
          </w:p>
        </w:tc>
        <w:tc>
          <w:tcPr>
            <w:tcW w:w="9100" w:type="dxa"/>
            <w:vAlign w:val="bottom"/>
          </w:tcPr>
          <w:p>
            <w:pPr>
              <w:spacing w:after="0"/>
              <w:rPr>
                <w:sz w:val="24"/>
                <w:szCs w:val="24"/>
                <w:color w:val="auto"/>
              </w:rPr>
            </w:pPr>
          </w:p>
        </w:tc>
        <w:tc>
          <w:tcPr>
            <w:tcW w:w="740" w:type="dxa"/>
            <w:vAlign w:val="bottom"/>
            <w:tcBorders>
              <w:bottom w:val="single" w:sz="8" w:color="231F20"/>
            </w:tcBorders>
          </w:tcPr>
          <w:p>
            <w:pPr>
              <w:jc w:val="right"/>
              <w:ind w:right="121"/>
              <w:spacing w:after="0"/>
              <w:rPr>
                <w:sz w:val="20"/>
                <w:szCs w:val="20"/>
                <w:color w:val="auto"/>
              </w:rPr>
            </w:pPr>
            <w:r>
              <w:rPr>
                <w:rFonts w:ascii="Times New Roman" w:cs="Times New Roman" w:eastAsia="Times New Roman" w:hAnsi="Times New Roman"/>
                <w:sz w:val="16"/>
                <w:szCs w:val="16"/>
                <w:b w:val="1"/>
                <w:bCs w:val="1"/>
                <w:color w:val="231F20"/>
              </w:rPr>
              <w:t>Page</w:t>
            </w:r>
          </w:p>
        </w:tc>
        <w:tc>
          <w:tcPr>
            <w:tcW w:w="0" w:type="dxa"/>
            <w:vAlign w:val="bottom"/>
          </w:tcPr>
          <w:p>
            <w:pPr>
              <w:spacing w:after="0"/>
              <w:rPr>
                <w:sz w:val="1"/>
                <w:szCs w:val="1"/>
                <w:color w:val="auto"/>
              </w:rPr>
            </w:pPr>
          </w:p>
        </w:tc>
      </w:tr>
      <w:tr>
        <w:trPr>
          <w:trHeight w:val="226"/>
        </w:trPr>
        <w:tc>
          <w:tcPr>
            <w:tcW w:w="960" w:type="dxa"/>
            <w:vAlign w:val="bottom"/>
            <w:vMerge w:val="continue"/>
          </w:tcPr>
          <w:p>
            <w:pPr>
              <w:spacing w:after="0"/>
              <w:rPr>
                <w:sz w:val="19"/>
                <w:szCs w:val="19"/>
                <w:color w:val="auto"/>
              </w:rPr>
            </w:pPr>
          </w:p>
        </w:tc>
        <w:tc>
          <w:tcPr>
            <w:tcW w:w="9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Business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1A.</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1B.</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Unresolved Staff Comments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1C.</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Cybersecurity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2.</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Properties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3.</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Legal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4.</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Mine Safety Disclosures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w:t>
            </w:r>
          </w:p>
        </w:tc>
        <w:tc>
          <w:tcPr>
            <w:tcW w:w="0" w:type="dxa"/>
            <w:vAlign w:val="bottom"/>
          </w:tcPr>
          <w:p>
            <w:pPr>
              <w:spacing w:after="0"/>
              <w:rPr>
                <w:sz w:val="1"/>
                <w:szCs w:val="1"/>
                <w:color w:val="auto"/>
              </w:rPr>
            </w:pPr>
          </w:p>
        </w:tc>
      </w:tr>
      <w:tr>
        <w:trPr>
          <w:trHeight w:val="469"/>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w:t>
            </w:r>
          </w:p>
        </w:tc>
        <w:tc>
          <w:tcPr>
            <w:tcW w:w="9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5.</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Market for Registrant’s Common Equity, Related Stockholder Matters and Issuer Purchases of Equity</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960" w:type="dxa"/>
            <w:vAlign w:val="bottom"/>
          </w:tcPr>
          <w:p>
            <w:pPr>
              <w:spacing w:after="0"/>
              <w:rPr>
                <w:sz w:val="21"/>
                <w:szCs w:val="21"/>
                <w:color w:val="auto"/>
              </w:rPr>
            </w:pP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Securities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6.</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[Reserved]</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Management’s Discussion and Analysis of Financial Condition and Results of Operations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7A.</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Quantitative and Qualitative Disclosures About Market Risk</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8.</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Financial Statements and Supplementary Data</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Changes in and Disagreements with Accountants on Accounting and Financial Disclosure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9A.</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Controls and Procedures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9B.</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Other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9C.</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Disclosures Regarding Foreign Jurisdictions that Prevent Inspections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w:t>
            </w:r>
          </w:p>
        </w:tc>
        <w:tc>
          <w:tcPr>
            <w:tcW w:w="0" w:type="dxa"/>
            <w:vAlign w:val="bottom"/>
          </w:tcPr>
          <w:p>
            <w:pPr>
              <w:spacing w:after="0"/>
              <w:rPr>
                <w:sz w:val="1"/>
                <w:szCs w:val="1"/>
                <w:color w:val="auto"/>
              </w:rPr>
            </w:pPr>
          </w:p>
        </w:tc>
      </w:tr>
      <w:tr>
        <w:trPr>
          <w:trHeight w:val="469"/>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III</w:t>
            </w:r>
          </w:p>
        </w:tc>
        <w:tc>
          <w:tcPr>
            <w:tcW w:w="9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10.</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Directors, Executive Officers and Corporate Governance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11.</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Executive Compensation</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12.</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Security Ownership of Certain Beneficial Owners and Management and Related Stockholder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13.</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Certain Relationships and Related Transactions, and Director Independence</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14.</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Principal Accountant Fees and Services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80</w:t>
            </w:r>
          </w:p>
        </w:tc>
        <w:tc>
          <w:tcPr>
            <w:tcW w:w="0" w:type="dxa"/>
            <w:vAlign w:val="bottom"/>
          </w:tcPr>
          <w:p>
            <w:pPr>
              <w:spacing w:after="0"/>
              <w:rPr>
                <w:sz w:val="1"/>
                <w:szCs w:val="1"/>
                <w:color w:val="auto"/>
              </w:rPr>
            </w:pPr>
          </w:p>
        </w:tc>
      </w:tr>
      <w:tr>
        <w:trPr>
          <w:trHeight w:val="469"/>
        </w:trPr>
        <w:tc>
          <w:tcPr>
            <w:tcW w:w="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PART IV</w:t>
            </w:r>
          </w:p>
        </w:tc>
        <w:tc>
          <w:tcPr>
            <w:tcW w:w="9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15.</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Exhibit and Financial Statement Schedules</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0" w:type="dxa"/>
            <w:vAlign w:val="bottom"/>
          </w:tcPr>
          <w:p>
            <w:pPr>
              <w:spacing w:after="0"/>
              <w:rPr>
                <w:sz w:val="1"/>
                <w:szCs w:val="1"/>
                <w:color w:val="auto"/>
              </w:rPr>
            </w:pPr>
          </w:p>
        </w:tc>
      </w:tr>
      <w:tr>
        <w:trPr>
          <w:trHeight w:val="266"/>
        </w:trPr>
        <w:tc>
          <w:tcPr>
            <w:tcW w:w="96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Item 16</w:t>
            </w:r>
          </w:p>
        </w:tc>
        <w:tc>
          <w:tcPr>
            <w:tcW w:w="9100" w:type="dxa"/>
            <w:vAlign w:val="bottom"/>
          </w:tcPr>
          <w:p>
            <w:pPr>
              <w:ind w:left="140"/>
              <w:spacing w:after="0"/>
              <w:rPr>
                <w:sz w:val="20"/>
                <w:szCs w:val="20"/>
                <w:color w:val="auto"/>
              </w:rPr>
            </w:pPr>
            <w:r>
              <w:rPr>
                <w:rFonts w:ascii="Times New Roman" w:cs="Times New Roman" w:eastAsia="Times New Roman" w:hAnsi="Times New Roman"/>
                <w:sz w:val="20"/>
                <w:szCs w:val="20"/>
                <w:color w:val="231F20"/>
              </w:rPr>
              <w:t>Form 10-K Summary</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-4667885</wp:posOffset>
            </wp:positionV>
            <wp:extent cx="6858000" cy="46577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extLst>
                        <a:ext uri="{28A0092B-C50C-407E-A947-70E740481C1C}"/>
                      </a:extLst>
                    </a:blip>
                    <a:srcRect/>
                    <a:stretch>
                      <a:fillRect/>
                    </a:stretch>
                  </pic:blipFill>
                  <pic:spPr bwMode="auto">
                    <a:xfrm>
                      <a:off x="0" y="0"/>
                      <a:ext cx="6858000" cy="4657725"/>
                    </a:xfrm>
                    <a:prstGeom prst="rect">
                      <a:avLst/>
                    </a:prstGeom>
                    <a:noFill/>
                  </pic:spPr>
                </pic:pic>
              </a:graphicData>
            </a:graphic>
          </wp:anchor>
        </w:drawing>
      </w:r>
    </w:p>
    <w:p>
      <w:pPr>
        <w:sectPr>
          <w:pgSz w:w="11880" w:h="15480" w:orient="portrait"/>
          <w:cols w:equalWidth="0" w:num="1">
            <w:col w:w="10800"/>
          </w:cols>
          <w:pgMar w:left="540" w:top="746" w:right="540" w:bottom="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i</w:t>
      </w:r>
    </w:p>
    <w:p>
      <w:pPr>
        <w:sectPr>
          <w:pgSz w:w="11880" w:h="15480" w:orient="portrait"/>
          <w:cols w:equalWidth="0" w:num="1">
            <w:col w:w="10800"/>
          </w:cols>
          <w:pgMar w:left="540" w:top="746" w:right="540" w:bottom="64"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231F20"/>
        </w:rPr>
        <w:t>SPECIAL NOTE REGARDING FORWARD-LOOKING STATEMENTS</w:t>
      </w:r>
    </w:p>
    <w:p>
      <w:pPr>
        <w:spacing w:after="0" w:line="35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This Annual Report on Form 10-K contains forward-looking statements about us and our industry that involve substantial risks and uncertainties. All statements other than statements of historical facts contained in this Annual Report on Form 10- K, including statements regarding our future financial condition, results of operations, business strategy and plans, and objectives of management for future operations, as well as statements regarding industry trends, are forward-looking statements. In some cases, you can identify forward-looking statements by terminology such as “anticipate,” “believe,” “continue,” “could,” “estimate,” “expect,” “intend,” “may,” “plan,” “potentially,” “predict,” “should,” “will” or the negative of these terms or other similar expressions.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risks, uncertainties, factors, and assumptions described under the section titled “Risk Factors” and elsewhere in this Annual Report on Form 10-K, regarding, among other things:</w:t>
      </w:r>
    </w:p>
    <w:p>
      <w:pPr>
        <w:spacing w:after="0" w:line="80" w:lineRule="exact"/>
        <w:rPr>
          <w:sz w:val="20"/>
          <w:szCs w:val="20"/>
          <w:color w:val="auto"/>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achieve or sustain profitability;</w:t>
      </w:r>
    </w:p>
    <w:p>
      <w:pPr>
        <w:spacing w:after="0" w:line="123" w:lineRule="exact"/>
        <w:rPr>
          <w:rFonts w:ascii="Arial" w:cs="Arial" w:eastAsia="Arial" w:hAnsi="Arial"/>
          <w:sz w:val="20"/>
          <w:szCs w:val="20"/>
          <w:color w:val="231F20"/>
        </w:rPr>
      </w:pPr>
    </w:p>
    <w:p>
      <w:pPr>
        <w:ind w:left="860" w:hanging="370"/>
        <w:spacing w:after="0" w:line="267"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attain significant market acceptance among payers, providers, clinics, patients, and biopharmaceutical companies for our diagnostic tests;</w:t>
      </w:r>
    </w:p>
    <w:p>
      <w:pPr>
        <w:spacing w:after="0" w:line="62"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difficulties managing our growth, which could disrupt our operations;</w:t>
      </w:r>
    </w:p>
    <w:p>
      <w:pPr>
        <w:spacing w:after="0" w:line="123" w:lineRule="exact"/>
        <w:rPr>
          <w:rFonts w:ascii="Arial" w:cs="Arial" w:eastAsia="Arial" w:hAnsi="Arial"/>
          <w:sz w:val="20"/>
          <w:szCs w:val="20"/>
          <w:color w:val="231F20"/>
        </w:rPr>
      </w:pPr>
    </w:p>
    <w:p>
      <w:pPr>
        <w:ind w:left="860" w:hanging="370"/>
        <w:spacing w:after="0" w:line="267"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retain sales and marketing personnel, and failure to increase our sales and marketing capabilities or develop broad awareness of our diagnostic tests to generate revenue growth;</w:t>
      </w:r>
    </w:p>
    <w:p>
      <w:pPr>
        <w:spacing w:after="0" w:line="62"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maintain our current relationships, or enter into new relationships, with biopharmaceutical companies;</w:t>
      </w:r>
    </w:p>
    <w:p>
      <w:pPr>
        <w:spacing w:after="0" w:line="116" w:lineRule="exact"/>
        <w:rPr>
          <w:rFonts w:ascii="Arial" w:cs="Arial" w:eastAsia="Arial" w:hAnsi="Arial"/>
          <w:sz w:val="20"/>
          <w:szCs w:val="20"/>
          <w:color w:val="231F20"/>
        </w:rPr>
      </w:pPr>
    </w:p>
    <w:p>
      <w:pPr>
        <w:ind w:left="860" w:hanging="370"/>
        <w:spacing w:after="0" w:line="259"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significant fluctuation in our operating results, causing our operating results to fall below expectations or any guidance we provide;</w:t>
      </w:r>
    </w:p>
    <w:p>
      <w:pPr>
        <w:spacing w:after="0" w:line="60"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performance and reliability to maintain and grow our business;</w:t>
      </w:r>
    </w:p>
    <w:p>
      <w:pPr>
        <w:spacing w:after="0" w:line="115" w:lineRule="exact"/>
        <w:rPr>
          <w:rFonts w:ascii="Arial" w:cs="Arial" w:eastAsia="Arial" w:hAnsi="Arial"/>
          <w:sz w:val="20"/>
          <w:szCs w:val="20"/>
          <w:color w:val="231F20"/>
        </w:rPr>
      </w:pPr>
    </w:p>
    <w:p>
      <w:pPr>
        <w:ind w:left="860" w:hanging="370"/>
        <w:spacing w:after="0" w:line="259"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third-party suppliers, including courier services and single source suppliers; making us vulnerable to supply problems and price fluctuations;</w:t>
      </w:r>
    </w:p>
    <w:p>
      <w:pPr>
        <w:spacing w:after="0" w:line="60"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impact of a pandemic, epidemic, or outbreak of an infectious disease in the United States (U.S.) or worldwide;</w:t>
      </w:r>
    </w:p>
    <w:p>
      <w:pPr>
        <w:spacing w:after="0" w:line="115" w:lineRule="exact"/>
        <w:rPr>
          <w:rFonts w:ascii="Arial" w:cs="Arial" w:eastAsia="Arial" w:hAnsi="Arial"/>
          <w:sz w:val="20"/>
          <w:szCs w:val="20"/>
          <w:color w:val="231F20"/>
        </w:rPr>
      </w:pPr>
    </w:p>
    <w:p>
      <w:pPr>
        <w:ind w:left="860" w:hanging="370"/>
        <w:spacing w:after="0" w:line="259"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natural or man-made disasters and other similar events negatively impacting our business, financial condition, and results of operations;</w:t>
      </w:r>
    </w:p>
    <w:p>
      <w:pPr>
        <w:spacing w:after="0" w:line="60" w:lineRule="exact"/>
        <w:rPr>
          <w:rFonts w:ascii="Arial" w:cs="Arial" w:eastAsia="Arial" w:hAnsi="Arial"/>
          <w:sz w:val="20"/>
          <w:szCs w:val="20"/>
          <w:color w:val="231F20"/>
        </w:rPr>
      </w:pPr>
    </w:p>
    <w:p>
      <w:pPr>
        <w:ind w:left="860" w:hanging="370"/>
        <w:spacing w:after="0" w:line="259"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offer high-quality support for our diagnostic tests, which may adversely affect our relationships with providers and negatively impact our reputation among patients and providers;</w:t>
      </w:r>
    </w:p>
    <w:p>
      <w:pPr>
        <w:spacing w:after="0" w:line="60"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continue to innovate and improve our diagnostic tests and services we offer;</w:t>
      </w:r>
    </w:p>
    <w:p>
      <w:pPr>
        <w:spacing w:after="0" w:line="115"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security or data privacy breaches or other unauthorized or improper access;</w:t>
      </w:r>
    </w:p>
    <w:p>
      <w:pPr>
        <w:spacing w:after="0" w:line="115"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significant disruptions in our information technology systems;</w:t>
      </w:r>
    </w:p>
    <w:p>
      <w:pPr>
        <w:spacing w:after="0" w:line="115" w:lineRule="exact"/>
        <w:rPr>
          <w:rFonts w:ascii="Arial" w:cs="Arial" w:eastAsia="Arial" w:hAnsi="Arial"/>
          <w:sz w:val="20"/>
          <w:szCs w:val="20"/>
          <w:color w:val="231F20"/>
        </w:rPr>
      </w:pPr>
    </w:p>
    <w:p>
      <w:pPr>
        <w:ind w:left="860" w:hanging="370"/>
        <w:spacing w:after="0" w:line="259"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incurrence of substantial liabilities and limiting or halting the marketing and sale of our diagnostic tests due to product liability lawsuits;</w:t>
      </w:r>
    </w:p>
    <w:p>
      <w:pPr>
        <w:spacing w:after="0" w:line="60"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inability to compete successfully with competition from many sources, including larger companies;</w:t>
      </w:r>
    </w:p>
    <w:p>
      <w:pPr>
        <w:spacing w:after="0" w:line="115"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performance issues, service interruptions or price increases by our shipping carriers;</w:t>
      </w:r>
    </w:p>
    <w:p>
      <w:pPr>
        <w:spacing w:after="0" w:line="131"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cost-containment efforts of our customers, purchasing groups and integrated delivery networks having a material adverse effect on our sales and profitability;</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potential effects of litigation and other proceedings;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economic and financial market conditions, including enhanced U.S. tariffs, import/export restrictions or other trade barriers, which may have a negative effect on global economic conditions, financial markets and our business;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attract and retain key personnel;</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current and future debt financing placing restrictions on our operating and financial flexibility;</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
        </w:numPr>
        <w:rPr>
          <w:rFonts w:ascii="Arial" w:cs="Arial" w:eastAsia="Arial" w:hAnsi="Arial"/>
          <w:sz w:val="20"/>
          <w:szCs w:val="20"/>
          <w:color w:val="231F20"/>
        </w:rPr>
      </w:pPr>
      <w:r>
        <w:rPr>
          <w:rFonts w:ascii="Times New Roman" w:cs="Times New Roman" w:eastAsia="Times New Roman" w:hAnsi="Times New Roman"/>
          <w:sz w:val="20"/>
          <w:szCs w:val="20"/>
          <w:color w:val="231F20"/>
        </w:rPr>
        <w:t>our need to raise additional capital to fund our existing operations, develop our platform, commercialize new diagnostic tests, or expand our operations;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1</w:t>
      </w:r>
    </w:p>
    <w:p>
      <w:pPr>
        <w:sectPr>
          <w:pgSz w:w="11880" w:h="15480" w:orient="portrait"/>
          <w:cols w:equalWidth="0" w:num="1">
            <w:col w:w="10800"/>
          </w:cols>
          <w:pgMar w:left="540" w:top="746" w:right="540" w:bottom="0" w:gutter="0" w:footer="0" w:header="0"/>
          <w:type w:val="continuous"/>
        </w:sectPr>
      </w:pPr>
    </w:p>
    <w:bookmarkStart w:id="3" w:name="page4"/>
    <w:bookmarkEnd w:id="3"/>
    <w:p>
      <w:pPr>
        <w:ind w:left="860" w:hanging="370"/>
        <w:spacing w:after="0" w:line="276" w:lineRule="auto"/>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acquisition of other businesses, which could require significant management attention, disrupt our business, dilute stockholder value and adversely affect our results of operations;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the uncertainty of the insurance coverage and reimbursement status of newly approved diagnostic tests;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healthcare reform measures that could hinder or prevent the commercial success of our diagnostic tests;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anti-corruption, anti-bribery, anti-money laundering and similar laws;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healthcare fraud and abuse laws;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develop, receive regulatory clearance or approval or certification for, and introduce new diagnostic tests or enhancements to existing diagnostic tests that will be accepted by the market in a timely manner;</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failure to comply with ongoing FDA or other domestic and foreign regulatory authority requirements, or unanticipated problems with our diagnostic tests, causing them to be subject to restrictions or withdrawal from the market;</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product recalls;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legal proceedings initiated by third parties alleging that we are infringing, misappropriating, or otherwise violating their intellectual property rights, the outcome of which would be uncertain;</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the volatility of the trading price of our common stock;</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no assurance that our common stock will maintain compliance with the minimum bid price requirement or other applicable listing standards of The Nasdaq Stock Market LLC (Nasdaq) or another national securities exchange;</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inaccurate estimates or judgments relating to our critical accounting policies, which could cause our operating results to fall below the expectations of securities analysts and investors; and</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4"/>
        </w:numPr>
        <w:rPr>
          <w:rFonts w:ascii="Arial" w:cs="Arial" w:eastAsia="Arial" w:hAnsi="Arial"/>
          <w:sz w:val="20"/>
          <w:szCs w:val="20"/>
          <w:color w:val="231F20"/>
        </w:rPr>
      </w:pPr>
      <w:r>
        <w:rPr>
          <w:rFonts w:ascii="Times New Roman" w:cs="Times New Roman" w:eastAsia="Times New Roman" w:hAnsi="Times New Roman"/>
          <w:sz w:val="20"/>
          <w:szCs w:val="20"/>
          <w:color w:val="231F20"/>
        </w:rPr>
        <w:t>other risks, uncertainties and factors, including those set forth under Item 1A. “Risk Factors”.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These risks are not exhaustive. Other sections of this Annual Report on Form 10-K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You should not rely upon forward-looking statements as predictions of future events. Although we believe that the expectations reflected in the forward- looking statements are reasonable, we cannot guarantee future results, levels of activity, performance or achievements. Except as required by law, we undertake no obligation to update publicly any forward-looking statements for any reason after the date of this Annual Report on Form 10-K or to conform these statements to actual results or to changes in our expectations.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You should read this Annual Report on Form 10-K and the documents that we reference and have filed as exhibits with the understanding that our actual future results, levels of activity, performance and achievements may be different from what we expect. We qualify all of our forward-looking statements by these cautionary statements.</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2</w:t>
      </w:r>
    </w:p>
    <w:p>
      <w:pPr>
        <w:sectPr>
          <w:pgSz w:w="11880" w:h="15480" w:orient="portrait"/>
          <w:cols w:equalWidth="0" w:num="1">
            <w:col w:w="10800"/>
          </w:cols>
          <w:pgMar w:left="540" w:top="764" w:right="540" w:bottom="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20"/>
          <w:szCs w:val="20"/>
          <w:b w:val="1"/>
          <w:bCs w:val="1"/>
          <w:color w:val="231F20"/>
        </w:rPr>
        <w:t>PART I</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 Business.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Business Overview</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Biodesix, Inc. (“Biodesix”, “we,” “us,” “our” or the “Company”) is a leading diagnostic solutions company. Our mission at Biodesix is to transform patient care and improve outcomes through personalized diagnostics that are timely, accessible, and address immediate clinical needs. We envision a world where patient disease is conquered through the guidance of personalized diagnostics.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derive our revenue from two sources: (i) Biodesix Lung Diagnostic Testing (Lung Diagnostic Testing), providing lung diagnostic testing services for healthcare providers associated with our five blood-based tests and (ii) Biodesix Development Services (Development Services) providing diagnostic testing services and consulting to biopharmaceutical, life sciences, and diagnostic companies.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During 2025, we achieved numerous company milestones:</w:t>
      </w:r>
    </w:p>
    <w:p>
      <w:pPr>
        <w:spacing w:after="0" w:line="134" w:lineRule="exact"/>
        <w:rPr>
          <w:sz w:val="20"/>
          <w:szCs w:val="20"/>
          <w:color w:val="auto"/>
        </w:rPr>
      </w:pPr>
    </w:p>
    <w:p>
      <w:pPr>
        <w:ind w:left="980" w:hanging="490"/>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delivered on our commercial and diagnostic services strengths resulting in an estimated $88.5 million in total revenue for the year, an increase of 24% over 2024;</w:t>
      </w:r>
    </w:p>
    <w:p>
      <w:pPr>
        <w:spacing w:after="0" w:line="60" w:lineRule="exact"/>
        <w:rPr>
          <w:rFonts w:ascii="Arial" w:cs="Arial" w:eastAsia="Arial" w:hAnsi="Arial"/>
          <w:sz w:val="20"/>
          <w:szCs w:val="20"/>
          <w:color w:val="231F20"/>
        </w:rPr>
      </w:pPr>
    </w:p>
    <w:p>
      <w:pPr>
        <w:ind w:left="1460" w:hanging="490"/>
        <w:spacing w:after="0" w:line="281" w:lineRule="auto"/>
        <w:rPr>
          <w:rFonts w:ascii="Arial" w:cs="Arial" w:eastAsia="Arial" w:hAnsi="Arial"/>
          <w:sz w:val="20"/>
          <w:szCs w:val="20"/>
          <w:color w:val="231F20"/>
        </w:rPr>
      </w:pPr>
      <w:r>
        <w:rPr>
          <w:rFonts w:ascii="Arial" w:cs="Arial" w:eastAsia="Arial" w:hAnsi="Arial"/>
          <w:sz w:val="20"/>
          <w:szCs w:val="20"/>
          <w:color w:val="231F20"/>
        </w:rPr>
        <w:t xml:space="preserve">R </w:t>
      </w:r>
      <w:r>
        <w:rPr>
          <w:rFonts w:ascii="Times New Roman" w:cs="Times New Roman" w:eastAsia="Times New Roman" w:hAnsi="Times New Roman"/>
          <w:sz w:val="20"/>
          <w:szCs w:val="20"/>
          <w:b w:val="1"/>
          <w:bCs w:val="1"/>
          <w:color w:val="231F20"/>
        </w:rPr>
        <w:t>Lung Diagnostic Testing</w:t>
      </w:r>
      <w:r>
        <w:rPr>
          <w:rFonts w:ascii="Arial" w:cs="Arial" w:eastAsia="Arial" w:hAnsi="Arial"/>
          <w:sz w:val="20"/>
          <w:szCs w:val="20"/>
          <w:color w:val="231F20"/>
        </w:rPr>
        <w:t xml:space="preserve"> </w:t>
      </w:r>
      <w:r>
        <w:rPr>
          <w:rFonts w:ascii="Times New Roman" w:cs="Times New Roman" w:eastAsia="Times New Roman" w:hAnsi="Times New Roman"/>
          <w:sz w:val="20"/>
          <w:szCs w:val="20"/>
          <w:color w:val="231F20"/>
        </w:rPr>
        <w:t>- $79.2 million of revenue, an increase of 22%, from 62,600 tests delivered, an increase</w:t>
      </w:r>
      <w:r>
        <w:rPr>
          <w:rFonts w:ascii="Arial" w:cs="Arial" w:eastAsia="Arial" w:hAnsi="Arial"/>
          <w:sz w:val="20"/>
          <w:szCs w:val="20"/>
          <w:color w:val="231F20"/>
        </w:rPr>
        <w:t xml:space="preserve"> </w:t>
      </w:r>
      <w:r>
        <w:rPr>
          <w:rFonts w:ascii="Times New Roman" w:cs="Times New Roman" w:eastAsia="Times New Roman" w:hAnsi="Times New Roman"/>
          <w:sz w:val="20"/>
          <w:szCs w:val="20"/>
          <w:color w:val="231F20"/>
        </w:rPr>
        <w:t>of 15%;</w:t>
      </w:r>
    </w:p>
    <w:p>
      <w:pPr>
        <w:spacing w:after="0" w:line="54" w:lineRule="exact"/>
        <w:rPr>
          <w:rFonts w:ascii="Arial" w:cs="Arial" w:eastAsia="Arial" w:hAnsi="Arial"/>
          <w:sz w:val="20"/>
          <w:szCs w:val="20"/>
          <w:color w:val="231F20"/>
        </w:rPr>
      </w:pPr>
    </w:p>
    <w:p>
      <w:pPr>
        <w:ind w:left="980"/>
        <w:spacing w:after="0"/>
        <w:rPr>
          <w:rFonts w:ascii="Arial" w:cs="Arial" w:eastAsia="Arial" w:hAnsi="Arial"/>
          <w:sz w:val="20"/>
          <w:szCs w:val="20"/>
          <w:color w:val="231F20"/>
        </w:rPr>
      </w:pPr>
      <w:r>
        <w:rPr>
          <w:rFonts w:ascii="Arial" w:cs="Arial" w:eastAsia="Arial" w:hAnsi="Arial"/>
          <w:sz w:val="20"/>
          <w:szCs w:val="20"/>
          <w:color w:val="231F20"/>
        </w:rPr>
        <w:t xml:space="preserve">R    </w:t>
      </w:r>
      <w:r>
        <w:rPr>
          <w:rFonts w:ascii="Times New Roman" w:cs="Times New Roman" w:eastAsia="Times New Roman" w:hAnsi="Times New Roman"/>
          <w:sz w:val="20"/>
          <w:szCs w:val="20"/>
          <w:b w:val="1"/>
          <w:bCs w:val="1"/>
          <w:color w:val="231F20"/>
        </w:rPr>
        <w:t>Development Services</w:t>
      </w:r>
      <w:r>
        <w:rPr>
          <w:rFonts w:ascii="Arial" w:cs="Arial" w:eastAsia="Arial" w:hAnsi="Arial"/>
          <w:sz w:val="20"/>
          <w:szCs w:val="20"/>
          <w:color w:val="231F20"/>
        </w:rPr>
        <w:t xml:space="preserve"> </w:t>
      </w:r>
      <w:r>
        <w:rPr>
          <w:rFonts w:ascii="Times New Roman" w:cs="Times New Roman" w:eastAsia="Times New Roman" w:hAnsi="Times New Roman"/>
          <w:sz w:val="20"/>
          <w:szCs w:val="20"/>
          <w:color w:val="231F20"/>
        </w:rPr>
        <w:t>- $9.3 million in biopharmaceutical services revenue, an increase of 41%;</w:t>
      </w:r>
    </w:p>
    <w:p>
      <w:pPr>
        <w:spacing w:after="0" w:line="137"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continued to present and publish new clinical data supporting the adoption of our tests, increased reimbursement coverage for our Lung Diagnostic tests from private payors, and advanced our research and development partnerships;</w:t>
      </w:r>
    </w:p>
    <w:p>
      <w:pPr>
        <w:spacing w:after="0" w:line="64" w:lineRule="exact"/>
        <w:rPr>
          <w:rFonts w:ascii="Arial" w:cs="Arial" w:eastAsia="Arial" w:hAnsi="Arial"/>
          <w:sz w:val="20"/>
          <w:szCs w:val="20"/>
          <w:color w:val="231F20"/>
        </w:rPr>
      </w:pPr>
    </w:p>
    <w:p>
      <w:pPr>
        <w:jc w:val="both"/>
        <w:ind w:left="980" w:hanging="490"/>
        <w:spacing w:after="0" w:line="258"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enrolled more than 1,500 patients in the CLARIFY study, which will collect patient outcomes and other clinical information on 4,000 patients who have received Nodify Lung® Nodule Risk Assessment testing in the clinical setting and have at least 1-2 years of follow-up.</w:t>
      </w:r>
    </w:p>
    <w:p>
      <w:pPr>
        <w:spacing w:after="0" w:line="81" w:lineRule="exact"/>
        <w:rPr>
          <w:rFonts w:ascii="Arial" w:cs="Arial" w:eastAsia="Arial" w:hAnsi="Arial"/>
          <w:sz w:val="20"/>
          <w:szCs w:val="20"/>
          <w:color w:val="231F20"/>
        </w:rPr>
      </w:pPr>
    </w:p>
    <w:p>
      <w:pPr>
        <w:ind w:left="980" w:hanging="490"/>
        <w:spacing w:after="0"/>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improved our operational efficiencies increasing gross margin percentage to 81% as compared to 78% in 2024;</w:t>
      </w:r>
    </w:p>
    <w:p>
      <w:pPr>
        <w:spacing w:after="0" w:line="133" w:lineRule="exact"/>
        <w:rPr>
          <w:rFonts w:ascii="Arial" w:cs="Arial" w:eastAsia="Arial" w:hAnsi="Arial"/>
          <w:sz w:val="20"/>
          <w:szCs w:val="20"/>
          <w:color w:val="231F20"/>
        </w:rPr>
      </w:pPr>
    </w:p>
    <w:p>
      <w:pPr>
        <w:jc w:val="both"/>
        <w:ind w:left="980" w:hanging="490"/>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maintained our cost-disciplined approach limiting growth in full year Operating Expense, excluding Direct costs and expenses to 10% over 2024, including non-cash share-based compensation expenses, while growing revenue by 24%; and</w:t>
      </w:r>
    </w:p>
    <w:p>
      <w:pPr>
        <w:spacing w:after="0" w:line="64" w:lineRule="exact"/>
        <w:rPr>
          <w:rFonts w:ascii="Arial" w:cs="Arial" w:eastAsia="Arial" w:hAnsi="Arial"/>
          <w:sz w:val="20"/>
          <w:szCs w:val="20"/>
          <w:color w:val="231F20"/>
        </w:rPr>
      </w:pPr>
    </w:p>
    <w:p>
      <w:pPr>
        <w:ind w:left="980" w:hanging="490"/>
        <w:spacing w:after="0" w:line="276" w:lineRule="auto"/>
        <w:tabs>
          <w:tab w:leader="none" w:pos="980" w:val="left"/>
        </w:tabs>
        <w:numPr>
          <w:ilvl w:val="0"/>
          <w:numId w:val="5"/>
        </w:numPr>
        <w:rPr>
          <w:rFonts w:ascii="Arial" w:cs="Arial" w:eastAsia="Arial" w:hAnsi="Arial"/>
          <w:sz w:val="20"/>
          <w:szCs w:val="20"/>
          <w:color w:val="231F20"/>
        </w:rPr>
      </w:pPr>
      <w:r>
        <w:rPr>
          <w:rFonts w:ascii="Times New Roman" w:cs="Times New Roman" w:eastAsia="Times New Roman" w:hAnsi="Times New Roman"/>
          <w:sz w:val="20"/>
          <w:szCs w:val="20"/>
          <w:color w:val="231F20"/>
        </w:rPr>
        <w:t>We were awarded the prestigious 2025 Denver Post | Energage Top Workplaces, the second consecutive year receiving an employee-survey based recognition award – a reflection of our strong team culture and employee engagement.</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Strategy</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an extensive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w:t>
      </w:r>
    </w:p>
    <w:p>
      <w:pPr>
        <w:spacing w:after="0" w:line="64" w:lineRule="exact"/>
        <w:rPr>
          <w:sz w:val="20"/>
          <w:szCs w:val="20"/>
          <w:color w:val="auto"/>
        </w:rPr>
      </w:pPr>
    </w:p>
    <w:p>
      <w:pPr>
        <w:ind w:left="980" w:hanging="490"/>
        <w:spacing w:after="0" w:line="286" w:lineRule="auto"/>
        <w:tabs>
          <w:tab w:leader="none" w:pos="980" w:val="left"/>
        </w:tabs>
        <w:numPr>
          <w:ilvl w:val="0"/>
          <w:numId w:val="6"/>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Lung Diagnostic Tests - Drive increased awareness, adoption, and reimbursement coverage of our diagnostic tests by:</w:t>
      </w:r>
    </w:p>
    <w:p>
      <w:pPr>
        <w:spacing w:after="0" w:line="50" w:lineRule="exact"/>
        <w:rPr>
          <w:rFonts w:ascii="Times New Roman" w:cs="Times New Roman" w:eastAsia="Times New Roman" w:hAnsi="Times New Roman"/>
          <w:sz w:val="20"/>
          <w:szCs w:val="20"/>
          <w:b w:val="1"/>
          <w:bCs w:val="1"/>
          <w:color w:val="231F20"/>
        </w:rPr>
      </w:pPr>
    </w:p>
    <w:p>
      <w:pPr>
        <w:jc w:val="both"/>
        <w:ind w:left="1700" w:hanging="490"/>
        <w:spacing w:after="0" w:line="258" w:lineRule="auto"/>
        <w:tabs>
          <w:tab w:leader="none" w:pos="1700" w:val="left"/>
        </w:tabs>
        <w:numPr>
          <w:ilvl w:val="1"/>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continuously educating healthcare providers key opinion leaders, hospital systems, advocacy groups, patients, payers, academic research organizations, and technology assessment and guideline organizations on the clinical data and benefits of our tests;</w:t>
      </w:r>
    </w:p>
    <w:p>
      <w:pPr>
        <w:spacing w:after="0" w:line="81" w:lineRule="exact"/>
        <w:rPr>
          <w:rFonts w:ascii="Arial" w:cs="Arial" w:eastAsia="Arial" w:hAnsi="Arial"/>
          <w:sz w:val="20"/>
          <w:szCs w:val="20"/>
          <w:color w:val="231F20"/>
        </w:rPr>
      </w:pPr>
    </w:p>
    <w:p>
      <w:pPr>
        <w:ind w:left="1700" w:hanging="490"/>
        <w:spacing w:after="0" w:line="276" w:lineRule="auto"/>
        <w:tabs>
          <w:tab w:leader="none" w:pos="1700" w:val="left"/>
        </w:tabs>
        <w:numPr>
          <w:ilvl w:val="1"/>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continuing to invest in the expansion and professional development of our lung-focused clinical sales force and commercial support teams;</w:t>
      </w:r>
    </w:p>
    <w:p>
      <w:pPr>
        <w:spacing w:after="0" w:line="64" w:lineRule="exact"/>
        <w:rPr>
          <w:rFonts w:ascii="Arial" w:cs="Arial" w:eastAsia="Arial" w:hAnsi="Arial"/>
          <w:sz w:val="20"/>
          <w:szCs w:val="20"/>
          <w:color w:val="231F20"/>
        </w:rPr>
      </w:pPr>
    </w:p>
    <w:p>
      <w:pPr>
        <w:ind w:left="1700" w:hanging="490"/>
        <w:spacing w:after="0" w:line="276" w:lineRule="auto"/>
        <w:tabs>
          <w:tab w:leader="none" w:pos="1700" w:val="left"/>
        </w:tabs>
        <w:numPr>
          <w:ilvl w:val="1"/>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extending our commercial reach in clinics specializing in the management of lung nodules and the diagnosis of lung disease and their primary care referral networks;</w:t>
      </w:r>
    </w:p>
    <w:p>
      <w:pPr>
        <w:spacing w:after="0" w:line="64" w:lineRule="exact"/>
        <w:rPr>
          <w:rFonts w:ascii="Arial" w:cs="Arial" w:eastAsia="Arial" w:hAnsi="Arial"/>
          <w:sz w:val="20"/>
          <w:szCs w:val="20"/>
          <w:color w:val="231F20"/>
        </w:rPr>
      </w:pPr>
    </w:p>
    <w:p>
      <w:pPr>
        <w:ind w:left="1700" w:hanging="490"/>
        <w:spacing w:after="0" w:line="276" w:lineRule="auto"/>
        <w:tabs>
          <w:tab w:leader="none" w:pos="1700" w:val="left"/>
        </w:tabs>
        <w:numPr>
          <w:ilvl w:val="1"/>
          <w:numId w:val="6"/>
        </w:numPr>
        <w:rPr>
          <w:rFonts w:ascii="Arial" w:cs="Arial" w:eastAsia="Arial" w:hAnsi="Arial"/>
          <w:sz w:val="20"/>
          <w:szCs w:val="20"/>
          <w:color w:val="231F20"/>
        </w:rPr>
      </w:pPr>
      <w:r>
        <w:rPr>
          <w:rFonts w:ascii="Times New Roman" w:cs="Times New Roman" w:eastAsia="Times New Roman" w:hAnsi="Times New Roman"/>
          <w:sz w:val="20"/>
          <w:szCs w:val="20"/>
          <w:color w:val="231F20"/>
        </w:rPr>
        <w:t>investing in clinical studies and publish additional clinical data to continue to increase market adoption and reimbursement coverage for our tests;</w:t>
      </w:r>
    </w:p>
    <w:p>
      <w:pPr>
        <w:sectPr>
          <w:pgSz w:w="11880" w:h="15480" w:orient="portrait"/>
          <w:cols w:equalWidth="0" w:num="1">
            <w:col w:w="10800"/>
          </w:cols>
          <w:pgMar w:left="540" w:top="746" w:right="540" w:bottom="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3</w:t>
      </w:r>
    </w:p>
    <w:p>
      <w:pPr>
        <w:sectPr>
          <w:pgSz w:w="11880" w:h="15480" w:orient="portrait"/>
          <w:cols w:equalWidth="0" w:num="1">
            <w:col w:w="10800"/>
          </w:cols>
          <w:pgMar w:left="540" w:top="746" w:right="540" w:bottom="0" w:gutter="0" w:footer="0" w:header="0"/>
          <w:type w:val="continuous"/>
        </w:sectPr>
      </w:pPr>
    </w:p>
    <w:bookmarkStart w:id="5" w:name="page6"/>
    <w:bookmarkEnd w:id="5"/>
    <w:p>
      <w:pPr>
        <w:ind w:left="1700" w:hanging="490"/>
        <w:spacing w:after="0" w:line="276" w:lineRule="auto"/>
        <w:tabs>
          <w:tab w:leader="none" w:pos="1700" w:val="left"/>
        </w:tabs>
        <w:numPr>
          <w:ilvl w:val="1"/>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publishing health economics and outcomes research demonstrating the impact of our tests on the US healthcare system and decreasing overall costs; and</w:t>
      </w:r>
    </w:p>
    <w:p>
      <w:pPr>
        <w:spacing w:after="0" w:line="64" w:lineRule="exact"/>
        <w:rPr>
          <w:rFonts w:ascii="Arial" w:cs="Arial" w:eastAsia="Arial" w:hAnsi="Arial"/>
          <w:sz w:val="20"/>
          <w:szCs w:val="20"/>
          <w:color w:val="231F20"/>
        </w:rPr>
      </w:pPr>
    </w:p>
    <w:p>
      <w:pPr>
        <w:ind w:left="1700" w:hanging="490"/>
        <w:spacing w:after="0" w:line="276" w:lineRule="auto"/>
        <w:tabs>
          <w:tab w:leader="none" w:pos="1700" w:val="left"/>
        </w:tabs>
        <w:numPr>
          <w:ilvl w:val="1"/>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engaging key opinion leaders and partners to identify existing or emerging clinical needs in lung disease and to develop tests to address those questions to be provided to the market through our existing commercial channel.</w:t>
      </w:r>
    </w:p>
    <w:p>
      <w:pPr>
        <w:spacing w:after="0" w:line="46" w:lineRule="exact"/>
        <w:rPr>
          <w:rFonts w:ascii="Arial" w:cs="Arial" w:eastAsia="Arial" w:hAnsi="Arial"/>
          <w:sz w:val="20"/>
          <w:szCs w:val="20"/>
          <w:color w:val="231F20"/>
        </w:rPr>
      </w:pPr>
    </w:p>
    <w:p>
      <w:pPr>
        <w:ind w:left="980" w:hanging="490"/>
        <w:spacing w:after="0" w:line="286" w:lineRule="auto"/>
        <w:tabs>
          <w:tab w:leader="none" w:pos="980" w:val="left"/>
        </w:tabs>
        <w:numPr>
          <w:ilvl w:val="0"/>
          <w:numId w:val="7"/>
        </w:numPr>
        <w:rPr>
          <w:rFonts w:ascii="Times New Roman" w:cs="Times New Roman" w:eastAsia="Times New Roman" w:hAnsi="Times New Roman"/>
          <w:sz w:val="20"/>
          <w:szCs w:val="20"/>
          <w:b w:val="1"/>
          <w:bCs w:val="1"/>
          <w:color w:val="231F20"/>
        </w:rPr>
      </w:pPr>
      <w:r>
        <w:rPr>
          <w:rFonts w:ascii="Times New Roman" w:cs="Times New Roman" w:eastAsia="Times New Roman" w:hAnsi="Times New Roman"/>
          <w:sz w:val="20"/>
          <w:szCs w:val="20"/>
          <w:b w:val="1"/>
          <w:bCs w:val="1"/>
          <w:color w:val="231F20"/>
        </w:rPr>
        <w:t>Development Services — Expand revenue-generating contracts with research institutions, biopharmaceutical clients, and life sciences customers by:</w:t>
      </w:r>
    </w:p>
    <w:p>
      <w:pPr>
        <w:spacing w:after="0" w:line="50" w:lineRule="exact"/>
        <w:rPr>
          <w:rFonts w:ascii="Times New Roman" w:cs="Times New Roman" w:eastAsia="Times New Roman" w:hAnsi="Times New Roman"/>
          <w:sz w:val="20"/>
          <w:szCs w:val="20"/>
          <w:b w:val="1"/>
          <w:bCs w:val="1"/>
          <w:color w:val="231F20"/>
        </w:rPr>
      </w:pPr>
    </w:p>
    <w:p>
      <w:pPr>
        <w:jc w:val="both"/>
        <w:ind w:left="1700" w:hanging="490"/>
        <w:spacing w:after="0" w:line="258" w:lineRule="auto"/>
        <w:tabs>
          <w:tab w:leader="none" w:pos="1700" w:val="left"/>
        </w:tabs>
        <w:numPr>
          <w:ilvl w:val="1"/>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leveraging our team’s expertise and multi-omic offering to sell a comprehensive line of research, discovery, development, clinical trial testing, regulatory, reimbursement, commercialization, and logistics support services across cancer types and diseases;</w:t>
      </w:r>
    </w:p>
    <w:p>
      <w:pPr>
        <w:spacing w:after="0" w:line="81" w:lineRule="exact"/>
        <w:rPr>
          <w:rFonts w:ascii="Arial" w:cs="Arial" w:eastAsia="Arial" w:hAnsi="Arial"/>
          <w:sz w:val="20"/>
          <w:szCs w:val="20"/>
          <w:color w:val="231F20"/>
        </w:rPr>
      </w:pPr>
    </w:p>
    <w:p>
      <w:pPr>
        <w:ind w:left="1700" w:hanging="490"/>
        <w:spacing w:after="0" w:line="276" w:lineRule="auto"/>
        <w:tabs>
          <w:tab w:leader="none" w:pos="1700" w:val="left"/>
        </w:tabs>
        <w:numPr>
          <w:ilvl w:val="1"/>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adding new biopharmaceutical, life science, tools, and diagnostic customers and leveraging existing projects and relationships to expand engagement with our current customers;</w:t>
      </w:r>
    </w:p>
    <w:p>
      <w:pPr>
        <w:spacing w:after="0" w:line="64" w:lineRule="exact"/>
        <w:rPr>
          <w:rFonts w:ascii="Arial" w:cs="Arial" w:eastAsia="Arial" w:hAnsi="Arial"/>
          <w:sz w:val="20"/>
          <w:szCs w:val="20"/>
          <w:color w:val="231F20"/>
        </w:rPr>
      </w:pPr>
    </w:p>
    <w:p>
      <w:pPr>
        <w:ind w:left="1700" w:hanging="490"/>
        <w:spacing w:after="0" w:line="276" w:lineRule="auto"/>
        <w:tabs>
          <w:tab w:leader="none" w:pos="1700" w:val="left"/>
        </w:tabs>
        <w:numPr>
          <w:ilvl w:val="1"/>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engaging with our customers, key opinion leaders, leading academic centers, and scientific experts to stay ahead of the rapidly evolving diagnostic and therapeutic landscape and to identify unmet clinical needs; and</w:t>
      </w:r>
    </w:p>
    <w:p>
      <w:pPr>
        <w:spacing w:after="0" w:line="64" w:lineRule="exact"/>
        <w:rPr>
          <w:rFonts w:ascii="Arial" w:cs="Arial" w:eastAsia="Arial" w:hAnsi="Arial"/>
          <w:sz w:val="20"/>
          <w:szCs w:val="20"/>
          <w:color w:val="231F20"/>
        </w:rPr>
      </w:pPr>
    </w:p>
    <w:p>
      <w:pPr>
        <w:ind w:left="1700" w:hanging="490"/>
        <w:spacing w:after="0" w:line="276" w:lineRule="auto"/>
        <w:tabs>
          <w:tab w:leader="none" w:pos="1700" w:val="left"/>
        </w:tabs>
        <w:numPr>
          <w:ilvl w:val="1"/>
          <w:numId w:val="7"/>
        </w:numPr>
        <w:rPr>
          <w:rFonts w:ascii="Arial" w:cs="Arial" w:eastAsia="Arial" w:hAnsi="Arial"/>
          <w:sz w:val="20"/>
          <w:szCs w:val="20"/>
          <w:color w:val="231F20"/>
        </w:rPr>
      </w:pPr>
      <w:r>
        <w:rPr>
          <w:rFonts w:ascii="Times New Roman" w:cs="Times New Roman" w:eastAsia="Times New Roman" w:hAnsi="Times New Roman"/>
          <w:sz w:val="20"/>
          <w:szCs w:val="20"/>
          <w:color w:val="231F20"/>
        </w:rPr>
        <w:t>entering strategic partnerships with biopharmaceutical companies, academic research organizations, technology providers, and other diagnostic companies.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Our Tests and Services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Biodesix Lung Diagnostic Tests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Our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that assess the risk of cancer in lung nodules and three tests that provide treatment guidance after a lung cancer diagnosis.</w:t>
      </w:r>
    </w:p>
    <w:p>
      <w:pPr>
        <w:spacing w:after="0" w:line="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Lung cancer is the deadliest cancer in the United States with most patients diagnosed late stage, with advanced disease. With the introduction of numerous treatment options, healthcare providers need an ever-increasing amount of information to select the best treatment plan for each individual patient. We believe that the lung cancer continuum of care has a variety of clinical unmet needs ranging from initial diagnosis of lung cancer after discovery of a lung nodule to treatment guidance for early and advanced stage disease, and monitoring for disease progression. We estimate that in the United States, the lung cancer continuum of care represents over 10 million annual testing opportunities and represents greater than $27 billion market opportunity annually.</w:t>
      </w:r>
    </w:p>
    <w:p>
      <w:pPr>
        <w:spacing w:after="0" w:line="90" w:lineRule="exact"/>
        <w:rPr>
          <w:sz w:val="20"/>
          <w:szCs w:val="20"/>
          <w:color w:val="auto"/>
        </w:rPr>
      </w:pPr>
    </w:p>
    <w:p>
      <w:pPr>
        <w:jc w:val="both"/>
        <w:ind w:left="860" w:hanging="370"/>
        <w:spacing w:after="0" w:line="242" w:lineRule="auto"/>
        <w:tabs>
          <w:tab w:leader="none" w:pos="86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Diagnosis</w:t>
      </w:r>
      <w:r>
        <w:rPr>
          <w:rFonts w:ascii="Times New Roman" w:cs="Times New Roman" w:eastAsia="Times New Roman" w:hAnsi="Times New Roman"/>
          <w:sz w:val="20"/>
          <w:szCs w:val="20"/>
          <w:color w:val="231F20"/>
        </w:rPr>
        <w:t>: We estimate there are approximately 5 to 6 million lung nodules in the United States annually. Approximately</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1.6 million new nodules are identified incidentally, and potentially 4 million lung nodules from the adoption of screening could be identified annually in the United States. Following initial discovery of a nodule, patients are typically evaluated by a primary care provider or a pulmonologist for the risk of lung cancer before determining if a patient should be considered for an invasive procedure to obtain a tissue sample to confirm diagnosis or computed tomography (CT) surveillance. This risk assessment includes a review of clinical factors such as the patient’s smoking history and age, and radiological features such as the size, texture, and location of the nodule, obtained from a CT scan. We estimate that approximately 80% of patients are identified as “low to moderate risk (5%-65%)” during these initial risk assessments. The current Lung Nodule guideline recommendations are unclear, often resulting in either over-treatment of patients with benign nodules or under-treatment in patients with cancerous nodules. An estimated 17% of patients initially scheduled for watchful waiting, or follow-up CT scans are later diagnosed with malignant nodules. Data has shown that a delay may lead to diagnosis at a more advanced stage and poorer outcomes for patients. Conversely, we estimate that 62% of biopsies and 35% of surgeries performed on lung nodules find benign disease, representing a significant overtreatment that incurs both risk and cost to the patient and their providers. We believe that there is a strong patient and clinical need for blood-based diagnostic testing to help improve the initial risk assessment of pulmonary nodules, helping direct patients to the relevant treatment pathway, ultimately improving patient outcomes and saving costs to the system across the lung care pathway.</w:t>
      </w:r>
    </w:p>
    <w:p>
      <w:pPr>
        <w:spacing w:after="0" w:line="103" w:lineRule="exact"/>
        <w:rPr>
          <w:rFonts w:ascii="Arial" w:cs="Arial" w:eastAsia="Arial" w:hAnsi="Arial"/>
          <w:sz w:val="20"/>
          <w:szCs w:val="20"/>
          <w:color w:val="231F20"/>
        </w:rPr>
      </w:pPr>
    </w:p>
    <w:p>
      <w:pPr>
        <w:jc w:val="both"/>
        <w:ind w:left="840" w:hanging="350"/>
        <w:spacing w:after="0" w:line="245" w:lineRule="auto"/>
        <w:tabs>
          <w:tab w:leader="none" w:pos="840" w:val="left"/>
        </w:tabs>
        <w:numPr>
          <w:ilvl w:val="0"/>
          <w:numId w:val="8"/>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Treatment Guidance – Early Stage</w:t>
      </w:r>
      <w:r>
        <w:rPr>
          <w:rFonts w:ascii="Times New Roman" w:cs="Times New Roman" w:eastAsia="Times New Roman" w:hAnsi="Times New Roman"/>
          <w:sz w:val="20"/>
          <w:szCs w:val="20"/>
          <w:color w:val="231F20"/>
        </w:rPr>
        <w:t>: We estimate that there are over 700 thousand testing opportunities annually in the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United States in early-stage lung cancer to assess a patient’s risk of recurrence following curative-intent surgery, and to detect potential target mutations for therapeutics. Depending on a patient’s risk of recurrence, they may also receive chemotherapy, radiotherapy or chemoradiation post-surgery. The assessment of risk of recurrence is primarily based on the stage of cancer at diagnosis, with stage I patients typically receiving no additional treatment beyond surgery. However, 20 to 40% of patients with stage I disease do still recur within five years following surgery, representing a sub-group of patients who may have benefited from more intensive treatment protocol. We believe there is a clear clinical need for blood-based diagnostic testing prior to surgery to identify stage I patients who may benefit from a more intensive treatment protocol and we also believe there is the need for identifying stage II and IIIA patients who may benefit from a less</w:t>
      </w:r>
    </w:p>
    <w:p>
      <w:pPr>
        <w:sectPr>
          <w:pgSz w:w="11880" w:h="15480" w:orient="portrait"/>
          <w:cols w:equalWidth="0" w:num="1">
            <w:col w:w="10800"/>
          </w:cols>
          <w:pgMar w:left="540" w:top="764" w:right="540" w:bottom="0" w:gutter="0" w:footer="0" w:header="0"/>
        </w:sect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4</w:t>
      </w:r>
    </w:p>
    <w:p>
      <w:pPr>
        <w:sectPr>
          <w:pgSz w:w="11880" w:h="15480" w:orient="portrait"/>
          <w:cols w:equalWidth="0" w:num="1">
            <w:col w:w="10800"/>
          </w:cols>
          <w:pgMar w:left="540" w:top="764" w:right="540" w:bottom="0" w:gutter="0" w:footer="0" w:header="0"/>
          <w:type w:val="continuous"/>
        </w:sectPr>
      </w:pPr>
    </w:p>
    <w:bookmarkStart w:id="6" w:name="page7"/>
    <w:bookmarkEnd w:id="6"/>
    <w:p>
      <w:pPr>
        <w:jc w:val="both"/>
        <w:ind w:left="840"/>
        <w:spacing w:after="0" w:line="258" w:lineRule="auto"/>
        <w:rPr>
          <w:sz w:val="20"/>
          <w:szCs w:val="20"/>
          <w:color w:val="auto"/>
        </w:rPr>
      </w:pPr>
      <w:r>
        <w:rPr>
          <w:rFonts w:ascii="Times New Roman" w:cs="Times New Roman" w:eastAsia="Times New Roman" w:hAnsi="Times New Roman"/>
          <w:sz w:val="20"/>
          <w:szCs w:val="20"/>
          <w:color w:val="231F20"/>
        </w:rPr>
        <w:t>intensive treatment protocol. There have also been recent advances in the use of targeted therapies in early-stage lung disease. These therapies typically target specific genomic mutations or alterations found in some tumors. We believe there is therefore an emerging need for testing designed specifically for mutation detection in early-stage disease.</w:t>
      </w:r>
    </w:p>
    <w:p>
      <w:pPr>
        <w:spacing w:after="0" w:line="79" w:lineRule="exact"/>
        <w:rPr>
          <w:sz w:val="20"/>
          <w:szCs w:val="20"/>
          <w:color w:val="auto"/>
        </w:rPr>
      </w:pPr>
    </w:p>
    <w:p>
      <w:pPr>
        <w:jc w:val="both"/>
        <w:ind w:left="860" w:hanging="370"/>
        <w:spacing w:after="0" w:line="243" w:lineRule="auto"/>
        <w:tabs>
          <w:tab w:leader="none" w:pos="86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Treatment Guidance – Advanced Stage: </w:t>
      </w:r>
      <w:r>
        <w:rPr>
          <w:rFonts w:ascii="Times New Roman" w:cs="Times New Roman" w:eastAsia="Times New Roman" w:hAnsi="Times New Roman"/>
          <w:sz w:val="20"/>
          <w:szCs w:val="20"/>
          <w:color w:val="231F20"/>
        </w:rPr>
        <w:t>We estimate that there are over 3 million diagnostic testing opportunities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annually in the United States to guide advanced stage lung cancer treatment decisions. With nearly 60 FDA-approved systemic treatment regimens listed in national treatment guidelines for non-small cell lung cancer (NSCLC), there is an elevated need for personalized biomarkers to help physicians identify the right patient for the right treatment. Multiple tissue-based diagnostic tests have been approved to identify patients eligible for targeted therapies and immunotherapy; however, about 50% of patients do not have sufficient tissue collected following diagnosis to facilitate testing. To compound the issue, different molecular tests take varying amounts of time (days versus weeks) to report results back to the ordering physician. Physicians are often left with a dilemma to either make treatment decisions prior to receiving critical diagnostic test results, or delay treatment initiation while waiting for the test results. Therefore, we believe there is an imminent need for a blood-based testing solution that measures tumor mutations and the patient’s immune profile, to provide physicians with more comprehensive and timely information to initiate personalized treatment as quickly as possible.</w:t>
      </w:r>
    </w:p>
    <w:p>
      <w:pPr>
        <w:spacing w:after="0" w:line="99" w:lineRule="exact"/>
        <w:rPr>
          <w:rFonts w:ascii="Arial" w:cs="Arial" w:eastAsia="Arial" w:hAnsi="Arial"/>
          <w:sz w:val="20"/>
          <w:szCs w:val="20"/>
          <w:color w:val="231F20"/>
        </w:rPr>
      </w:pPr>
    </w:p>
    <w:p>
      <w:pPr>
        <w:jc w:val="both"/>
        <w:ind w:left="860" w:hanging="370"/>
        <w:spacing w:after="0" w:line="246" w:lineRule="auto"/>
        <w:tabs>
          <w:tab w:leader="none" w:pos="860" w:val="left"/>
        </w:tabs>
        <w:numPr>
          <w:ilvl w:val="0"/>
          <w:numId w:val="9"/>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Monitoring</w:t>
      </w:r>
      <w:r>
        <w:rPr>
          <w:rFonts w:ascii="Times New Roman" w:cs="Times New Roman" w:eastAsia="Times New Roman" w:hAnsi="Times New Roman"/>
          <w:sz w:val="20"/>
          <w:szCs w:val="20"/>
          <w:color w:val="231F20"/>
        </w:rPr>
        <w:t>: We estimate that there are over 800 thousand testing opportunities in the United States for blood-based tumor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genomic and immune profiling to monitor for disease recurrence and progression in NSCLC patients. Unfortunately, advanced stage lung cancer is often terminal, so repeat tissue biopsy to assess the evolution of resistance mutations or to detect disease progression is not feasible from either a cost or risk perspective to the patient, which we believe demonstrates an important need for blood-based testing to help routinely monitor these patients. As a patient progresses through therapies, changes in their immune system occur and blood-based immune profiling could help physicians identify these changes prior to subsequent therapy selection.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Diagnosis – Nodule Management</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Our blood-based tests for patients with a pulmonary nodule, Nodify Lung Nodule Risk Assessment, assists healthcare providers in classifying a patient’s risk of lung cancer by integrating their protein biomarker results with radiographic imaging (CT scans) and other clinical characteristics. Nodify Lung testing consists of the Nodify CDT® and Nodify XL2® proteomic tests, which can be ordered separately or together from a single blood draw to help classify risk of cancer to aid healthcare providers in stratifying patients into distinct nodule management pathways with the goal of earlier diagnosis of cancer and avoidance of unnecessary invasive procedures when nodules are benign.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Nodify CDT Test</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Nodify CDT test is a blood-based proteomic test that helps identify patients who have a suspicious lung nodule that is likely malignant or at a higher risk of being cancerous. Results allow physicians to identify patients who may be better candidates for timely invasive diagnostic procedures such as bronchoscopy, transthoracic needle biopsy, or surgical resection, with the goal of diagnosing cancer earlier. The Nodify CDT test enhances lung nodule risk assessment to facilitate compliance with clinical treatment guidelines. The Nodify CDT test is validated for use in patients who are 40 years or older, have no history of cancer except non-melanomatous skin cancer, have nodules between 4 and 30mm, and pre-test risk of lung cancer of less than 65%.</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test measures the levels of seven circulating autoantibodies (P53, NY-ESO-1, CAGE, GBU4-5, SOX2, HuD, and MAGE A4) associated with lung cancer, combined with an algorithm to report out three potential results: High Level, Moderate Level, or No Significant Levels of Antibodies Detected (NSLAD). The seven autoantibodies have been shown to be elevated for all types of lung cancer, and from the earliest stage of the disease.</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Unlike the tumor antigens themselves, the autoantibody levels can be measured accurately through a blood sample, based upon the signal amplification generated by the immune response to cancer. This mechanism of action likely reflects very early events in a tumor’s evolution; as the immune system initiates a response to the cancer, it can also trigger an expansion of self-reactive antibodies that can be measured in circulation.</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Nodify CDT test has an established average turnaround time of one business day from receipt of the blood sample, providing physicians with timely results to guide diagnostic planning. The clinical data for the test has been published in a number of peer-reviewed publications and presentations, including a clinical validation study published in late 2024 that confirmed the previously published performance of the test.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Nodify XL2 Test</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Nodify XL2 test is a blood-based proteomic test that helps identify patients who have a suspicious lung nodule that is likely benign or at a reduced risk of being cancerous. Results allow physicians to identify patients who may be better candidates for routine CT surveillance to monitor for growth or shrinkage of the nodule over time instead of an invasive diagnostic procedure. The Nodify XL2 test is used for patients who are 40 years or older, have no history of lung cancer or other recent cancer diagnoses, have nodules</w:t>
      </w:r>
    </w:p>
    <w:p>
      <w:pPr>
        <w:sectPr>
          <w:pgSz w:w="11880" w:h="15480" w:orient="portrait"/>
          <w:cols w:equalWidth="0" w:num="1">
            <w:col w:w="10800"/>
          </w:cols>
          <w:pgMar w:left="540" w:top="750" w:right="540" w:bottom="0" w:gutter="0" w:footer="0" w:header="0"/>
        </w:sect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5</w:t>
      </w:r>
    </w:p>
    <w:p>
      <w:pPr>
        <w:sectPr>
          <w:pgSz w:w="11880" w:h="15480" w:orient="portrait"/>
          <w:cols w:equalWidth="0" w:num="1">
            <w:col w:w="10800"/>
          </w:cols>
          <w:pgMar w:left="540" w:top="750" w:right="540" w:bottom="0" w:gutter="0" w:footer="0" w:header="0"/>
          <w:type w:val="continuous"/>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20"/>
          <w:szCs w:val="20"/>
          <w:color w:val="231F20"/>
        </w:rPr>
        <w:t>between 8 and 30mm, and have a pre-test risk of lung cancer of less than or equal to 50%. A body of clinical data has been published in peer-reviewed journals and presentations and recent data from the ORACLE clinical utility study was published demonstrating a 74% reduction in unnecessary invasive procedures with the use of the test.</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Nodify XL2 test integrates peptides with clinical and radiological characteristics that are combined by an algorithm to report out three potential results: Likely Benign, Reduced Risk, or Indeterminate. Specifically, the Nodify XL2 test measures the relative abundance of two peptides (LG3BP and C163A) in circulation in the patient’s blood. The native proteins from which the peptides are derived have been associated with an inflammatory response to lung cancer. The clinical factors are patient age and smoking status, and radiological factors are nodule size, location, and edge characteristics.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If both tests are ordered for the patient and the Nodify CDT test returns a result of High or Moderate Level indicating an increased risk of malignancy, then the Nodify XL2 test is cancelled. If the Nodify CDT test returns a result of NSLAD, then the Nodify XL2 test is performed and both test results are typically available within four to five business days.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231F20"/>
        </w:rPr>
        <w:t>Lung Cancer Treatment &amp; Monitoring</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Profiling the tumor through blood-based genomic testing can help identify mutations in genes that may be driving growth of the tumor and may be targets for therapeutics. However, tumors also have intrinsic mechanisms that prevent the patient’s immune system from identifying and eliminating the cancer cells. Profiling the immune system can show if the patient’s immune system may have been subverted and therefore, is less likely to be responsive to immunotherapies. Our blood-based IQLung® testing strategy consists of the VeriStrat® immune profiling test, and the GeneStrat® ddPCR and GeneStrat NGS® tumor profiling tests, which can be ordered together or separately for patients with NSCLC. Together, the tests have an established average turnaround time of three business days, providing physicians with timely results to facilitate treatment decisions.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VeriStrat Test</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VeriStrat test is a blood-based proteomic test that provides a personalized view of each patient’s immune response to their cancer. Results help inform physicians whether their patient has a more aggressive cancer and can help with treatment planning. The VeriStrat test profiles the patient’s immune system by measuring eight protein features measured by MALDI-ToF mass spectrometry and interpreted by a proprietary machine learning-based algorithm to produce either a VeriStrat Good or VeriStrat Poor test result.</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The presence of a VeriStrat Poor result indicates the presence of chronic inflammation and a chronic acute phase immune response. A chronic acute phase immune response can trigger the immune system to provide growth factors to the tumor to increase blood flow and tumor growth. The test has been studied in over 85 peer-reviewed and published clinical studies across many different types of therapies such as chemotherapy, targeted therapies, immune therapies, and combinations. The results consistently show the test to be predictive of outcomes, independent of other prognostic factors including PD-L1 expression and performance status. Patients who test as VeriStrat Poor, on average, have an overall survival that is less than half of those who test as VeriStrat Good, independent of treatment type, demonstrating that the test is strongly prognostic. Conversely, patients with a VeriStrat Good test result typically respond better to standard of care treatments than those patients that test as VeriStrat Poor. By using the VeriStrat test for immune profiling, physicians can help identify the patient's immune response to lung cancer to help guide treatment decisions.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GeneStrat ddPCR Test</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GeneStrat test is a blood-based tumor profiling test that detects the guideline recommended, actionable mutations in lung cancer: EGFR, KRAS, BRAF, EML4-ALK, ROS-1, and RET. Physicians can order one or any combination of the gene tests, whichever they deem medically necessary for the individual patient. The presence of a mutation in one of the genes could indicate the patient is a candidate for the associated guideline-recommended targeted therapy. The GeneStrat test performance and potential clinical utility have been published in multiple peer reviewed studies.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GeneStrat NGS Test</w:t>
      </w:r>
    </w:p>
    <w:p>
      <w:pPr>
        <w:spacing w:after="0" w:line="1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GeneStrat NGS test is a blood- based 52-gene tumor profiling test panel that detects the guideline recommended, actionable mutations in lung cancer including five gene classes (SNV, INDELS, CNA, fusions, and exon-skipping). Specific variants of relevance to NSCLC include EGFR, KRAS, BRAF, EML4-ALK, ROS-1, RET, MET, NTRK. The GeneStrat NGS test is used for late-stage, metastatic NSCLC and physicians can order one or any combination of the IQLung® tests, whichever they deem medically necessary for the individual patient. The presence of a mutation in one of the genes could indicate the patient is a candidate for the associated guideline-recommended targeted therapy. The GeneStrat NGS test performance and potential clinical utility have been published in multiple published studies.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believe that rapid, blood-based tumor profiling with the GeneStrat ddPCR and GeneStrat NGS tests can be complementary to both targeted tissue-based testing and tissue-based broad genomic sequencing. Testing with GeneStrat ddPCR and GeneStrat NGS tests at diagnosis can help quickly identify patients who are eligible for targeted therapies. Additionally, blood-based testing upfront can help save valuable tissue for diagnostic evaluation, and broad genomic profiling for rare mutations to enroll in clinical trials.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6</w:t>
      </w:r>
    </w:p>
    <w:p>
      <w:pPr>
        <w:sectPr>
          <w:pgSz w:w="11880" w:h="15480" w:orient="portrait"/>
          <w:cols w:equalWidth="0" w:num="1">
            <w:col w:w="10800"/>
          </w:cols>
          <w:pgMar w:left="540" w:top="750" w:right="5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231F20"/>
        </w:rPr>
        <w:t>Commercialization and Competitive Advantages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For our Biodesix Lung Diagnostic Tests, commercial efforts are focused on the promotion of our tests to healthcare professionals actively involved in the diagnosis and treatment of lung disease. Primarily focusing on the pulmonology specialists and their primary care referral network, the Biodesix commercial team, consisting of specialty sales representatives, medical affairs, marketing and customer care representatives, works to educate and inform the entire patient care group consisting of pulmonologists, advanced pulmonary providers, the primary care referral network, nurses, office staff, laboratory personnel, and healthcare administrators on the appropriate use and value provided by our testing. The goal is to drive test adoption through articulating the scientific and clinical evidence behind our tests, how they impact the clinical care pathway options, and how the tests can ultimately help to improve patient outcomes through earlier detection and treatment.</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Patients that are discovered to have pulmonary nodules are concentrated in the pulmonology specialty and in their primary care physician referral networks. We also engage with large hospital systems in a “top-down” approach, with the goal of incorporating our tests into system-wide pathways and protocols.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believe our continued growth drivers stem from our competitive advantages, including:</w:t>
      </w:r>
    </w:p>
    <w:p>
      <w:pPr>
        <w:spacing w:after="0" w:line="130" w:lineRule="exact"/>
        <w:rPr>
          <w:sz w:val="20"/>
          <w:szCs w:val="20"/>
          <w:color w:val="auto"/>
        </w:rPr>
      </w:pPr>
    </w:p>
    <w:p>
      <w:pPr>
        <w:jc w:val="both"/>
        <w:ind w:left="860" w:hanging="370"/>
        <w:spacing w:after="0" w:line="250" w:lineRule="auto"/>
        <w:tabs>
          <w:tab w:leader="none" w:pos="86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Our demonstrated success commercializing diagnostic tests in lung disease with unprecedented turnaround times. </w:t>
      </w:r>
      <w:r>
        <w:rPr>
          <w:rFonts w:ascii="Times New Roman" w:cs="Times New Roman" w:eastAsia="Times New Roman" w:hAnsi="Times New Roman"/>
          <w:sz w:val="20"/>
          <w:szCs w:val="20"/>
          <w:color w:val="231F20"/>
        </w:rPr>
        <w:t>With five diagnostic tests launched and multiple improvements and several tests currently in development, our commercial portfolio of blood-based solutions currently addresses clinical unmet needs within diagnosis, treatment and monitoring of lung cancer. Our diagnostic tests provide rapid and actionable diagnostic information to help inform physicians on the next steps in a patient’s care plan to help diagnose lung cancer faster and expediting time to treatment.</w:t>
      </w:r>
    </w:p>
    <w:p>
      <w:pPr>
        <w:spacing w:after="0" w:line="85" w:lineRule="exact"/>
        <w:rPr>
          <w:rFonts w:ascii="Arial" w:cs="Arial" w:eastAsia="Arial" w:hAnsi="Arial"/>
          <w:sz w:val="20"/>
          <w:szCs w:val="20"/>
          <w:color w:val="231F20"/>
        </w:rPr>
      </w:pPr>
    </w:p>
    <w:p>
      <w:pPr>
        <w:jc w:val="both"/>
        <w:ind w:left="860" w:hanging="370"/>
        <w:spacing w:after="0" w:line="253" w:lineRule="auto"/>
        <w:tabs>
          <w:tab w:leader="none" w:pos="86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Our broad test offering and continued development and publication of clinical data drives market adoption. </w:t>
      </w:r>
      <w:r>
        <w:rPr>
          <w:rFonts w:ascii="Times New Roman" w:cs="Times New Roman" w:eastAsia="Times New Roman" w:hAnsi="Times New Roman"/>
          <w:sz w:val="20"/>
          <w:szCs w:val="20"/>
          <w:color w:val="231F20"/>
        </w:rPr>
        <w:t>We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leverage a multi-omic approach to offer various technologies and testing that meet the variety of clinical testing needs for providers treating patients with lung disease. We continue to publish clinical data and health economics and outcomes research to support the ongoing adoption of our tests by physicians, healthcare systems, and payers.</w:t>
      </w:r>
    </w:p>
    <w:p>
      <w:pPr>
        <w:spacing w:after="0" w:line="83" w:lineRule="exact"/>
        <w:rPr>
          <w:rFonts w:ascii="Arial" w:cs="Arial" w:eastAsia="Arial" w:hAnsi="Arial"/>
          <w:sz w:val="20"/>
          <w:szCs w:val="20"/>
          <w:color w:val="231F20"/>
        </w:rPr>
      </w:pPr>
    </w:p>
    <w:p>
      <w:pPr>
        <w:jc w:val="both"/>
        <w:ind w:left="860" w:hanging="370"/>
        <w:spacing w:after="0" w:line="248" w:lineRule="auto"/>
        <w:tabs>
          <w:tab w:leader="none" w:pos="860" w:val="left"/>
        </w:tabs>
        <w:numPr>
          <w:ilvl w:val="0"/>
          <w:numId w:val="10"/>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Our commercial infrastructure, spanning both the lung-focused sales channel and the primary care referral network, which includes our extensive knowledge and experience in sales, marketing, reimbursement and operations, provides us with the ability to efficiently launch and scale tests and drive revenue. </w:t>
      </w:r>
      <w:r>
        <w:rPr>
          <w:rFonts w:ascii="Times New Roman" w:cs="Times New Roman" w:eastAsia="Times New Roman" w:hAnsi="Times New Roman"/>
          <w:sz w:val="20"/>
          <w:szCs w:val="20"/>
          <w:color w:val="231F20"/>
        </w:rPr>
        <w:t>We have built one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the only commercial teams in diagnostics focused on lung disease. By offering a broad menu of tests for current clinical use, and continuing to develop additional tests for lung, we can efficiently leverage the existing team and infrastructure to address more clinical needs for the same call point.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Biodesix Development Services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enable the world’s leading biopharmaceutical, life sciences, and academic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has been utilized by over 65 industry clients and academic research partners.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and collaborative approach to solving diagnostic challenges.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offer end-to-end diagnostic solutions, including translational research, initial biomarker discovery, assay design, development, and validation, testing of clinical trial samples, regulatory, reimbursement, commercialization, and logistical support services (e.g., specimen collection and collection kits) . We offer our existing on-market tests, a suite of other research tests and the capability to custom design novel tests for use by our customers.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While our biopharmaceutical discovery, diagnostic development and testing revenue continues to grow, it is important to note that we benefit greatly from these partnerships in many ways beyond revenue. We are continuously expanding our knowledge and biological understanding of multiple diseases and the rapidly evolving treatment landscape, for example, by actively partnering in consortia including with the Friends of Cancer Research.</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Pipeline</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Our pipeline strategy leverages existing infrastructure, both personnel and technology, which is built to support our Lung Diagnostic Tests and Development Services workstreams, creating a cost-effective development funnel that works around our core business. We utilize insights from our clinical teams and industry and academic partnerships to identify novel opportunities for new test development and expanded use of our current on-market tests. We have a combination of internal projects, generally focused on</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7</w:t>
      </w:r>
    </w:p>
    <w:p>
      <w:pPr>
        <w:sectPr>
          <w:pgSz w:w="11880" w:h="15480" w:orient="portrait"/>
          <w:cols w:equalWidth="0" w:num="1">
            <w:col w:w="10800"/>
          </w:cols>
          <w:pgMar w:left="540" w:top="746" w:right="540" w:bottom="0" w:gutter="0" w:footer="0" w:header="0"/>
          <w:type w:val="continuous"/>
        </w:sectPr>
      </w:pPr>
    </w:p>
    <w:bookmarkStart w:id="9" w:name="page10"/>
    <w:bookmarkEnd w:id="9"/>
    <w:p>
      <w:pPr>
        <w:jc w:val="both"/>
        <w:spacing w:after="0" w:line="277" w:lineRule="auto"/>
        <w:rPr>
          <w:sz w:val="20"/>
          <w:szCs w:val="20"/>
          <w:color w:val="auto"/>
        </w:rPr>
      </w:pPr>
      <w:r>
        <w:rPr>
          <w:rFonts w:ascii="Times New Roman" w:cs="Times New Roman" w:eastAsia="Times New Roman" w:hAnsi="Times New Roman"/>
          <w:sz w:val="20"/>
          <w:szCs w:val="20"/>
          <w:color w:val="231F20"/>
        </w:rPr>
        <w:t>improvements to our existing diagnostic tests, and external collaborations with academic partners that are typically focused on new test development and exploring additional clinical utility for our existing portfolio.</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To continue leveraging our existing commercial channel, we are developing additional tests to help address clinical unmet needs for patients with lung disease. Through pipeline development and research partnerships, we may develop tests that have clinical utility outside of lung disease, in which case we will assess potential partners for commercialization with the goal of maintaining the Biodesix commercial team’s focus on lung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64135</wp:posOffset>
            </wp:positionV>
            <wp:extent cx="6257925" cy="2733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extLst>
                    </a:blip>
                    <a:srcRect/>
                    <a:stretch>
                      <a:fillRect/>
                    </a:stretch>
                  </pic:blipFill>
                  <pic:spPr bwMode="auto">
                    <a:xfrm>
                      <a:off x="0" y="0"/>
                      <a:ext cx="6257925" cy="2733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Risk of Recurrence (ROR) &amp; Molecular Residual Disease (MRD) Combination Test – Pan Cancer</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Using ddPCR for longitudinal blood-based monitoring of cell-free DNA mutations is a cost-effective testing method while patients are being treated with targeted therapies. Additional utility for ddPCR and our proteomics approach exists for molecular residual disease testing given the sensitivity and specificity of these technologies. In March 2024, we announced a Master Collaborative Research Agreement with Memorial Sloan Kettering Cancer Center (MSKCC), under which the teams are collaborating on a development plan for diagnostic tests aimed at improving the treatment of cancer, including MRD.</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VeriStrat Test – Immunotherapy use Pan Cancer</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454546"/>
        </w:rPr>
        <w:t>We have conducted broad studies in multiple cancers in collaboration with MSKCC and observed that pre-treatment MSI-H patients eligible for treatment with pembrolizumab have a strong prognostic effect with the previously developed VeriStrat test. Patients that are eligible for treatment with pembrolizumab that are MSI-H may derive beneficial information from the rapid VeriStrat blood test. The VeriStrat test may aid in treatment decisions across a number of cancers that have the MSI-H biomarker. Cancers tested included colorectal and endometrial cancer. Data was presented at the annual Association for Molecular Pathology (AMP) conference in November 2025.</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VeriStrat Test – Prostate Cancer</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454546"/>
        </w:rPr>
        <w:t>We have observed a strong prognostic effect with the VeriStrat test in metastatic castration-resistant and castrate-sensitive prostate cancer patients eligible for treatment with Abiraterone and Enzalutamide. Data was presented at the annual American Society for Mass Spectrometry (ASMS) and AMP conferences in June and November 2025, respectively. We believe the VeriStrat test may aid in further treatment decisions in this patient population.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ESR1 Monitoring – Breast Cancer</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In October 2025, we announced the signing of an expanded partnership agreement under which Biodesix will conduct the development, clinical validation, and regulatory submissions of in vitro diagnostic (IVD) assays to enable highly sensitive detection of multiple genomic markers focused on oncology applications, utilizing Bio-Rad’s Droplet Digital™ PCR (ddPCR™) technology on Bio-Rad’s QX600 platform. The first assay to be validated under the agreement include Bio-Rad’s ddPLEX ESR1 Mutation Detection Assay. ESR1 testing is becoming critical in HR+/HER2- advanced breast cancer due to the clinically demonstrated survival benefits from a new generation of therapy called oral selective estrogen receptor degraders (SERDs). The ddPLEX ESR1 Mutation assay will enable highly sensitive detection and quantification of multiple ESR1 mutations from ctDNA samples. Once validated, the ESR1 assay will be offered as a test service at Biodesix accredited CLIA-CAP laboratory for biopharmaceutical customers to support the development of targeted therapeutics, as well as for clinical customers to support cancer treatment monitoring.</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8</w:t>
      </w:r>
    </w:p>
    <w:p>
      <w:pPr>
        <w:sectPr>
          <w:pgSz w:w="11880" w:h="15480" w:orient="portrait"/>
          <w:cols w:equalWidth="0" w:num="1">
            <w:col w:w="10800"/>
          </w:cols>
          <w:pgMar w:left="540" w:top="750" w:right="54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231F20"/>
        </w:rPr>
        <w:t>Clinical Trials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We are dedicated to continuously publishing and presenting new data on the clinical validation and utility of our diagnostic tests. The following are our ongoing clinical studies for our diagnostic testing solutions.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ALTITUDE Clinical Utility Study (NCT04171492)</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ALTITUDE clinical utility study is designed to evaluate the performance of Nodify Lung testing (Nodify XL2 and Nodify CDT tests) in a randomized controlled study (RCT). The study is titled “A Multicenter, Randomized Controlled Trial, Prospectively Evaluating the Clinical Utility of the Nodify XL2 Proteomic Test in Incidentally Discovered Low to Moderate Risk Lung Nodules”. The study objectives are to evaluate how the addition of the Nodify Lung test result impacts the clinical decision making for patients with new, incidentally identified solid lung nodules assessed as low to moderate risk of lung cancer. The trial has an adaptive study design with a blinded standard of care arm and 2:1 randomization for open-label results for the Nodify XL2 test. On July 21, 2025, we ended patient accrual based on the recommendation of the Data Safety Monitoring Board. Final analysis will be completed following two-year follow-up.</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CLARIFY Clinical Utility Study (NCT06728319)</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CLARIFY is a large, retrospective study assessing the performance of the Nodify CDT and Nodify XL2 tests in a real-world patient population. The study is titled “A Multicenter, Retrospective, Chart Review Study Evaluating The Impact and Utility of the Blood-Based Proteomic Integrated Classifier and Auto-Antibody Tests in the Real World.” The study's primary objective is to assess the performance of the Nodify CDT and Nodify XL2 tests both individually and serially. The study will evaluate up to 4,000 patients who have at least one to two years of follow-up from high-volume community and academic practices that have integrated the testing into their management of lung nodules. Further evaluation of the performance of the tests in a large, real-world population will provide deeper insights into day-to-day clinical practice and diverse and understudied patient sub-populations. It received central IRB approval in August 2024 and began enrollment in September 2024. Through December 31, 2025, the CLARIFY study has accrued over 1,500 patients.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INSIGHT Observational Study (NCT03289780)</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INSIGHT observational study is designed to evaluate the real -world clinical utility and performance of VeriStrat, GeneStrat ddPCR, and GeneStrat NGS tests. The title is “Observational Study Assessing the Clinical Effectiveness of VeriStrat and Validating Immunotherapy Tests in Subjects with Non-Small Cell Lung Cancer (INSIGHT)”. On June 27, 2023, we completed enrollment of 5,000 patients with non-small cell lung cancer. Final analysis with three-year follow-up is estimated to be completed by the end of 2026.</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Reimbursement</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The primary source of reimbursement for our tests in the United States is from third-party payers, including government payers, such as Medicare, and commercial payers, such as insurance companies. Reimbursement for laboratory tests in the United States is determined by various payers, including private third-party payers, managed care organizations, and state and federal health care programs, such as Medicare and Medicaid. In Medicare, coverage of an item or service depends on whether it is “reasonable and necessary” under Section 1862(a)(1)(A) of the Social Security Act (SSA). For single-source laboratory tests, this determination is typically made by the Medicare Administrative Contractor (MAC) with jurisdiction over the laboratory where the test is performed. Our Louisville, Colorado laboratory is currently under the jurisdiction of Novitas Solutions, Inc. Our De Soto, Kansas laboratory is under the jurisdiction of Wisconsin Physicians Service Insurance Corporation (WPS), which participates in the MolDX program (administered by another MAC, Palmetto GBA) to set coverage policy for molecular diagnostic tests.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Medicare pays for clinical diagnostic laboratory tests (CDLTs), on the Clinical Laboratory Fee Schedule (CLFS). Section 216(a) of the Protecting Access to Medicare Act of 2014 (PAMA) added Section 1834A to the SSA, which established the current CLFS rate setting processes and coding provisions for CDLTs, and created a new subcategory of CDLTs called Advanced Diagnostic Laboratory Tests (ADLTs), with separate reporting and payment requirements.</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various payers in the United States also determine their own billing rules. In December 2020, Medicare revised its billing rules for clinical laboratory tests to require cancer-related protein-based Multianalyte Assays with Algorithmic Analyses to be billed directly to</w:t>
      </w:r>
    </w:p>
    <w:p>
      <w:pPr>
        <w:sectPr>
          <w:pgSz w:w="11880" w:h="15480" w:orient="portrait"/>
          <w:cols w:equalWidth="0" w:num="1">
            <w:col w:w="10800"/>
          </w:cols>
          <w:pgMar w:left="540" w:top="746" w:right="540" w:bottom="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9</w:t>
      </w:r>
    </w:p>
    <w:p>
      <w:pPr>
        <w:sectPr>
          <w:pgSz w:w="11880" w:h="15480" w:orient="portrait"/>
          <w:cols w:equalWidth="0" w:num="1">
            <w:col w:w="10800"/>
          </w:cols>
          <w:pgMar w:left="540" w:top="746" w:right="540" w:bottom="0" w:gutter="0" w:footer="0" w:header="0"/>
          <w:type w:val="continuous"/>
        </w:sectPr>
      </w:pPr>
    </w:p>
    <w:bookmarkStart w:id="11" w:name="page12"/>
    <w:bookmarkEnd w:id="11"/>
    <w:p>
      <w:pPr>
        <w:jc w:val="both"/>
        <w:spacing w:after="0" w:line="258" w:lineRule="auto"/>
        <w:rPr>
          <w:sz w:val="20"/>
          <w:szCs w:val="20"/>
          <w:color w:val="auto"/>
        </w:rPr>
      </w:pPr>
      <w:r>
        <w:rPr>
          <w:rFonts w:ascii="Times New Roman" w:cs="Times New Roman" w:eastAsia="Times New Roman" w:hAnsi="Times New Roman"/>
          <w:sz w:val="20"/>
          <w:szCs w:val="20"/>
          <w:color w:val="231F20"/>
        </w:rPr>
        <w:t>Medicare by the performing laboratory in most cases when performed on a specimen collected from a hospital outpatient. Molecular pathology tests and most ADLTs are also generally required to be billed directly to Medicare by the laboratory under these circumstances.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CMS has designated three of the Biodesix tests as Advanced Diagnostic Laboratory Tests (ADLT). The designation was effective for the Nodify CDT test as of June 30, 2023, for the Nodify XL2 test as of May 17, 2019, and for the VeriStrat test as of December 21, 2018. Obtaining ADLT status is a recognition that the tests meet the stringent criteria established under the Protecting Access to Medicare Act of 2014. ADLT status is reserved for innovative tests with Medicare coverage that are offered and furnished by a single laboratory and provide new clinical diagnostic information that cannot be obtained from any other test or combination of tests. We believe that our lung cancer tests can both improve patient outcomes and help guide cost-effective treatment choices for patients with and at-risk of lung cancer. Achieving broad coverage and adequate reimbursement for each of our tests is a key component of our financial success and will continue to be important over time.</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Compliance with applicable laws and regulations, as well as internal compliance policies and procedures, adds complexity to the billing process. CMS is responsible for overseeing the establishment of new Healthcare Common Procedure Coding System (HCPCS) codes for billing the Medicare program and other payers. CMS continuously evaluates and implements changes to the Medicare billing, coding, and reimbursement processes. To receive reimbursement from third-party payers, we bill our tests using a variety of HCPCS codes or Current Procedural Terminology (CPT) codes, as defined by the American Medical Association. For some of the tests we conduct, there may not be a specific CPT or HCPCS code, in which case the test may be billed under a miscellaneous code for an unlisted molecular pathology procedure or unlisted multiple analyte test with algorithmic analysis (MAAA) procedure. Because these miscellaneous codes do not describe a specific service, the third-party payer claim may be examined to determine the service provided, whether the service was appropriate and medically necessary and whether payment should be rendered. This process can result in a delay in processing the claim, a lower reimbursement amount, and/or denial of the claim.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Competition</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We primarily face competition from diagnostic companies that provide cancer-focused diagnostic tests to hospitals, researchers, clinicians, and biopharmaceutical companies.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Diagnosis—Nodule Management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are not aware of any other company that offers commercial blood-based tests to help physicians reclassify risk of malignancy in patients with suspicious lung nodules. We are aware of efforts by Veracyte, Inc. to develop and validate a test that may be competitive to the Nodify XL2 and/or Nodify CDT tests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Treatment Guidance and Monitoring—Non-Small Cell Lung Cancer</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are unaware of any other diagnostic test available, commercially or in development, that will compete with our VeriStrat immune profiling test. There is substantial interest and activity in tumor profiling through liquid biopsy. Our genomic test offerings, the GeneStrat ddPCR and GeneStrat NGS tests, face competition from academic hospital laboratories, and companies such as Guardant Health and Foundation Medicine. We believe that there are several companies and academic research institutions in the process of developing tests for monitoring patients or following treatment for recurrence or progression of lung cancer.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Biodesix Development Services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are aware of a number of companies who compete with our Development Services for biopharmaceutical, life science and research partners, including in diagnostic research, clinical trial testing, and the discovery, development, and commercialization of tests. From the perspective of tumor profiling, we believe Guardant Health, Foundation Medicine, Tempus AI, and NeoGenomics are our most significant competitors. Conversely, in the immune profiling market, we believe Adaptive Biotechnologies and Personalis are our most significant competitors.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Clinical Laboratory Operations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Throughout 2025, all aspects of the testing process, from receipt of the test requisition form through delivery of test results, were performed for the VeriStrat, GeneStrat ddPCR, and GeneStrat NGS tests in our Louisville, Colorado facility. The proprietary testing methods use semi-automated workflows that facilitate successful delivery averaging 90% of our tests within three days, and we believe our existing workflows will continue to successfully deliver our tests within this timeframe. Our Louisville facility is a high-complexity Clinical Laboratory Improvement Amendments (CLIA) certified clinical laboratory. The laboratory is College of American Pathology (CAP) accredited, New York State Department of Health (NYSDOH)—permitted holding necessary Laboratory Director certifications and test approvals, ISO 13485:2016 Quality Management Systems—Requirements for Regulatory Purposes for Medical Devices certified, along with all other states that require licensing: California, Maryland, Pennsylvania, and Rhode Island.</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Receipt of requisitions and testing for the Nodify CDT and Nodify XL2 tests are performed in our De Soto, Kansas clinical laboratory. Delivery of the test results is centralized to our Louisville, Colorado corporate headquarters. The proprietary testing methods use semi-automated workflows that facilitate successful delivery averaging 90% of our tests within five business days, and we believe our</w:t>
      </w:r>
    </w:p>
    <w:p>
      <w:pPr>
        <w:sectPr>
          <w:pgSz w:w="11880" w:h="15480" w:orient="portrait"/>
          <w:cols w:equalWidth="0" w:num="1">
            <w:col w:w="10800"/>
          </w:cols>
          <w:pgMar w:left="540" w:top="750" w:right="540" w:bottom="0" w:gutter="0" w:footer="0" w:header="0"/>
        </w:sect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10</w:t>
      </w:r>
    </w:p>
    <w:p>
      <w:pPr>
        <w:sectPr>
          <w:pgSz w:w="11880" w:h="15480" w:orient="portrait"/>
          <w:cols w:equalWidth="0" w:num="1">
            <w:col w:w="10800"/>
          </w:cols>
          <w:pgMar w:left="540" w:top="750" w:right="540" w:bottom="0" w:gutter="0" w:footer="0" w:header="0"/>
          <w:type w:val="continuous"/>
        </w:sectPr>
      </w:pPr>
    </w:p>
    <w:bookmarkStart w:id="12" w:name="page13"/>
    <w:bookmarkEnd w:id="12"/>
    <w:p>
      <w:pPr>
        <w:jc w:val="both"/>
        <w:spacing w:after="0" w:line="252" w:lineRule="auto"/>
        <w:rPr>
          <w:sz w:val="20"/>
          <w:szCs w:val="20"/>
          <w:color w:val="auto"/>
        </w:rPr>
      </w:pPr>
      <w:r>
        <w:rPr>
          <w:rFonts w:ascii="Times New Roman" w:cs="Times New Roman" w:eastAsia="Times New Roman" w:hAnsi="Times New Roman"/>
          <w:sz w:val="20"/>
          <w:szCs w:val="20"/>
          <w:color w:val="231F20"/>
        </w:rPr>
        <w:t>existing workflows will continue to successfully deliver our tests within this timeframe. Our De Soto, Kansas facility is a high-complexity CLIA certified clinical laboratory. This clinical laboratory is also CAP-accredited, NYSDOH—permitted holding necessary Laboratory Director certifications and test approvals, Quality Management Systems—Requirements for Regulatory Purposes for Medical Devices certified and licensed by California, Maryland, Pennsylvania, and Rhode Island.</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Personnel in both laboratory facilities are responsible for quality assurance oversight, licensing, and regulatory compliance and maintenance to ensure data integrity and consistent, validated processes.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Supply Chain</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Freenome's United States operations (formerly "Oncimmune USA" or "Oncimmune") is also the sole source supplier for our Nodify CDT tests but there are known secondary suppliers for these materials.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but these supplies are able to be supplied by known suppliers. A disruption to this supply would negatively impact our ability to perform the GeneStrat tests until alternatives can be validated.</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All materials for our VeriStrat test and Nodify XL2 test have alternative suppliers readily available, and a disruption in any single supplier would not materially impact our ability to deliver the test.</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have initiated the second source qualification process for the majority of these critical components, however, we may not be successful in securing second sourcing for all of them at all or on a timely basis. A disruption to this supply would negatively impact our ability to perform these tests until an alternative supplier could be validated.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Intellectual Property</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Our success depends, in part, on our ability to obtain and maintain intellectual property and proprietary protection for our products and other know-how, to operate our business without infringing, misappropriating or otherwise violating the intellectual property and proprietary rights of others, and to defend and enforce our intellectual property and proprietary rights. We take efforts to protect our proprietary position using a variety of methods, which include pursuit of United States and foreign patent applications related to our proprietary technology, inventions and improvements that we determine are important to our business. We also may rely on trade secrets, trademarks, know-how, continuing technological innovation and potential in-licensing and acquisition opportunities to develop and maintain our proprietary position. For more information regarding risks relating to intellectual property, please see “Risk Factors—Risks Related to Our Intellectual Property.”</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have invested heavily in the protection of our key assets, namely the VeriStrat and GeneStrat tests, and we acquired a patent portfolio relating to the Nodify XL2 and Nodify CDT tests in our acquisitions of Indi in June 2018, and of Oncimmune USA in October 2019 from Oncimmune Limited (Oncimmune). We own patents and patent applications as well as trade secrets relating to our products currently in development, a collection device for whole blood, our business strategy, client lists and business methods. Further, we have expanded our access to key intellectual property through license and co-development agreements, including our Non-Exclusive License Agreement with Bio-Rad (the Bio-Rad License), which allows us to use the Droplet Digital PCR technology developed by Bio-Rad and which we employ in our GeneStrat test.</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Our patent strategy has focused on creating and acquiring protection for our VeriStrat and Nodify XL2 proteomic tests, while utilizing trade secret and some methods patent protection for our genomic test (the GeneStrat ddPCR and GeneStrat NGS tests) and ELISA test (the Nodify CDT test). We have entered into a non-exclusive license agreement with Bio-Rad, without the right to grant sublicenses, to utilize certain of Bio-Rad’s intellectual property, machinery, materials, reagents, supplies and know-how necessary for the performance of ddPCR in cancer detection testing for third parties in the United States. Bio-Rad owns patents relating to ddPCR and to which we have a non-exclusive license to utilize for the performance of ddPCR in cancer detection testing for third parties as set forth in the Bio-Rad License Agreement. We have patent protection in the United States and other countries around the world for the primary use of the VeriStrat test for profiling of patients with NSCLC, and various other uses of the VeriStrat test, such as breast cancer, prostate cancer, head and neck cancer have received patent protection. We have also received patent protection relating to our core classifier development program, our AI platform and our approaches to using MALDI-ToF technology (DeepMALDI® techniques). Additionally, our first device patent was issued in 2019 for our internally designed blood collection device.</w:t>
      </w:r>
    </w:p>
    <w:p>
      <w:pPr>
        <w:spacing w:after="0" w:line="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of December 31, 2025, our patent portfolio includes 60 issued United States patents, 84 issued foreign patents, and 18 pending applications (including 10 foreign patent applications). With regard to our product development efforts, new applications have been filed around developments relating to micro-organisms diagnostics, new analytic methodologies using Shapley values and semi-quantitative spectra analysis in MALDI, and national stage applications are now in active prosecution to protect our pipeline ROR and PIR tests.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11</w:t>
      </w:r>
    </w:p>
    <w:p>
      <w:pPr>
        <w:sectPr>
          <w:pgSz w:w="11880" w:h="15480" w:orient="portrait"/>
          <w:cols w:equalWidth="0" w:num="1">
            <w:col w:w="10800"/>
          </w:cols>
          <w:pgMar w:left="540" w:top="750" w:right="54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color w:val="231F20"/>
        </w:rPr>
        <w:t>The patent portfolio can be broken down into five major categories:</w:t>
      </w:r>
    </w:p>
    <w:p>
      <w:pPr>
        <w:spacing w:after="0" w:line="120" w:lineRule="exact"/>
        <w:rPr>
          <w:sz w:val="20"/>
          <w:szCs w:val="20"/>
          <w:color w:val="auto"/>
        </w:rPr>
      </w:pPr>
    </w:p>
    <w:p>
      <w:pPr>
        <w:ind w:left="860" w:hanging="370"/>
        <w:spacing w:after="0"/>
        <w:tabs>
          <w:tab w:leader="none" w:pos="86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Issued patents and patent applications relating to the VeriStrat and Nodify® tests and uses of these tests;</w:t>
      </w:r>
    </w:p>
    <w:p>
      <w:pPr>
        <w:spacing w:after="0" w:line="120" w:lineRule="exact"/>
        <w:rPr>
          <w:rFonts w:ascii="Times New Roman" w:cs="Times New Roman" w:eastAsia="Times New Roman" w:hAnsi="Times New Roman"/>
          <w:sz w:val="20"/>
          <w:szCs w:val="20"/>
          <w:color w:val="231F20"/>
        </w:rPr>
      </w:pPr>
    </w:p>
    <w:p>
      <w:pPr>
        <w:ind w:left="860" w:hanging="370"/>
        <w:spacing w:after="0" w:line="277" w:lineRule="auto"/>
        <w:tabs>
          <w:tab w:leader="none" w:pos="86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Issued patents and patent applications relating to methods for developing classifiers, including using our AI platform and DeepMALDI technologies;</w:t>
      </w:r>
    </w:p>
    <w:p>
      <w:pPr>
        <w:spacing w:after="0" w:line="49" w:lineRule="exact"/>
        <w:rPr>
          <w:rFonts w:ascii="Times New Roman" w:cs="Times New Roman" w:eastAsia="Times New Roman" w:hAnsi="Times New Roman"/>
          <w:sz w:val="20"/>
          <w:szCs w:val="20"/>
          <w:color w:val="231F20"/>
        </w:rPr>
      </w:pPr>
    </w:p>
    <w:p>
      <w:pPr>
        <w:ind w:left="860" w:hanging="370"/>
        <w:spacing w:after="0"/>
        <w:tabs>
          <w:tab w:leader="none" w:pos="86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Issued patents and patent applications relating to tests currently in development;</w:t>
      </w:r>
    </w:p>
    <w:p>
      <w:pPr>
        <w:spacing w:after="0" w:line="120" w:lineRule="exact"/>
        <w:rPr>
          <w:rFonts w:ascii="Times New Roman" w:cs="Times New Roman" w:eastAsia="Times New Roman" w:hAnsi="Times New Roman"/>
          <w:sz w:val="20"/>
          <w:szCs w:val="20"/>
          <w:color w:val="231F20"/>
        </w:rPr>
      </w:pPr>
    </w:p>
    <w:p>
      <w:pPr>
        <w:ind w:left="860" w:hanging="370"/>
        <w:spacing w:after="0"/>
        <w:tabs>
          <w:tab w:leader="none" w:pos="86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Issued patents and patent applications relating to our novel blood collection device; and</w:t>
      </w:r>
    </w:p>
    <w:p>
      <w:pPr>
        <w:spacing w:after="0" w:line="120" w:lineRule="exact"/>
        <w:rPr>
          <w:rFonts w:ascii="Times New Roman" w:cs="Times New Roman" w:eastAsia="Times New Roman" w:hAnsi="Times New Roman"/>
          <w:sz w:val="20"/>
          <w:szCs w:val="20"/>
          <w:color w:val="231F20"/>
        </w:rPr>
      </w:pPr>
    </w:p>
    <w:p>
      <w:pPr>
        <w:ind w:left="860" w:hanging="370"/>
        <w:spacing w:after="0"/>
        <w:tabs>
          <w:tab w:leader="none" w:pos="860" w:val="left"/>
        </w:tabs>
        <w:numPr>
          <w:ilvl w:val="0"/>
          <w:numId w:val="1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Issued patents and patent applications relating to tests developed for our third-party partners.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patents relating to the VeriStrat test are scheduled to expire between 2026 and 2032 and are actively under review for additional protection. The patents relating to the Nodify XL2 test are scheduled to expire beginning in 2031 (excluding any patent term extension granted by the United States Patent and Trademark Office (USPTO)), and the patents relating to the Nodify CDT test are scheduled to expire in 2027 and are actively under review for additional protection. The patent related to the blood collection device is scheduled to expire in 2039. Should our current patent applications in prosecution in the United States issue, the resulting patents would be scheduled to have expiration dates between 2036 and 2040 (excluding any patent term extension(s) granted by the USPTO).</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Patent Cooperation Treaty (PCT) applications are not eligible to become issued patents until, among other things, we file such PCT applications as national stage patent application(s) within 30 months in the countries in which we seek patent protection. If we do not timely file any national stage patent applications, we may lose our priority date with respect to any such PCT patent applications and any patent protection on the inventions disclosed in such PCT patent applications. Provisional patent applications are not eligible to become issued patents but can become the basis of PCT foreign stage and United States non-provisional patent applications, if such applications are filed within 12 months of filing the related provisional patent application. If we do not timely file any non-provisional patent applications, we will lose our priority date and any patent protection on the inventions disclosed in any such provisional patent application. As of December 31, 2025, we have no pending PCT applications.</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In addition, the term of individual issued patents depends upon the legal term for patents in the countries in which they are obtained. In most countries in which we have filed, including the United States, the patent term is generally 20 years from the earliest filing date of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The life of a patent, and the protection it affords, is therefore limited and once the patent lives of our issued patents have expired, we may face competition, including from other competing technologies. In the United States, the term of a patent may also be eligible for patent term adjustment for delays within the USPTO. The term of a patent that covers a biological product may also be eligible for patent term extension when FDA approval is granted for a portion of the term effectively lost as a result of the FDA regulatory review period, subject to certain limitations and provided statutory and regulatory requirements are met. Any such patent term extension can be for no more than five years, only one patent per approved product can be extended, the extension cannot extend the total patent term beyond 14 years from approval, and only those claims covering the approved biological product, a method for using it or a method for manufacturing it may be extended.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There can be no assurance that we will benefit from any patent term extension or favorable adjustment to the term of any of our patents. As a result, our owned and licensed patent portfolio may not provide us with sufficient rights to exclude others from commercializing products similar or identical to ours.</w:t>
      </w:r>
    </w:p>
    <w:p>
      <w:pPr>
        <w:spacing w:after="0" w:line="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ability to maintain and solidify our proprietary and intellectual property position will depend on our success in obtaining effective patent claims and maintaining and enforcing claims that are granted. However, our owned and licensed patents could be invalidated or narrowed or otherwise fail to adequately protect our proprietary and intellectual property position and our pending owned and licensed patent applications, and any patent applications that we may in the future file or license from third parties, may not result in the issuance of patents.</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Branding is a part of any intellectual property strategy as patent or trade secret protection and we have a number of registered and pending trademarks relating to our company and products. We have received or filed for trademark protection in the United States for our trade name (Biodesix), the Biodesix logo, the names of five of our commercial tests (namely the VeriStrat, GeneStrat ddPCR, GeneStrat NGS, Nodify XL2 and Nodify CDT tests), and a suite of research tests (ImmunoStrat test), as well as having trademark protection for our core development and methodological platforms, such as our AI platform and DeepMALDI technologies. In all, as of December 31, 2025, we have 13 uniquely registered United States trademarks, four of which (including Biodesix, VeriStrat, Nodify and GeneStrat) have received foreign issuances as well, with one trademark pending approval from the USPTO. We will continue to pursue protection in the United States and abroad for our branded assets and will continue to use branding to protect products currently in development, key Biodesix developments and non-trade secret methodologies.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12</w:t>
      </w:r>
    </w:p>
    <w:p>
      <w:pPr>
        <w:sectPr>
          <w:pgSz w:w="11880" w:h="15480" w:orient="portrait"/>
          <w:cols w:equalWidth="0" w:num="1">
            <w:col w:w="10800"/>
          </w:cols>
          <w:pgMar w:left="540" w:top="750" w:right="540" w:bottom="0" w:gutter="0" w:footer="0" w:header="0"/>
          <w:type w:val="continuous"/>
        </w:sectPr>
      </w:pPr>
    </w:p>
    <w:bookmarkStart w:id="14" w:name="page15"/>
    <w:bookmarkEnd w:id="14"/>
    <w:p>
      <w:pPr>
        <w:jc w:val="both"/>
        <w:spacing w:after="0" w:line="243" w:lineRule="auto"/>
        <w:rPr>
          <w:sz w:val="20"/>
          <w:szCs w:val="20"/>
          <w:color w:val="auto"/>
        </w:rPr>
      </w:pPr>
      <w:r>
        <w:rPr>
          <w:rFonts w:ascii="Times New Roman" w:cs="Times New Roman" w:eastAsia="Times New Roman" w:hAnsi="Times New Roman"/>
          <w:sz w:val="20"/>
          <w:szCs w:val="20"/>
          <w:color w:val="231F20"/>
        </w:rPr>
        <w:t>We also rely on trade secrets, including know-how, confidential information, unpatented technologies and other proprietary information, to strengthen or enhance our competitive position, protect and maintain aspects of our business that are not amenable to, or that we do not presently consider appropriate for, patent protection, and prevent competitors from reverse engineering or copying our technologies. We have decided that some technologies, such as our laboratory methodologies (including sample preparation and assay development), and some information (such as client and billing information) are best kept as trade secrets. However, trade secrets and confidential know-how are difficult to protect. To avoid inadvertent and improper disclosure of trade secrets, and to avoid the risks of former employees using these trade secrets to future employment, it is our policy to require employees, consultants and independent contractors to assign all rights to intellectual property they develop in connection with their employment with or services for the Company to the Company. We also protect our existing and developing intellectual property expressly through confidentiality provisions in agreements with third parties. There can be no assurance, however, that these agreements will be self-executing or otherwise provide meaningful protection for our trade secrets or other intellectual property or proprietary information, or adequate remedies in the event of unauthorized use or disclosure of such trade secrets or other intellectual property or proprietary information.</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also seek to preserve the integrity and confidentiality of our trade secrets and other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intend to pursue additional intellectual property protection to the extent we believe it would advance our business objectives, which may include objectives within and outside the United States. Despite our efforts to protect our intellectual property rights, and despite the breadth of protection that has issued around our key assets, these rights may not be respected in the future or may be circumvented or challenged (and potentially invalidated) in a legal proceeding in any jurisdiction where we have intellectual property rights. In addition, the laws of various foreign countries where we have received intellectual property protection and where we may eventually distribute our products may not afford the same protections or assurances to the same extent as the laws in the United States. See “Risk Factors—Risks Related to Our Intellectual Property” for additional information regarding these and other risks related to our intellectual property portfolio and their potential effect on us.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Government Regulations</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Clinical laboratory tests like our diagnostic tests are regulated under CLIA and state law. The FDA regulates medical devices pursuant to the Federal Food, Drug, and Cosmetic Act (FDCA), including many diagnostic test kits, such as IVDs. However, most Laboratory Developed Tests (LDTs) are not currently subject to enforcement under the FDA’s regulation (although reagents, instruments, software or components provided by third parties and used to perform LDTs may be subject to such enforcement), and the FDA has historically exercised enforcement discretion over LDTs. LDTs are a subset of IVDs that are intended for clinical use and developed, validated, and offered within a single laboratory for use only in that laboratory. Historically, high-complexity clinical laboratories have offered LDTs under the CLIA regulatory framework administered by CMS, without FDA premarket clearance or approval.</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currently market our GeneStrat, VeriStrat, Nodify XL2 and Nodify CDT tests as LDTs in the United States. As a result, we believe our diagnostic services are not currently subject to the FDA’s enforcement of its medical device regulations and the applicable FDCA provisions. If the FDA disagrees with the LDT status of any of our tests, the FDA may consider the test to be an unapproved medical device and may subject us to FDA enforcement action, including, without limitation, requiring us to seek clearance, authorization or approval for the laboratory test. If the FDA were to begin enforcement with respect to our LDTs, we could incur substantial costs and delays associated with trying to obtain pre-market clearance or approval and costs associated with complying with post-market requirements.</w:t>
      </w:r>
    </w:p>
    <w:p>
      <w:pPr>
        <w:spacing w:after="0" w:line="8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FDA’s authority to regulate LDTs has been contested for many years, and there have been several legislative and administrative proposals regarding LDT regulation seeking to end or limit enforcement discretion and to bring LDTs under new or existing FDA regulatory frameworks. On May 6, 2024, the FDA published a final rule to actively regulate LDTs under a multi-year phase-in framework. On May 29, 2024, the American Clinical Laboratory Association and HealthTrackRx filed suit challenging the rule, and on March 31, 2025, the U.S. District Court for the Eastern District of Texas vacated the rule, concluding that LDTs developed and used within a single clinical laboratory are not “devices” under the FDCA and therefore fall outside FDA’s statutory authority. The FDA did not appeal the ruling, and the final rule was rescinded on September 19, 2025. At this time, it remains uncertain whether or how the FDA may seek to regulate LDTs that are developed across multiple laboratories, used outside traditional clinical settings, or offered through digital health or direct to consumer channels. Legislative proposals have also periodically sought to clarify or expand FDA’s authority over LDTs, and future statutory or regulatory developments may shape FDA’s approach to oversight of LDTs and related components.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Federal and State Laboratory Licensing Requirements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Biodesix Louisville, Colorado clinical laboratory is a CAP -accredited clinical laboratory regulated by CMS pursuant to CLIA. CMS has granted CAP deeming authority under CLIA, which allows CAP to inspect laboratories in lieu of CMS. In addition to holding a CLIA Certificate and CAP laboratory accreditation, Biodesix Quality Management System (QMS) holds an ISO</w:t>
      </w:r>
    </w:p>
    <w:p>
      <w:pPr>
        <w:sectPr>
          <w:pgSz w:w="11880" w:h="15480" w:orient="portrait"/>
          <w:cols w:equalWidth="0" w:num="1">
            <w:col w:w="10800"/>
          </w:cols>
          <w:pgMar w:left="540" w:top="750" w:right="540" w:bottom="0" w:gutter="0" w:footer="0" w:header="0"/>
        </w:sect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13</w:t>
      </w:r>
    </w:p>
    <w:p>
      <w:pPr>
        <w:sectPr>
          <w:pgSz w:w="11880" w:h="15480" w:orient="portrait"/>
          <w:cols w:equalWidth="0" w:num="1">
            <w:col w:w="10800"/>
          </w:cols>
          <w:pgMar w:left="540" w:top="750" w:right="540" w:bottom="0" w:gutter="0" w:footer="0" w:header="0"/>
          <w:type w:val="continuous"/>
        </w:sectPr>
      </w:pPr>
    </w:p>
    <w:bookmarkStart w:id="15" w:name="page16"/>
    <w:bookmarkEnd w:id="15"/>
    <w:p>
      <w:pPr>
        <w:jc w:val="both"/>
        <w:spacing w:after="0" w:line="258" w:lineRule="auto"/>
        <w:rPr>
          <w:sz w:val="20"/>
          <w:szCs w:val="20"/>
          <w:color w:val="auto"/>
        </w:rPr>
      </w:pPr>
      <w:r>
        <w:rPr>
          <w:rFonts w:ascii="Times New Roman" w:cs="Times New Roman" w:eastAsia="Times New Roman" w:hAnsi="Times New Roman"/>
          <w:sz w:val="20"/>
          <w:szCs w:val="20"/>
          <w:color w:val="231F20"/>
        </w:rPr>
        <w:t>13485:2016 certificate. The Biodesix Louisville, Colorado clinical laboratory received approval from the NYSDOH, NYS CLEP in Soluble Tumor Markers, and Molecular and Cellular Tumor Markers as well as held state permits and licenses in California, Maryland, New York, Pennsylvania, and Rhode Island.</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CLIA regulations establish standards for proficiency testing; facility administration; general laboratory systems; pre-analytic, analytic systems, post- analytic systems; personnel qualifications and responsibilities; quality control, quality assessment; and specific provisions for laboratories performing moderate to high complexity tests. Our Louisville, Colorado clinical laboratory is inspected biennially as part of its ongoing certification under CLIA certificate of accreditation by CAP.</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Under CLIA, a laboratory is any facility that performs laboratory testing on specimens derived from humans for the purpose of providing information for the diagnosis, prevention or treatment of disease, or the impairment of or assessment of health. CLIA requires that a laboratory hold a certificate applicable to the type of laboratory examinations it performs and that it complies with, among other things, standards covering operations, personnel, facilities administration, quality systems and proficiency testing, which are intended to ensure, among other things, that clinical laboratory testing services are accurate, reliable and timely.</w:t>
      </w:r>
    </w:p>
    <w:p>
      <w:pPr>
        <w:spacing w:after="0" w:line="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The International Organization for Standardization (ISO) is an independent, non-governmental international organization that defines world-class specifications for products, services and systems, to ensure quality, safety and efficiency. ISO 13485:2016 is a harmonized, international regulatory benchmark for quality management systems that addresses most or all of the QMS requirements in markets including the United States, European Union, Australia, Japan and Canada. The ISO 13485:2016 certificate confirms that an organization operates a QMS that conforms to the standards established by ISO. On January 31, 2024, the FDA issued a final rule to harmonize and modernize its Quality System Regulation (QSR), which would supplant the existing requirements with ISO 13485:2016. The rule amends the current good manufacturing practice requirements of the QSR in 21 CFR 820. The FDA’s Quality Management System Regulation (QMSR) rule emphasizes risk management activities and risk-based decision making and aims to reduce regulatory burdens on device manufacturers and importers by harmonizing domestic and international requirements. Device manufacturers and importers have one year to modify their quality systems to meet the requirements of the QMSR rule by February 2, 2026. Accordingly, Biodesix’s QMS is designed and implemented, in alignment with ISO 13485:2016 and has been proactively updated to meet the requirements of the FDA’s QMSR, confirming our ongoing compliance with both international standards and the harmonized U.S. regulatory framework.</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Biodesix De Soto, Kansas clinical laboratory is a CAP-accredited clinical laboratory regulated by CMS pursuant to CLIA. CMS has granted CAP deeming authority under CLIA, which allows CAP to inspect laboratories in lieu of CMS. The De Soto, Kansas clinical laboratory has received approval from the NYSDOH, NYS CLEP in Soluble Tumor Markers and Diagnostic Immunology as well as holding state permits and licenses in California, Maryland, Pennsylvania, and Rhode Island.</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To renew our CLIA certificate, we are subject to survey and inspection every two years to assess compliance with program standards. Laboratories such as ours, which are performing high complexity testing, are required to meet more stringent CLIA requirements than laboratories performing less complex tests, and therefore our laboratories are also subject to random, unannounced survey and inspection at any time. In addition, a laboratory that is certified as “high complexity” under CLIA may develop, manufacture, validate and use proprietary LDTs. CLIA requires analytical validation including accuracy, precision, specificity, sensitivity and establishment of a reference range for any LDT used in clinical testing. The regulatory and compliance standards applicable to the testing we perform may change over time and any such changes could have a material effect on our business.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CLIA provides that a state may adopt laboratory regulations that are more stringent than those under federal law, and a number of states have implemented their own more stringent laboratory regulatory requirements. State laws may require that out-of-state laboratories maintain an in-state laboratory license to perform tests on samples from patients who reside in that state. As a condition of licensure, certain states may require that laboratory personnel meet qualifications, quality control procedures, facility requirements, record maintenance requirements or other state-specific requirements.</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Because our Louisville, Colorado clinical laboratory is located in the State of Colorado, we do not need a specific State of Colorado laboratory license, however, we maintain licenses to conduct testing in other states where nonresident laboratories are required to obtain state laboratory licenses. We maintain licenses for our Louisville, Colorado and De Soto, Kansas laboratories with the NYSDOH. We also hold licenses in other states in which we operate, including California, Maryland, Pennsylvania and Rhode Island, that require licensing of out-of-state laboratories under certain circumstances. Other states may currently have or adopt similar licensure requirements in the future, which may require us to modify, delay or stop its operations in those states until such requirements are met.</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Failure to comply with CLIA certification and state clinical laboratory licensure requirements may result in a range of enforcement actions, including certificate or license suspension, limitation, or revocation, directed plan of action, onsite monitoring, civil monetary penalties, criminal sanctions, and revocation of the laboratory’s approval to receive Medicare and Medicaid payment for its services, as well as significant adverse publicity.</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14</w:t>
      </w:r>
    </w:p>
    <w:p>
      <w:pPr>
        <w:sectPr>
          <w:pgSz w:w="11880" w:h="15480" w:orient="portrait"/>
          <w:cols w:equalWidth="0" w:num="1">
            <w:col w:w="10800"/>
          </w:cols>
          <w:pgMar w:left="540" w:top="750" w:right="540" w:bottom="0" w:gutter="0" w:footer="0" w:header="0"/>
          <w:type w:val="continuous"/>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20"/>
          <w:szCs w:val="20"/>
          <w:color w:val="231F20"/>
        </w:rPr>
        <w:t>CLIA and state laws and regulations, operating together, sometimes limit the ability of laboratories to offer consumer-initiated testing, also known as direct access testing. We do not offer direct access testing and instead require that our tests be ordered by licensed healthcare providers.</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Our Louisville, Colorado and De Soto, Kansas laboratories are certified and adhere to the NYS CLEP, based on New York State Public Health Law, Article 5 Title 5. NYS CLEP is exempt from CLIA and establishes their own method of laboratory certification and test validation approval. To process New York State patient specimens a laboratory must submit a robust analytical and clinical validation package to demonstrate clinical utility of the test and receive approval prior to offering the test in the state of New York. All of our tests have obtained NYS CLEP approval including GeneStrat ddPCR, GeneStrat NGS, VeriStrat, Nodify XL2 and Nodify CDT tests. NYS CLEP requires semi-annual inspections to ensure the laboratory meets all general and specialty standards. Due to the pandemic, NYSDOH CLEP routine re-inspections were delayed by multiple years.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Regulatory Framework for Medical Devices in the United States and Internationally</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Pursuant to its authority under the FDCA, the FDA has jurisdiction over medical devices, which are defined to include, among other things, IVDs. The FDA regulates the research, design, development, pre-clinical and clinical testing, manufacturing, safety, effectiveness, packaging, labeling, storage, recordkeeping, pre -market clearance or approval, adverse event reporting, marketing, promotion, sales, distribution and import and export of medical devices. It is possible that one or more of our current, or future, tests will be subject to FDA authority and oversight as either an IVD or a CDx pursuant to the FDA’s authority to regulate medical devices under the FDCA.</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Medical devices are subject to extensive regulation in the United States and elsewhere, including by the FDA and its foreign counterparts. Government regulations specific to medical devices are wide ranging and govern, among other things:</w:t>
      </w:r>
    </w:p>
    <w:p>
      <w:pPr>
        <w:spacing w:after="0" w:line="64" w:lineRule="exact"/>
        <w:rPr>
          <w:sz w:val="20"/>
          <w:szCs w:val="20"/>
          <w:color w:val="auto"/>
        </w:rPr>
      </w:pPr>
    </w:p>
    <w:p>
      <w:pPr>
        <w:ind w:left="860" w:hanging="370"/>
        <w:spacing w:after="0"/>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design, development, manufacturing assembly and release;</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laboratory and clinical testing, labeling, packaging, storage and distribution;</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safety and efficacy;</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premarketing clearance or approval;</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service operations, including assay development and validation, clinical sample testing, clinical trial solutions, and quality and regulatory solutions;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record keeping;</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marketing, promotion and advertising, sales and distribution;</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post-marketing surveillance, including reporting of deaths or serious injuries and recalls and correction and removals;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post-market approval studies; and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2"/>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import and export</w:t>
      </w:r>
    </w:p>
    <w:p>
      <w:pPr>
        <w:spacing w:after="0" w:line="11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Many countries in which we may offer any of our diagnostic tests in the future have anti-kickback regulations prohibiting providers from offering, paying, soliciting or receiving remuneration, directly or indirectly, in order to induce business that is reimbursable under any national health care program. In situations involving physicians employed by state-funded institutions or national health care agencies, violation of the local anti-kickback law may also constitute a violation of the Foreign Corrupt Practices Act of 1997 (FCPA).</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FCPA prohibits any United States individual, business entity or employee of a United States business entity to offer or provide, directly or through a third party, including any potential distributors we may rely on in certain markets, anything of value to a foreign government official with corrupt intent to influence an award or continuation of business or to gain an unfair advantage, whether or not such conduct violates local laws. In addition, it is illegal for a company that reports to the Securities and Exchange Commission (SEC) to have false or inaccurate books or records or to fail to maintain a system of internal accounting controls. We will also be required to maintain accurate information and control over sales and distributors’ activities that may fall within the purview of the FCPA, its books and records provisions and its anti-bribery provisions.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standard of intent and knowledge in anti-bribery cases is minimal. Intent and knowledge are usually inferred from that fact that bribery took place. The accounting provisions do not require intent. Violations of the FCPA’s anti-bribery provisions for corporations and other business entities are subject to a fine of up to $2 million and officers, directors, stockholders, employees, and agents are subject to a fine of up to $100,000 and imprisonment for up to five years. Other countries, including the United Kingdom and other OECD Anti-Bribery Convention members, have similar anti-corruption regulations, such as the United Kingdom Anti-Bribery Act.</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When marketing our diagnostic tests outside of the United States, we may be subject to foreign regulatory requirements governing human clinical testing, prohibitions on the import of tissue necessary for us to perform our diagnostic tests or restrictions on the export</w:t>
      </w:r>
    </w:p>
    <w:p>
      <w:pPr>
        <w:sectPr>
          <w:pgSz w:w="11880" w:h="15480" w:orient="portrait"/>
          <w:cols w:equalWidth="0" w:num="1">
            <w:col w:w="10800"/>
          </w:cols>
          <w:pgMar w:left="540" w:top="750" w:right="540" w:bottom="0" w:gutter="0" w:footer="0" w:header="0"/>
        </w:sect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15</w:t>
      </w:r>
    </w:p>
    <w:p>
      <w:pPr>
        <w:sectPr>
          <w:pgSz w:w="11880" w:h="15480" w:orient="portrait"/>
          <w:cols w:equalWidth="0" w:num="1">
            <w:col w:w="10800"/>
          </w:cols>
          <w:pgMar w:left="540" w:top="750" w:right="540" w:bottom="0" w:gutter="0" w:footer="0" w:header="0"/>
          <w:type w:val="continuous"/>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20"/>
          <w:szCs w:val="20"/>
          <w:color w:val="231F20"/>
        </w:rPr>
        <w:t>of tissue imposed by countries outside of the United States or the import of tissue into the United States, and marketing approval. These requirements vary by jurisdiction, differ from those in the United States and may in some cases require us to perform additional pre-clinical or clinical testing. In many countries outside of the United States, coverage, pricing and reimbursement approvals are also required.</w:t>
      </w:r>
    </w:p>
    <w:p>
      <w:pPr>
        <w:spacing w:after="0" w:line="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Market access, sales and marketing of medical devices in non-U.S. countries are subject to foreign regulatory requirements that vary widely from country to country. For example, in the European Economic Area (EEA), a medical device must meet the Medical Devices Directive’s (MDD)/In Vitro Medical Devices Directive’s (IVDD) Essential Requirements or, applicable on May 26, 2021, the Medical Devices Regulation’s (MDR) / applicable on May 26, 2022, In Vitro Medical Devices Regulation’s (IVDR) General Safety and Performance Requirements which apply to it, taking into account its intended purpose as defined by the data supplied by the manufacturer on the label, in the instructions for use or in promotional or sales materials or statements and as specified by the manufacturer in the clinical evaluation. Before placing a medical device on the EEA market, the manufacturer must draw up a declaration of conformity, certifying that the device complies with the MDD/IVDD/MDR/IVDR, and must then affix the CE mark. For medium and high-risk devices as well as low risk devices that are placed on the market in sterile condition, have a measuring function, or are reusable surgical instruments, the manufacturer must obtain a CE Certificate from a notified body. The notified body typically audits and examines the device’s technical documentation, including the clinical evaluation, and the quality system for the manufacture, design and final inspection of the relevant device before issuing a CE Certificate. Following the issuance of this CE Certificate, manufacturers may draw up the declaration of conformity and affix the CE mark to the devices covered by this CE Certificate.</w:t>
      </w:r>
    </w:p>
    <w:p>
      <w:pPr>
        <w:spacing w:after="0" w:line="9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 xml:space="preserve">In the EEA, manufacturers of medical devices must document in a clinical evaluation report (CER) the evaluation of the clinical data related to the device. The CER is part of the device’s technical file. The evaluation shall document that the applicable Essential Requirements/General Safety and Performance Requirements are met and document the evaluation of the undesirable side-effects and the acceptability of the benefit-risk ratio. The CER must be updated based on information from the post-market surveillance and vigilance activities related to the device. The CER shall consist, </w:t>
      </w:r>
      <w:r>
        <w:rPr>
          <w:rFonts w:ascii="Times New Roman" w:cs="Times New Roman" w:eastAsia="Times New Roman" w:hAnsi="Times New Roman"/>
          <w:sz w:val="20"/>
          <w:szCs w:val="20"/>
          <w:i w:val="1"/>
          <w:iCs w:val="1"/>
          <w:color w:val="231F20"/>
        </w:rPr>
        <w:t>inter alia</w:t>
      </w:r>
      <w:r>
        <w:rPr>
          <w:rFonts w:ascii="Times New Roman" w:cs="Times New Roman" w:eastAsia="Times New Roman" w:hAnsi="Times New Roman"/>
          <w:sz w:val="20"/>
          <w:szCs w:val="20"/>
          <w:color w:val="231F20"/>
        </w:rPr>
        <w:t xml:space="preserve">, of analyzed clinical data collected from a clinical investigation of the device, or the results of other studies on substantially equivalent devices. Reliance on “substantially equivalent” devices is very restrictive and requires, </w:t>
      </w:r>
      <w:r>
        <w:rPr>
          <w:rFonts w:ascii="Times New Roman" w:cs="Times New Roman" w:eastAsia="Times New Roman" w:hAnsi="Times New Roman"/>
          <w:sz w:val="20"/>
          <w:szCs w:val="20"/>
          <w:i w:val="1"/>
          <w:iCs w:val="1"/>
          <w:color w:val="231F20"/>
        </w:rPr>
        <w:t>inter alia</w:t>
      </w:r>
      <w:r>
        <w:rPr>
          <w:rFonts w:ascii="Times New Roman" w:cs="Times New Roman" w:eastAsia="Times New Roman" w:hAnsi="Times New Roman"/>
          <w:sz w:val="20"/>
          <w:szCs w:val="20"/>
          <w:color w:val="231F20"/>
        </w:rPr>
        <w:t>, that the manufacturer has full access to the technical documentation of the equivalent device on an ongoing basis and, if the “equivalent device” is not its own, that the manufacture has in place a contract with the manufacturer of the “equivalent device.”</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Similar requirements apply in the UK. For access to the UK market, manufacturers must obtain a UKCA Certificate and affix a UKCA mark to their medical devices. Initially, the government stated the CE mark will be accepted in the UK until July 1, 2023. However, on July 1, 2023, the government updated their guidance for regulating medical devices stating their intention to extend recognition and acceptance of the CE marking for placing most goods on the market in Great Britain, indefinitely, if the device was placed on the EU market before January 1, 2021.</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Device Classification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Under the FDCA, medical devices are classified into one of three classes: Class I, Class II or Class III, depending on the degree of risk to patients that is associated with each medical device and the amount of oversight needed to provide reasonable assurances with respect to safety and effectiveness of the medical device.</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January 31, 2024, the FDA’s Center for Devices and Radiological Health (CDRH) announced that the Center intends to initiate the reclassification process for most IVD tests that are currently Class III (high risk) into Class II (moderate risk). The majority of these tests are infectious disease and companion diagnostic IVDs. Reclassification would allow manufacturers of certain types of tests to seek marketing clearance through the less burdensome premarket notification (510(k)) pathway rather than the premarket approval pathway, the most stringent type of FDA medical device review.</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Class I includes devices with the lowest risk to the patient and are those for which safety and effectiveness can be reasonably assured by adherence to a set of FDA regulations, referred to as the General Controls for Medical Devices, which require compliance with the applicable portions of the FDA’s QSR, facility registration and product listing, reporting of adverse events and malfunctions, and appropriate, truthful and non-misleading labeling and promotional materials. Some Class I devices also require premarket clearance by the FDA through the 510(k) premarket notification process described below. Most Class I products are exempt from the premarket notification requirements.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Class II devices are subject to the General Controls as well as any special controls deemed necessary by the FDA to ensure the safety and effectiveness of the device. These special controls can include performance standards, patient registries, FDA guidance documents and post-market surveillance. Most Class II devices are subject to premarket review and clearance by the FDA. Premarket review and clearance by the FDA for Class II devices is accomplished through the 510(k) premarket notification process, although some Class II devices are exempt from the 510(k) requirements.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16</w:t>
      </w:r>
    </w:p>
    <w:p>
      <w:pPr>
        <w:sectPr>
          <w:pgSz w:w="11880" w:h="15480" w:orient="portrait"/>
          <w:cols w:equalWidth="0" w:num="1">
            <w:col w:w="10800"/>
          </w:cols>
          <w:pgMar w:left="540" w:top="750" w:right="540" w:bottom="0" w:gutter="0" w:footer="0" w:header="0"/>
          <w:type w:val="continuous"/>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20"/>
          <w:szCs w:val="20"/>
          <w:color w:val="231F20"/>
        </w:rPr>
        <w:t>Class III devices include devices deemed by the FDA to pose the greatest risk: such as life-supporting or life-sustaining devices, implantable devices, or those deemed novel and not substantially equivalent to a predicate device following the 510(k) process. CDx tests are regularly considered Class III devices.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Premarket Submission Process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Unless a statutory or regulatory exemption or enforcement discretion policy applies, before a new medical device, or a new intended use of, claim for, or significant modification to an existing device, can be marketed in the United States, the manufacturer must obtain the FDA’s: (1) permission for commercial distribution under section 510(k) of the FDCA (510(k) clearance); or (2) approval of a Premarket Approval Application (PMA); or (3) De Novo classification and authorization. These processes can be resource intensive, expensive, and lengthy, and require payment of significant user fees.</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Under the 510(k) clearance process, the manufacturer must submit to the FDA a premarket notification, demonstrating that the device is “substantially equivalent” to a legally marketed predicate device. A predicate device is a legally marketed device that is not subject to a PMA, i.e., a Class I or II device that was legally marketed prior to May 28, 1976 (pre-amendments device), a device that has been reclassified from Class III to Class II or I, or a device that was previously found substantially equivalent through the 510(k) process.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Premarket notifications typically include bench, analytical, and preclinical data. Clinical data is sometimes required to support substantial equivalence. If a manufacturer obtains a 510(k) clearance for its device and then makes a modification that could significantly affect the device’s safety or effectiveness or constitutes a major change or modification in the intended use of the device, then a new clearance, authorization or approval may be required.</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By statute, the FDA is required to complete its review of a 510(k) notification within 90 days of receiving the 510(k) notification. As a practical matter, clearance often takes longer, and clearance is never assured. Although many 510(k) premarket notifications are cleared without clinical data, the FDA may require further information, including clinical data, to make a determination regarding substantial equivalence, which may significantly prolong the review process. If the FDA agrees that the device is substantially equivalent, it will grant clearance to commercially market the device. If the FDA determines that the device is not “substantially equivalent” to a predicate device, or if the device is automatically classified into Class III, the device sponsor must then fulfill the much more rigorous, costly, and time-consuming PMA approval process or seek reclassification of the device through the De Novo process.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If a predicate device is not available, the FDA allows the submission of a direct De Novo petition. This procedure allows a manufacturer whose novel device is automatically classified into Class III to request down-classification of its medical device into Class I or Class II on the basis that the device presents low or moderate risk, rather than requiring the submission and approval of a PMA application. A De Novo request includes a description of the device, a discussion of the general controls and any specific controls recommended to provide reasonable assurance of the safety and effectiveness of the device, a description of the probable benefits of the device when compared to the probable risks when the device is used as intended, non-clinical data including bench performance and animal testing, technical information about the device, and clinical data (if applicable). The FDA’s goal is to review a De Novo request within 150 review days after receiving the petition. As with a 510(k) submission or PMA, the length of the review can be prolonged if the FDA requests additional information from the applicant.</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To obtain a PMA, the applicant must submit data and information demonstrating reasonable assurance of the safety and effectiveness of the device for its intended use to the FDA’s satisfaction. Accordingly, a PMA typically includes, but is not limited to, extensive technical information regarding device design and development, pre-clinical and clinical trial data, manufacturing information, labeling, and financial disclosure information for the clinical investigators in device studies. The PMA application must provide valid scientific evidence that demonstrates to the FDA’s satisfaction a reasonable assurance of the safety and effectiveness of the device for its intended use.</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Once filed as a PMA, the FDA has 180 days to review the filed PMA application, although the review of an application more often occurs over a significantly longer period of time. During this review period, the FDA may request additional information or clarification of information already provided, and the FDA may issue a major deficiency letter to the applicant, requesting the applicant’s response to deficiencies communicated by the FDA.</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Prior to approval of a PMA, the FDA may conduct inspections of any clinical trial data and clinical trial sites, as well as inspections of any manufacturing facility and processes. The FDA can delay, limit or deny approval of a PMA application for many reasons, including (1) the device may not be shown safe or effective to the FDA’s satisfaction; (2) the data from pre-clinical studies and/or clinical trials may be found unreliable or insufficient to support approval; (3) the manufacturing process or facilities may not meet applicable requirements; and (4) changes in FDA approval policies or adoption of new regulations may require additional data.</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If the FDA evaluation of a PMA is favorable, the FDA will issue either an approval letter, or an approvable letter, the latter of which usually contains a number of conditions that must be met in order to secure final approval of the PMA. When and if those conditions have been fulfilled to the satisfaction of the FDA, the agency will issue a PMA approval letter authorizing commercial marketing of</w:t>
      </w:r>
    </w:p>
    <w:p>
      <w:pPr>
        <w:sectPr>
          <w:pgSz w:w="11880" w:h="15480" w:orient="portrait"/>
          <w:cols w:equalWidth="0" w:num="1">
            <w:col w:w="10800"/>
          </w:cols>
          <w:pgMar w:left="540" w:top="750" w:right="540" w:bottom="0" w:gutter="0" w:footer="0" w:header="0"/>
        </w:sect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17</w:t>
      </w:r>
    </w:p>
    <w:p>
      <w:pPr>
        <w:sectPr>
          <w:pgSz w:w="11880" w:h="15480" w:orient="portrait"/>
          <w:cols w:equalWidth="0" w:num="1">
            <w:col w:w="10800"/>
          </w:cols>
          <w:pgMar w:left="540" w:top="750" w:right="540" w:bottom="0" w:gutter="0" w:footer="0" w:header="0"/>
          <w:type w:val="continuous"/>
        </w:sectPr>
      </w:pPr>
    </w:p>
    <w:bookmarkStart w:id="19" w:name="page20"/>
    <w:bookmarkEnd w:id="19"/>
    <w:p>
      <w:pPr>
        <w:jc w:val="both"/>
        <w:spacing w:after="0" w:line="245" w:lineRule="auto"/>
        <w:rPr>
          <w:sz w:val="20"/>
          <w:szCs w:val="20"/>
          <w:color w:val="auto"/>
        </w:rPr>
      </w:pPr>
      <w:r>
        <w:rPr>
          <w:rFonts w:ascii="Times New Roman" w:cs="Times New Roman" w:eastAsia="Times New Roman" w:hAnsi="Times New Roman"/>
          <w:sz w:val="20"/>
          <w:szCs w:val="20"/>
          <w:color w:val="231F20"/>
        </w:rPr>
        <w:t>the device, subject to the conditions of approval and the limitations established in the approval letter. The FDA also may determine that additional tests or clinical trials are necessary, in which case the PMA approval may be delayed for several months or years while the trials are conducted and data is submitted in an amendment to the PMA, or the PMA is withdrawn and resubmitted when data is available. The PMA process can be expensive, uncertain and lengthy. A number of devices for which the FDA approval has been sought by other companies have never been approved by the FDA for marketing. New PMA applications or PMA supplements are required for any modifications to the manufacturing process, equipment or facility, quality control procedures, sterilization, packaging, expiration date, labeling, device specifications, ingredients, materials or design of a device that has been approved through the PMA process.</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As a condition of PMA approval, the FDA may also require some form of post-approval study or post-market surveillance, whereby the applicant conducts a follow-up study or follows certain patient groups for a number of years and makes periodic reports to the FDA on the clinical status of those patients when necessary to protect the public health or to provide additional or longer-term safety and effectiveness data for the device. The FDA may also approve a PMA application with other post-approval conditions intended to ensure the safety and effectiveness of the device, such as, among other things, restrictions on labeling, promotion, sale, distribution and use.</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510(k), De Novo or PMA processes can be expensive, lengthy and unpredictable. The FDA’s 510(k) clearance process usually takes from three to 12 months, but can last longer. The process of obtaining a PMA is much more costly and uncertain than the 510(k)-clearance process and generally takes from one to three years, or even longer, from the time the application is filed with the FDA. In addition, a PMA generally requires the performance of one or more clinical trials. Despite the time, effort and cost, a device may not be approved or cleared by the FDA. Any delay or failure to obtain necessary regulatory clearances or approvals could harm our business. Furthermore, even if we are granted regulatory clearances or approvals, they may include significant limitations on the indicated uses for the device, which may limit the market for the device.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Companion Diagnostics and the Premarket Process</w:t>
      </w:r>
    </w:p>
    <w:p>
      <w:pPr>
        <w:spacing w:after="0" w:line="12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believe that several of our future product candidates may include a companion diagnostic (CDx), which is defined as an IVD that provides information that is essential for the safe and effective use of the therapeutic product. CDx’s can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 product for the purpose of adjusting treatment to achieve improved safety or effectiveness.</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 CDx is often developed and approved or cleared contemporaneously with the therapeutic, and the use of the CDx is stipulated in the labeling of both the CDx and the corresponding therapeutic product. CDx’s are generally regulated as Class III medical devices by the FDA and are therefore most often subject to the PMA approval process. While the FDA supports contemporaneous marketing authorizations, if there are any deficiencies in the submissions, the FDA may place a PMA review of a CDx on hold or request additional testing, which could potentially delay the approval of the corresponding new drug application or the marketing authorization of the CDx, or otherwise complicate the review process. The FDA may also require an application for the CDx to be separate from the drug approval process, and this could also potentially delay the approval of any new drug application or the CDx, or complicate the review process.</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FDA issued guidance in July 2016 for the co-development of CDx tests with a therapeutic product, which has remained in draft format. FDA issued and finalized a separate guidance in April 2020 specific to oncology CDx tests, “Developing and Labeling In vitro Companion Diagnostic Devices for a Specific Group of Oncology Therapeutic Products.” The guidance is meant to guide the development of CDx products in a way that results in labeling for a specific group of oncology therapeutic products, rather than a single therapeutic product.</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Post-Market FDA Regulation</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Even if regulatory clearance, authorization or approval of a device is granted, the FDA may impose limitations on the uses and indications for which the device may be labeled and promoted, and the device remains subject to significant regulatory requirements. Medical devices may be marketed only for the uses and indications for which they are cleared, authorized, or approved. After a device, including a device exempt from FDA premarket review, is placed on the market, numerous post-market regulatory requirements apply, and the FDA has broad authority to enforce these requirements. Medical device manufacturers are subject to unannounced inspections by the FDA and other state, local and foreign regulatory authorities to assess compliance with the QSR and other applicable regulations, and these inspections may include the manufacturing facilities of any suppliers. Failure to comply with applicable regulatory requirements can result in enforcement action by the FDA, which may include sanctions such as: warning letters, fines, injunctions, consent decrees and civil penalties; unanticipated expenditures, including requirements to repair, replace, and/or refund the cost of the devices, recall or seizure of our products; operating restrictions, partial suspension or total shutdown of production; the FDA’s refusal of our requests for 510(k) clearance, De Novo classification, or PMA of new products, new intended uses or modifications to existing products; the FDA’s refusal to issue certificates to foreign governments needed to export products for sale in other countries; and withdrawing 510(k) clearance or PMAs that have already been granted and criminal prosecution. In the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18</w:t>
      </w:r>
    </w:p>
    <w:p>
      <w:pPr>
        <w:sectPr>
          <w:pgSz w:w="11880" w:h="15480" w:orient="portrait"/>
          <w:cols w:equalWidth="0" w:num="1">
            <w:col w:w="10800"/>
          </w:cols>
          <w:pgMar w:left="540" w:top="750" w:right="540" w:bottom="0" w:gutter="0" w:footer="0" w:header="0"/>
          <w:type w:val="continuous"/>
        </w:sectPr>
      </w:pPr>
    </w:p>
    <w:bookmarkStart w:id="20" w:name="page21"/>
    <w:bookmarkEnd w:id="20"/>
    <w:p>
      <w:pPr>
        <w:jc w:val="both"/>
        <w:spacing w:after="0" w:line="277" w:lineRule="auto"/>
        <w:rPr>
          <w:sz w:val="20"/>
          <w:szCs w:val="20"/>
          <w:color w:val="auto"/>
        </w:rPr>
      </w:pPr>
      <w:r>
        <w:rPr>
          <w:rFonts w:ascii="Times New Roman" w:cs="Times New Roman" w:eastAsia="Times New Roman" w:hAnsi="Times New Roman"/>
          <w:sz w:val="20"/>
          <w:szCs w:val="20"/>
          <w:color w:val="231F20"/>
        </w:rPr>
        <w:t>event that a supplier fails to maintain compliance with the FDA’s or our quality requirements, we may have to qualify a new supplier and could experience manufacturing delays as a result.</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Federal and State Fraud and Abuse Laws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are subject to federal fraud and abuse laws such as the federal Anti -Kickback Statute (AKS), the federal prohibition against physician self-referral (Stark Law), the Eliminating Kickbacks in Recovery Act (EKRA), and the federal False Claims Act (FCA). We are also subject to similar state and foreign fraud and abuse laws.</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AKS (Social Security Act § 1128B(b))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item or service that may be reimbursable, in whole or in part, under a federal healthcare program, such as Medicare or Medicaid. There are a number of statutory exceptions and regulatory safe harbors to the AKS that provide protection from AKS liability to arrangements that fully satisfy the applicable requirements.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EKRA (18 USC § 220)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 The term “health care benefit program” is broadly defined such that EKRA extends to referrals reimbursed by both governmental and commercial third-party payers. EKRA includes a number of statutory exceptions that provide protection from EKRA liability if the applicable requirements are met.</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Stark Law (Social Security Act § 1877) generally prohibits, among other things, clinical laboratories and other so-called “designated health services” entities from billing Medicare for any designated health services when the physician ordering the service, or any member of such physician’s immediate family, has a financial relationship, such as a direct or indirect investment interest in or compensation arrangement with the billing entity, unless the arrangement meets an exception to the prohibition. The Stark Law also prohibits physicians from making such referrals to a designated health services entity. There are also similar state laws that apply where Medicaid and/or commercial payers are billed.</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FCA (31 USC § 3729) imposes penalties against individuals or entities for, among other things, knowingly presenting, or causing to be presented, claims for payment to the government that are false or fraudulent, or knowingly making, using or causing to be made or used a false record or statement material to such a false or fraudulent claim, or knowingly concealing or knowingly and improperly avoiding, decreasing, or concealing an obligation to pay money to the federal government. This statute also permits a private individual acting as a “qui tam” whistleblower to bring actions on behalf of the federal government alleging violations of the FCA and to share in any monetary recovery. FCA liability is potentially significant in the healthcare industry because the statute provides for treble damages and mandatory penalties per false claim or statement for penalties assessed.</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Other federal statutes pertaining to healthcare fraud and abuse include the civil monetary penalties statute, which prohibits, among other things, the offer or payment of remuneration to a Medicaid or Medicare beneficiary that the offeror or payer knows or should know is likely to influence the beneficiary to order or receive a reimbursable item or service from a particular provider, practitioner, or supplier, and contracting with an individual or entity that the person knows or should know is excluded from participation in a federal health care program. In addition, federal criminal statutes created by the Health Insurance Portability and Accountability Act (HIPAA) prohibit, among other things, knowingly and willfully executing or attempting to execute a scheme to defraud any healthcare benefit program or obtain by means of false or fraudulent pretenses, representations or promises any money or property owned by or under the control of any healthcare benefit program in connection with the delivery of or payment for healthcare benefits, items or services.</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In addition to these federal laws, there are often similar state anti-kickback and false claims laws that typically apply to arrangements involving reimbursement by a state-funded Medicaid or other health care program. Often, these laws closely follow the language of their federal law counterparts, although they do not always have the same exceptions or safe harbors. In some states, these anti-kickback laws apply with respect to all payers, including commercial payers.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 number of states have enacted laws that require pharmaceutical and medical device companies to monitor and report payments, gifts and other remuneration made to physicians and other healthcare providers, and, in some states, marketing expenditures. In addition, some state statutes impose outright bans on certain manufacturer gifts to physicians or other health care professionals. Some of these laws, referred to as “aggregate spend” or “gift” laws, carry substantial fines if they are violated.</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Efforts to ensure that our business arrangements with third parties will comply with applicable healthcare laws and regulations will involve substantial costs and extensive annual trainings for all of our employees and contractors. If our operations are found to be in violation of any of these laws or any other governmental regulations that may apply to us, we may be subject to significant civil, criminal and administrative penalties, damages, fines, imprisonment, exclusion from participation in government-funded healthcare programs, such as Medicare and Medicaid, disgorgement, contractual damages, reputational harm, diminished profits and future earnings, additional reporting or oversight obligations if we become subject to a corporate integrity agreement or other agreement to resolve allegations of non-compliance with the law, and the curtailment or restructuring of our operations, any of which could adversely affect our ability to operate our business and our results of operations. If any of the physicians or other healthcare providers</w:t>
      </w:r>
    </w:p>
    <w:p>
      <w:pPr>
        <w:sectPr>
          <w:pgSz w:w="11880" w:h="15480" w:orient="portrait"/>
          <w:cols w:equalWidth="0" w:num="1">
            <w:col w:w="10800"/>
          </w:cols>
          <w:pgMar w:left="540" w:top="750" w:right="540" w:bottom="0" w:gutter="0" w:footer="0" w:header="0"/>
        </w:sect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19</w:t>
      </w:r>
    </w:p>
    <w:p>
      <w:pPr>
        <w:sectPr>
          <w:pgSz w:w="11880" w:h="15480" w:orient="portrait"/>
          <w:cols w:equalWidth="0" w:num="1">
            <w:col w:w="10800"/>
          </w:cols>
          <w:pgMar w:left="540" w:top="750" w:right="540" w:bottom="0" w:gutter="0" w:footer="0" w:header="0"/>
          <w:type w:val="continuous"/>
        </w:sectPr>
      </w:pPr>
    </w:p>
    <w:bookmarkStart w:id="21" w:name="page22"/>
    <w:bookmarkEnd w:id="21"/>
    <w:p>
      <w:pPr>
        <w:jc w:val="both"/>
        <w:spacing w:after="0" w:line="277" w:lineRule="auto"/>
        <w:rPr>
          <w:sz w:val="20"/>
          <w:szCs w:val="20"/>
          <w:color w:val="auto"/>
        </w:rPr>
      </w:pPr>
      <w:r>
        <w:rPr>
          <w:rFonts w:ascii="Times New Roman" w:cs="Times New Roman" w:eastAsia="Times New Roman" w:hAnsi="Times New Roman"/>
          <w:sz w:val="20"/>
          <w:szCs w:val="20"/>
          <w:color w:val="231F20"/>
        </w:rPr>
        <w:t>or entities with whom we do business is found to be not in compliance with applicable laws, they may be subject to criminal, civil or administrative sanctions, including exclusions from government-funded healthcare programs.</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Anti-Corruption</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The FCPA and similar international bribery laws make it unlawful for persons or entities to make payments to foreign government officials to assist in obtaining and maintaining business. Specifically, the anti-bribery provisions of the FCPA prohibit any offer, payment, promise to pay, or authorizing the payment of money or anything of value to any person, while knowing that all or a portion of such money or thing of value will be offered, given or promised, directly or indirectly, to a foreign official to do or omit to do an act in violation of his or her duty, or to secure any improper advantage in order to assist in obtaining or retaining business for or with, or directing business, to any person. In addition to the anti-bribery provisions of the FCPA, the statute also contains accounting requirements designed to operate in tandem with the anti-bribery provisions. Covered companies are required to make and keep books and records that accurately and fairly reflect the transactions of the company and devise and maintain an adequate system of internal accounting controls. With our international operations through our third- party partnerships, we could incur significant fines and penalties, as well as criminal liability, if we fail to comply with either the anti-bribery or accounting requirements of the FCPA, or similar international bribery laws. Even an unsuccessful challenge of our compliance with these laws could cause us to incur adverse publicity and significant legal and related costs. We successfully passed our latest FCPA compliance review in 2023 with no findings.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Privacy and Data Protection Laws</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Numerous federal and state laws and regulations, including HIPAA, as amended by the Health Information Technology for Economic and Clinical Health (HITECH) Act, govern the collection, dissemination, security, use and confidentiality of protected health information (PHI) and personal information. In the course of performing our business we obtain personal information, including PHI. Laws and regulations relating to privacy, data protection, and consumer protection are evolving and, in some cases, particularly with regard to newer laws, may be subject to potentially differing interpretations. Under HIPAA and HITECH, the Department of HHS issues regulations that establish uniform standards governing the conduct of certain electronic healthcare transactions and requirements for protecting the privacy and security of PHI, used or disclosed by covered entities (CEs) and their authorized business associates (BAs). Because we are a health care provider that electronically transmits health care information, we are a CE as defined by HIPAA. Our subcontractors that create, receive, maintain, transmit or otherwise process PHI on our behalf are HIPAA BAs and must also comply with HIPAA, as applicable.</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HIPAA and HITECH include the privacy and security rules, breach notification requirements and electronic transaction standards. The privacy rule governs the use and disclosure of PHI, generally prohibits the use or disclosure of PHI except as permitted under the rule, and mandates certain safeguards to protect the privacy of PHI. The privacy rule also sets forth individual rights, such as the right to access or amend certain records containing such individual’s PHI, or to request restrictions on the use or disclosure of such individual’s PHI. The security rule requires CEs and BAs to safeguard the confidentiality, integrity, and availability of electronically transmitted or stored PHI (also referred to as ePHI) by implementing administrative, physical and technical safeguards. Under HIPAA’s breach notification rule, a CE must notify individuals, the Secretary of HHS, and in some circumstances, the media of certain breaches of unsecured PHI or ePHI, and similar breach notification provisions apply to certain BAs under the HITECH Act.</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Penalties for failure to comply with a requirement of HIPAA and HITECH vary depending on the number and nature of the violations and any history of prior violations, but can be significant and include civil monetary or criminal penalties. HIPAA is enforced by the Department of Health and Human Services, Office for Civil Rights (HHS OCR), and HIPAA also authorizes state attorneys general to file suit on behalf of their residents for violations. Courts are able to award damages, costs and attorneys’ fees related to violations of HIPAA in such cases. While HIPAA does not create a private right of action allowing individuals to file suit in civil court for violations of HIPAA, its standards have been used as the basis for duty of care cases in state civil suits such as those for negligence or recklessness in improper use, access to or disclosure of PHI. In addition, HIPAA provides for HHS OCR to conduct periodic compliance audits of CEs and BAs for compliance with the HIPAA privacy and security standards and breach notification rules. It also tasks HHS with establishing a methodology whereby harmed individuals who were the victims of breaches of unsecured PHI may receive a percentage of the civil monetary penalty paid by the violator.</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In addition, we may be subject to state privacy, cybersecurity, and data breach notification laws, which may govern the collection, use, disclosure and protection of health-related and other personal information. California, for example, has enacted the Confidentiality of Medical Information Act, which, in addition to HIPAA and HITECH, sets forth standards with which regulated California health care providers must abide. Colorado has enacted the Colorado Privacy Act, and Virginia has enacted the Consumer Data Protection Act, both of which also have standards that supplement Federal data protection requirements. State laws may be more stringent, broader in scope or offer greater individual rights with respect to PHI than HIPAA, and state laws may differ from each other in regards to personal information treatment, which may complicate compliance efforts. For instance, the California Consumer Privacy Act (CCPA), as amended by the passage of the California Privacy Rights Act (CPRA), among other things, gives California residents rights to access and delete their personal information, opt out of certain personal information sharing and receive detailed information about how their personal information is used by requiring covered companies to provide disclosures to California consumers (as that term is broadly defined) and provide such consumers ways to opt-out of certain sales of personal information. The CCPA provides for</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20</w:t>
      </w:r>
    </w:p>
    <w:p>
      <w:pPr>
        <w:sectPr>
          <w:pgSz w:w="11880" w:h="15480" w:orient="portrait"/>
          <w:cols w:equalWidth="0" w:num="1">
            <w:col w:w="10800"/>
          </w:cols>
          <w:pgMar w:left="540" w:top="750" w:right="540" w:bottom="0" w:gutter="0" w:footer="0" w:header="0"/>
          <w:type w:val="continuous"/>
        </w:sectPr>
      </w:pPr>
    </w:p>
    <w:bookmarkStart w:id="22" w:name="page23"/>
    <w:bookmarkEnd w:id="22"/>
    <w:p>
      <w:pPr>
        <w:jc w:val="both"/>
        <w:spacing w:after="0" w:line="247" w:lineRule="auto"/>
        <w:rPr>
          <w:sz w:val="20"/>
          <w:szCs w:val="20"/>
          <w:color w:val="auto"/>
        </w:rPr>
      </w:pPr>
      <w:r>
        <w:rPr>
          <w:rFonts w:ascii="Times New Roman" w:cs="Times New Roman" w:eastAsia="Times New Roman" w:hAnsi="Times New Roman"/>
          <w:sz w:val="20"/>
          <w:szCs w:val="20"/>
          <w:color w:val="231F20"/>
        </w:rPr>
        <w:t>civil penalties for violations, as well as a private right of action for data breaches that is expected to increase data breach litigation. Although there are certain exemptions for PHI and clinical trial data, the CCPA’s implementation standards and enforcement practices are likely to remain uncertain for the foreseeable future and the CCPA may increase our compliance costs and potential liability. Several other states have enacted privacy laws, several additional states have introduced privacy bills, and further law and regulations are under consideration at the federal level. If passed, such laws may have potentially conflicting requirements that could continue to make compliance challenging and costly.</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Additionally, the Federal Trade Commission (FTC) and state attorneys general enforce consumer protection laws that prohibit unfair and deceptive acts and practices, including Section 5 of the FTC Act, which creates standards for the collection, use, dissemination and security of health-related and other personal information. Claims of unfair or deceptive trade practices regarding privacy and security can lead to significant liabilities and consequences, including regulatory investigations, penalties, fines and orders as well as civil claims, which could impact our data practices and operations or cause reputational damage.</w:t>
      </w:r>
    </w:p>
    <w:p>
      <w:pPr>
        <w:spacing w:after="0" w:line="7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231F20"/>
        </w:rPr>
        <w:t>We may also be subject to laws and regulations in foreign countries covering data privacy and other protection of health and employee information that may add additional compliance burden and complexity. For example, in the EEA, the collection and use of personal data is governed by the European Union's General Data Protection Regulation (GDPR). In the United Kingdom, the GDPR has been adopted in substantially the same form, however the UK may potentially make revisions in the coming years. The GDPR, together with national legislation, regulations and guidelines of the EU member states and the United Kingdom governing the processing of personal data, impose strict obligations and restrictions on the ability to collect, analyze, store, transfer and otherwise process personal data. European and United Kingdom data protection authorities may interpret the GDPR and national laws differently and impose additional requirements, which adds to the complexity of processing personal data in or from the EEA or United Kingdom. Guidance on implementation and compliance practices is often updated or otherwise revised. GDPR applies extra-territorially under certain circumstances and imposes stringent requirements on controllers and processors of personal data, including, for example, requirements to ensure a legal bases to process personal information, provide robust disclosures to individuals, facilitate data subject rights, provide data security breach notifications within 72 hours after discovering a breach in certain circumstances, limit retention of personal information and apply enhanced protections to health data and other categories of sensitive personal information. The GDPR also has requirements around international transfers of personal data. Requirements around transfers to the United States and other jurisdictions have increased since a July 2020 decision by the Court of Justice of the European Union invalidated the Privacy Shield as a basis to transfer personal data from Europe to the United States, and added requirements for reliance on Standard Contractual Clauses. Regulatory guidance on requirements for international transfers, and other GDPR compliance matters, continues to evolve; for example, in July 2023, the European Commission completed adoption of a new adequacy decision for data flows to the United States. However, it is widely expected that the new adequacy decision will itself face scrutiny from the Court of Justice, underscoring that GDPR compliance is an ongoing endeavor. Failure to comply with the requirements of the GDPR may result in fines of up to €20 million or up to 4% of the total worldwide annual turnover of our preceding fiscal year, whichever is higher, and other administrative penalties. To comply with the GDPR and other applicable international data protection laws and regulations, we may be required to put in place additional mechanisms ensuring compliance, which may result in other substantial expenditures.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Cybersecurity</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Our business relies on secure and continuous processing of information and the availability of our IT networks and IT resources, as well as critical IT vendors that support our technology, research and other data processing operations. While we take steps to protect our systems and data, security incidents, data breaches, computer malware and computer hacking attacks have become more prevalent across industries, including the life sciences sector, and may occur on our systems or those of our third-party service providers. Unauthorized persons may in the future be able to exploit weaknesses in the security systems of our (or our third-party service providers) IT networks and gain access to PHI and other personal information, sensitive trade secrets, or other proprietary information. Any wrongful use or disclosure of PHI, other personal information, trade secrets or other proprietary information by us or our third-party service providers could subject us to regulatory fines or penalties, third-party claims or otherwise could adversely affect our business and results of operations. Although HIPAA and the regulations promulgated thereunder do not provide for a private right of action, failures to adequately protect PHI or our IT systems could be viewed as violations of the HIPAA security rule or violations of other applicable information security laws, regulations, contractual obligations or industry standards, and could further result in costly data breach notification obligations that negatively impact our reputation.</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Moreover, data cybersecurity incidents or data breaches, as well as attacks on our IT systems, could result in operational disruptions or data loss or corruption that could adversely impact our business and operations, resulting in substantial investment of resources to investigate, recover and remediate and subject us to heightened regulatory scrutiny. See Item 1C. "Cybersecurity" for additional information on our cybersecurity practices.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Healthcare Reform</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In March 2010, the Patient Protection and Affordable Care Act (ACA) was enacted in the United States, which provided a number of substantial changes to the way healthcare is financed both by governmental and private insurers. Since its enactment, the Trump</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21</w:t>
      </w:r>
    </w:p>
    <w:p>
      <w:pPr>
        <w:sectPr>
          <w:pgSz w:w="11880" w:h="15480" w:orient="portrait"/>
          <w:cols w:equalWidth="0" w:num="1">
            <w:col w:w="10800"/>
          </w:cols>
          <w:pgMar w:left="540" w:top="750" w:right="540" w:bottom="0" w:gutter="0" w:footer="0" w:header="0"/>
          <w:type w:val="continuous"/>
        </w:sectPr>
      </w:pPr>
    </w:p>
    <w:bookmarkStart w:id="23" w:name="page24"/>
    <w:bookmarkEnd w:id="23"/>
    <w:p>
      <w:pPr>
        <w:jc w:val="both"/>
        <w:spacing w:after="0" w:line="277" w:lineRule="auto"/>
        <w:rPr>
          <w:sz w:val="20"/>
          <w:szCs w:val="20"/>
          <w:color w:val="auto"/>
        </w:rPr>
      </w:pPr>
      <w:r>
        <w:rPr>
          <w:rFonts w:ascii="Times New Roman" w:cs="Times New Roman" w:eastAsia="Times New Roman" w:hAnsi="Times New Roman"/>
          <w:sz w:val="20"/>
          <w:szCs w:val="20"/>
          <w:color w:val="231F20"/>
        </w:rPr>
        <w:t>administration has sought to modify, repeal, or otherwise invalidate all, or certain provisions of, the ACA. Other legislative changes have been proposed and adopted in the United States since the ACA was enacted to reduce healthcare expenditures.</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In July 2025, the One Big Beautiful Bill Act (OBBBA) was enacted, and imposes significant reductions in the funding of the Medicaid program. Although the full impact of the OBBBA is uncertain at this time, changes are expected to reduce enrollment in state Medicaid programs. The timing and magnitude of the reductions may vary by state depending on how quickly states implement the changes, how states may adapt their future tax and Medicaid funding policies in response, as well as other macroeconomic factors.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Environmental, Health and Safety Regulations</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are subject to various federal, state, local, and foreign environmental, health and safety laws and regulations and permitting and licensing requirements. Such laws include those governing laboratory practices, the generation, storage, use, manufacture, handling, transportation, treatment, remediation, release and disposal of, and exposure to potential blood-borne pathogens, hazardous materials and associated wastes. Our operations involve the generation, use, storage and disposal of hazardous materials as well as regulated medical waste, and the risk of injury, contamination or non-compliance with environmental, health and safety laws and regulations or permitting or licensing requirements cannot be eliminated. Compliance with environmental laws and regulations has not had a material effect on our capital expenditures, earning or competitive position. To date, there has not been a for cause OSHA or EPA inspection.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Corporate Information</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We were incorporated in Delaware in 2005 as Elston Technologies, Inc. Our principal executive offices are located at 919 West Dillon Rd, Louisville, CO 80027, and our telephone number is (303) 417-0500. On June 20, 2006, we changed our name to Biodesix, Inc.</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Implications of Being a Smaller Reporting Company</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are a “smaller reporting company</w:t>
      </w:r>
      <w:r>
        <w:rPr>
          <w:rFonts w:ascii="Times New Roman" w:cs="Times New Roman" w:eastAsia="Times New Roman" w:hAnsi="Times New Roman"/>
          <w:sz w:val="20"/>
          <w:szCs w:val="20"/>
          <w:i w:val="1"/>
          <w:iCs w:val="1"/>
          <w:color w:val="231F20"/>
        </w:rPr>
        <w:t>”</w:t>
      </w:r>
      <w:r>
        <w:rPr>
          <w:rFonts w:ascii="Times New Roman" w:cs="Times New Roman" w:eastAsia="Times New Roman" w:hAnsi="Times New Roman"/>
          <w:sz w:val="20"/>
          <w:szCs w:val="20"/>
          <w:color w:val="231F20"/>
        </w:rPr>
        <w:t xml:space="preserve">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end of that year’s second fiscal quarter, or (ii) our annual revenues exceeded $100 million during such completed fiscal year and the market value of our common stock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For certain risks related to our status as a smaller reporting company, see “Risk Factors—General Risk Factors—We are a “smaller reporting company,” and the reduced disclosure requirements applicable to smaller reporting companies may make our common stock less attractive to investors.”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Human Capital Resources</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Our culture is underpinned by our cultural beliefs including an unwavering commitment to inclusion and diversity. We are committed to fostering a diverse and inclusive workplace that attracts and retains exceptional talent offering opportunities for our team members to grow and develop in their careers, supported by a competitive suite of benefits and health and wellness programs. We regularly engage our team members in quarterly all-hands meetings to align and focus on the current state of affairs of our business, our partnerships, new products, clinical trials, and other pertinent information about our business. We engage our team members in programs such as peer recognition and recruitment that focuses on recognizing outstanding individual contributions to company performance, cultural fit of new team members and acknowledging the diversity of our team to ensure our team members feel valued and can do their best work. We have a national annual community service initiative, “</w:t>
      </w:r>
      <w:r>
        <w:rPr>
          <w:rFonts w:ascii="Times New Roman" w:cs="Times New Roman" w:eastAsia="Times New Roman" w:hAnsi="Times New Roman"/>
          <w:sz w:val="20"/>
          <w:szCs w:val="20"/>
          <w:i w:val="1"/>
          <w:iCs w:val="1"/>
          <w:color w:val="231F20"/>
        </w:rPr>
        <w:t>Biodesix Gives Back</w:t>
      </w:r>
      <w:r>
        <w:rPr>
          <w:rFonts w:ascii="Times New Roman" w:cs="Times New Roman" w:eastAsia="Times New Roman" w:hAnsi="Times New Roman"/>
          <w:sz w:val="20"/>
          <w:szCs w:val="20"/>
          <w:color w:val="231F20"/>
        </w:rPr>
        <w:t>” that allows each team member to invest ten hours of paid community service to organizations of their choosing.</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As of December 31, 2025, we had approximately 334 full-time and part-time employees located in the United States. The majority of our team member base is located in proximity to our corporate office and testing facilities located in Louisville, Colorado and our laboratory in De Soto, Kansas.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Diversity, Equity and Inclusion</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believe that a diverse employee population, including cultural background, gender, ethnicity, sexual orientation and lived experiences, is critical to our success since we need to represent our patients, providers, and partners. Our employees are encouraged to leverage their personal strengths and experiences to continually innovate and contribute to the development of new ideas and process improvements that drive better experiences for our partners.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Employee Engagement</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Our company culture emphasizes the satisfaction and well-being of our team members and a diverse, engaged workforce. We solicit the opinion and views of our team members through surveys and peer focus groups. We have an established and valued peer recognition culture. Teammates recognize other teammates publicly for their support and contributions fostering collaboration,</w:t>
      </w:r>
    </w:p>
    <w:p>
      <w:pPr>
        <w:sectPr>
          <w:pgSz w:w="11880" w:h="15480" w:orient="portrait"/>
          <w:cols w:equalWidth="0" w:num="1">
            <w:col w:w="10800"/>
          </w:cols>
          <w:pgMar w:left="540" w:top="750" w:right="540" w:bottom="0" w:gutter="0" w:footer="0" w:header="0"/>
        </w:sect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22</w:t>
      </w:r>
    </w:p>
    <w:p>
      <w:pPr>
        <w:sectPr>
          <w:pgSz w:w="11880" w:h="15480" w:orient="portrait"/>
          <w:cols w:equalWidth="0" w:num="1">
            <w:col w:w="10800"/>
          </w:cols>
          <w:pgMar w:left="540" w:top="750" w:right="540" w:bottom="0" w:gutter="0" w:footer="0" w:header="0"/>
          <w:type w:val="continuous"/>
        </w:sectPr>
      </w:pPr>
    </w:p>
    <w:bookmarkStart w:id="24" w:name="page25"/>
    <w:bookmarkEnd w:id="24"/>
    <w:p>
      <w:pPr>
        <w:jc w:val="both"/>
        <w:spacing w:after="0" w:line="249" w:lineRule="auto"/>
        <w:rPr>
          <w:sz w:val="20"/>
          <w:szCs w:val="20"/>
          <w:color w:val="auto"/>
        </w:rPr>
      </w:pPr>
      <w:r>
        <w:rPr>
          <w:rFonts w:ascii="Times New Roman" w:cs="Times New Roman" w:eastAsia="Times New Roman" w:hAnsi="Times New Roman"/>
          <w:sz w:val="20"/>
          <w:szCs w:val="20"/>
          <w:color w:val="231F20"/>
        </w:rPr>
        <w:t xml:space="preserve">engagement and retention. We regularly review feedback we receive on our operating principles to determine if any modifications are needed. In 2025, we adopted Operating Principles to reflect a renewed focus and commitment on </w:t>
      </w:r>
      <w:r>
        <w:rPr>
          <w:rFonts w:ascii="Times New Roman" w:cs="Times New Roman" w:eastAsia="Times New Roman" w:hAnsi="Times New Roman"/>
          <w:sz w:val="20"/>
          <w:szCs w:val="20"/>
          <w:i w:val="1"/>
          <w:iCs w:val="1"/>
          <w:color w:val="231F20"/>
        </w:rPr>
        <w:t>Team, Impact, and Excellence</w:t>
      </w:r>
      <w:r>
        <w:rPr>
          <w:rFonts w:ascii="Times New Roman" w:cs="Times New Roman" w:eastAsia="Times New Roman" w:hAnsi="Times New Roman"/>
          <w:sz w:val="20"/>
          <w:szCs w:val="20"/>
          <w:color w:val="231F20"/>
        </w:rPr>
        <w:t>. Additionally, the Company annually celebrates our top sales performers through our President’s Club and other top Biodesix performers as nominated by fellow team members through demonstration of our Operating Principles as the standard for how we work together.</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Training and Development</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We invest in our team members' career growth and provide team members with a wide range of development opportunities, including face-to-face, virtual, and self-directed learning, mentoring, coaching, and external development.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 Safety and Wellness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physical health, financial stability, life balance and mental health of each of our team members is vital to our success. We sponsor several cancer awareness activities in our local communities to bring engagement and awareness of health, safety and wellness to positively impact lives. We provide an Employee Assistance Program to enhance physical, financial, and mental well-being for all our team members.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Pay Equity</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main objective of our compensation program is to provide a compensation package that will attract, retain, motivate, and reward superior team members who operate in a highly competitive and technologically challenging environment. We emphasize overall Company performance and provide equity incentives for all team members to align their financial interests with the interests of shareholders. In addition, we offer an employee stock purchase plan to all employees in which participants are eligible to purchase shares at a discount to market. We think like customers and act like owners.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Biodesix seeks fairness in total compensation. We benchmark with external comparisons, internal comparisons and look at the relationship between team member roles within the organization. We also review our compensation practices, both in terms of our overall workforce and individual team members, to ensure our pay is fair and equitable. We currently have no pay disparities based on gender, race, or ethnicity.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Available Information</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file with, or furnish to, the Securities and Exchange Commission (SEC) reports including our Annual Report on Form 10-K, Quarterly Reports on Form 10-Q, Current Reports on Form 8-K, and amendments to those reports pursuant to Section 13(a) or 15(d) of the Securities Exchange Act of 1934, as amended. These reports are available free of charge on our corporate website (www.biodesix.com) as soon as reasonably practicable after they are electronically filed with or furnished to the SEC. Copies of any materials we file with the SEC can be obtained at www.sec.gov. The information provided on our website (or any other website referred to in this report) is not part of this report and is not incorporated by reference as part of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1A. Risk Factors.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 Factors Summary</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following is a summary of the principal risks that could adversely affect our business, operations and financial results. This summary does not address all of the risk that we face and should be read in conjunction with the entire Risk Factors section below beginning at “Risks Related to Our Business and Industry” within this Item 1A. "Risk Factors."</w:t>
      </w:r>
    </w:p>
    <w:p>
      <w:pPr>
        <w:spacing w:after="0" w:line="83" w:lineRule="exact"/>
        <w:rPr>
          <w:sz w:val="20"/>
          <w:szCs w:val="20"/>
          <w:color w:val="auto"/>
        </w:rPr>
      </w:pPr>
    </w:p>
    <w:p>
      <w:pPr>
        <w:ind w:left="860" w:hanging="370"/>
        <w:spacing w:after="0" w:line="276" w:lineRule="auto"/>
        <w:tabs>
          <w:tab w:leader="none" w:pos="86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We have a history of net losses, and we expect to continue to incur losses for the foreseeable future. If we achieve profitability, we may not be able to sustain it;</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commercial success of our current and future diagnostic tests and services and our revenue growth depends upon attaining significant market acceptance among payers, providers, clinics, patients, and biopharmaceutical companies;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encounter difficulties in managing our growth, which could disrupt our operations;</w:t>
      </w:r>
    </w:p>
    <w:p>
      <w:pPr>
        <w:spacing w:after="0" w:line="133" w:lineRule="exact"/>
        <w:rPr>
          <w:rFonts w:ascii="Arial" w:cs="Arial" w:eastAsia="Arial" w:hAnsi="Arial"/>
          <w:sz w:val="20"/>
          <w:szCs w:val="20"/>
          <w:color w:val="231F20"/>
        </w:rPr>
      </w:pPr>
    </w:p>
    <w:p>
      <w:pPr>
        <w:jc w:val="both"/>
        <w:ind w:left="860" w:hanging="370"/>
        <w:spacing w:after="0" w:line="276" w:lineRule="auto"/>
        <w:tabs>
          <w:tab w:leader="none" w:pos="86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If we cannot maintain our current relationships, or enter into new relationships, with biopharmaceutical companies, our revenue prospects could be reduced;</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commercial success and revenue growth are highly dependent on the demand for, and increased adoption of, our diagnostic tests, which are subject to a number of risks and uncertainty;</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13"/>
        </w:numPr>
        <w:rPr>
          <w:rFonts w:ascii="Arial" w:cs="Arial" w:eastAsia="Arial" w:hAnsi="Arial"/>
          <w:sz w:val="20"/>
          <w:szCs w:val="20"/>
          <w:color w:val="231F20"/>
        </w:rPr>
      </w:pPr>
      <w:r>
        <w:rPr>
          <w:rFonts w:ascii="Times New Roman" w:cs="Times New Roman" w:eastAsia="Times New Roman" w:hAnsi="Times New Roman"/>
          <w:sz w:val="20"/>
          <w:szCs w:val="20"/>
          <w:color w:val="231F20"/>
        </w:rPr>
        <w:t>We need to ensure strong product performance and reliability to maintain and grow our business;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23</w:t>
      </w:r>
    </w:p>
    <w:p>
      <w:pPr>
        <w:sectPr>
          <w:pgSz w:w="11880" w:h="15480" w:orient="portrait"/>
          <w:cols w:equalWidth="0" w:num="1">
            <w:col w:w="10800"/>
          </w:cols>
          <w:pgMar w:left="540" w:top="750" w:right="540" w:bottom="0" w:gutter="0" w:footer="0" w:header="0"/>
          <w:type w:val="continuous"/>
        </w:sectPr>
      </w:pPr>
    </w:p>
    <w:bookmarkStart w:id="25" w:name="page26"/>
    <w:bookmarkEnd w:id="25"/>
    <w:p>
      <w:pPr>
        <w:ind w:left="370" w:hanging="370"/>
        <w:spacing w:after="0" w:line="276" w:lineRule="auto"/>
        <w:tabs>
          <w:tab w:leader="none" w:pos="37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We depend upon third-party suppliers, including single source suppliers, making us vulnerable to supply problems and price fluctuations;</w:t>
      </w:r>
    </w:p>
    <w:p>
      <w:pPr>
        <w:spacing w:after="0" w:line="64" w:lineRule="exact"/>
        <w:rPr>
          <w:rFonts w:ascii="Arial" w:cs="Arial" w:eastAsia="Arial" w:hAnsi="Arial"/>
          <w:sz w:val="20"/>
          <w:szCs w:val="20"/>
          <w:color w:val="231F20"/>
        </w:rPr>
      </w:pPr>
    </w:p>
    <w:p>
      <w:pPr>
        <w:ind w:left="350" w:hanging="350"/>
        <w:spacing w:after="0" w:line="276" w:lineRule="auto"/>
        <w:tabs>
          <w:tab w:leader="none" w:pos="35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Natural or man-made disasters or other similar events may significantly disrupt our business, and negatively impact our business, financial condition and results of operations;</w:t>
      </w:r>
    </w:p>
    <w:p>
      <w:pPr>
        <w:spacing w:after="0" w:line="64" w:lineRule="exact"/>
        <w:rPr>
          <w:rFonts w:ascii="Arial" w:cs="Arial" w:eastAsia="Arial" w:hAnsi="Arial"/>
          <w:sz w:val="20"/>
          <w:szCs w:val="20"/>
          <w:color w:val="231F20"/>
        </w:rPr>
      </w:pPr>
    </w:p>
    <w:p>
      <w:pPr>
        <w:jc w:val="both"/>
        <w:ind w:left="370" w:hanging="370"/>
        <w:spacing w:after="0" w:line="258" w:lineRule="auto"/>
        <w:tabs>
          <w:tab w:leader="none" w:pos="37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81" w:lineRule="exact"/>
        <w:rPr>
          <w:rFonts w:ascii="Arial" w:cs="Arial" w:eastAsia="Arial" w:hAnsi="Arial"/>
          <w:sz w:val="20"/>
          <w:szCs w:val="20"/>
          <w:color w:val="231F20"/>
        </w:rPr>
      </w:pPr>
    </w:p>
    <w:p>
      <w:pPr>
        <w:jc w:val="both"/>
        <w:ind w:left="370" w:hanging="370"/>
        <w:spacing w:after="0" w:line="258" w:lineRule="auto"/>
        <w:tabs>
          <w:tab w:leader="none" w:pos="37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81" w:lineRule="exact"/>
        <w:rPr>
          <w:rFonts w:ascii="Arial" w:cs="Arial" w:eastAsia="Arial" w:hAnsi="Arial"/>
          <w:sz w:val="20"/>
          <w:szCs w:val="20"/>
          <w:color w:val="231F20"/>
        </w:rPr>
      </w:pPr>
    </w:p>
    <w:p>
      <w:pPr>
        <w:jc w:val="both"/>
        <w:ind w:left="370" w:hanging="370"/>
        <w:spacing w:after="0" w:line="276" w:lineRule="auto"/>
        <w:tabs>
          <w:tab w:leader="none" w:pos="370" w:val="left"/>
        </w:tabs>
        <w:numPr>
          <w:ilvl w:val="0"/>
          <w:numId w:val="14"/>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face additional costs, loss of revenue, significant liabilities, harm to our brand, decreased use of our products or services and business disruption if there are any security or data privacy breaches or other unauthorized or improper access.</w:t>
      </w:r>
    </w:p>
    <w:p>
      <w:pPr>
        <w:sectPr>
          <w:pgSz w:w="11880" w:h="15480" w:orient="portrait"/>
          <w:cols w:equalWidth="0" w:num="1">
            <w:col w:w="10310"/>
          </w:cols>
          <w:pgMar w:left="103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490"/>
        <w:spacing w:after="0"/>
        <w:rPr>
          <w:sz w:val="20"/>
          <w:szCs w:val="20"/>
          <w:color w:val="auto"/>
        </w:rPr>
      </w:pPr>
      <w:r>
        <w:rPr>
          <w:rFonts w:ascii="Times New Roman" w:cs="Times New Roman" w:eastAsia="Times New Roman" w:hAnsi="Times New Roman"/>
          <w:sz w:val="20"/>
          <w:szCs w:val="20"/>
          <w:color w:val="231F20"/>
        </w:rPr>
        <w:t>24</w:t>
      </w:r>
    </w:p>
    <w:p>
      <w:pPr>
        <w:sectPr>
          <w:pgSz w:w="11880" w:h="15480" w:orient="portrait"/>
          <w:cols w:equalWidth="0" w:num="1">
            <w:col w:w="10310"/>
          </w:cols>
          <w:pgMar w:left="1030" w:top="764" w:right="54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20"/>
          <w:szCs w:val="20"/>
          <w:b w:val="1"/>
          <w:bCs w:val="1"/>
          <w:color w:val="231F20"/>
        </w:rPr>
        <w:t>Risk Factors</w:t>
      </w:r>
    </w:p>
    <w:p>
      <w:pPr>
        <w:spacing w:after="0" w:line="12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0"/>
          <w:szCs w:val="20"/>
          <w:i w:val="1"/>
          <w:iCs w:val="1"/>
          <w:color w:val="231F20"/>
        </w:rPr>
        <w:t>Our operations and financial results are subject to various risks and uncertainties that could adversely affect our business, financial condition, results of operations and cash flows. All of the risks described below should be carefully considered together with the other information contained and incorporated by reference in this report.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Business and Industry</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have a history of net losses, and we expect to continue to incur losses for the foreseeable future. If we achieve profitability, we may not be able to sustain it.</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have incurred losses since our inception and expect to continue to incur losses for the foreseeable future. We reported net losses of $35.3 million and $ 42.9 million for the years ended December 31, 2025 and 2024, respectively. As a result of these losses, as of December 31, 2025, we had an accumulated deficit of approximately $497.8 million.</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We expect that our sales and marketing, research and development, regulatory and other expenses will continue to increase as we expand our marketing efforts for our diagnostic tests and services, expand existing relationships with our customers, obtain regulatory clearances or approvals or certifications for future enhancements to our existing diagnostic tests and services and conduct further clinical trials. In addition, we expect our general and administrative expenses to increase due to the additional costs associated with scaling our business operations and testing capacity as well as being a public company, including due to legal, accounting, insurance, exchange listing and compliance, investor relations and other expenses. As a result, we expect to continue to incur operating losses and may never achieve profitability. We will need to generate significant additional revenue in order to achieve and sustain profitability. Even if we achieve profitability, we cannot be sure that we will remain profitable for any substantial period of time. If we do not achieve or sustain profitability, it will be more difficult for us to finance our business and accomplish our strategic objectives, either of which would have a material adverse effect on our business, financial condition and results of operations.</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commercial success of our current and future diagnostic tests and services and our revenue growth depends upon attaining significant market acceptance among payers, providers, clinics, patients, and biopharmaceutical companies.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commercial success depends, in part, on the acceptance of our diagnostic tests and services as being safe and relatively simple for medical personnel to learn and use, clinically flexible, operationally versatile and, with respect to providers and payers, cost effective. We cannot predict how quickly, if at all, payers, providers, clinics and patients will accept future diagnostic tests and services or, if accepted, how frequently they will be used. These constituents must believe that our diagnostic tests offer benefits over other available alternatives.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degree of market acceptance of our current and future diagnostic tests and services depends on a number of factors, including:</w:t>
      </w:r>
    </w:p>
    <w:p>
      <w:pPr>
        <w:spacing w:after="0" w:line="134" w:lineRule="exact"/>
        <w:rPr>
          <w:sz w:val="20"/>
          <w:szCs w:val="20"/>
          <w:color w:val="auto"/>
        </w:rPr>
      </w:pPr>
    </w:p>
    <w:p>
      <w:pPr>
        <w:ind w:left="860" w:hanging="370"/>
        <w:spacing w:after="0" w:line="276" w:lineRule="auto"/>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there is adequate utilization of our tests by clinicians, biopharmaceutical companies and other target groups based on the potential and perceived advantages of our diagnostic tests over those of our competitors;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convenience and ease of use of our diagnostic tests relative to those currently on the market;</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effectiveness of our sales and marketing efforts;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provide incremental data that show the clinical benefits and cost effectiveness, and operational benefits, of our diagnostic tests;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coverage and reimbursement acceptance of our products and services;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pricing pressure, including from group purchasing organizations (GPOs), seeking to obtain discounts on our diagnostic tests based on the collective bargaining power of the GPO members;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negative publicity regarding our or our competitors’ diagnostic tests resulting from defects or errors;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the accuracy of our tests relative to those of our competitors;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labeling or product insert requirements by the FDA or other regulatory authorities or conformity assessment bodies; and</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5"/>
        </w:numPr>
        <w:rPr>
          <w:rFonts w:ascii="Arial" w:cs="Arial" w:eastAsia="Arial" w:hAnsi="Arial"/>
          <w:sz w:val="20"/>
          <w:szCs w:val="20"/>
          <w:color w:val="231F20"/>
        </w:rPr>
      </w:pPr>
      <w:r>
        <w:rPr>
          <w:rFonts w:ascii="Times New Roman" w:cs="Times New Roman" w:eastAsia="Times New Roman" w:hAnsi="Times New Roman"/>
          <w:sz w:val="20"/>
          <w:szCs w:val="20"/>
          <w:color w:val="231F20"/>
        </w:rPr>
        <w:t>limitations or warnings contained in the labeling cleared or approved by the FDA or other regulatory authorities or conformity assessment bodies.</w:t>
      </w:r>
    </w:p>
    <w:p>
      <w:pPr>
        <w:spacing w:after="0" w:line="5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Additionally, even if our diagnostic tests achieve widespread market acceptance, they may not maintain that market acceptance over time if competing diagnostic tests or technologies, which are more cost effective or are received more favorably, are introduced. Failure to achieve or maintain market acceptance and/or market share would limit our ability to generate revenue and would have a material adverse effect on our business, financial condition and results of operations.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25</w:t>
      </w:r>
    </w:p>
    <w:p>
      <w:pPr>
        <w:sectPr>
          <w:pgSz w:w="11880" w:h="15480" w:orient="portrait"/>
          <w:cols w:equalWidth="0" w:num="1">
            <w:col w:w="10800"/>
          </w:cols>
          <w:pgMar w:left="540" w:top="746" w:right="54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encounter difficulties in managing our growth, which could disrupt our operations.</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As of December 31, 2025, we had approximately 334 full and part-time employees. Over the next several years, we expect to continue to significantly increase the number of our employees and the scope of our operations, particularly in the areas of sales, marketing and reimbursement, product development, regulatory affairs and other functional areas, including finance, accounting, quality and legal. Additionally, we expect to expand our testing capacity as we commercialize additional diagnostic tests. To manage our anticipated future growth, we must continue to implement and improve our managerial, operational quality and financial systems, expand our facilities and continue to recruit and train additional qualified personnel. Due to our limited financial resources, we may not be able to manage the expansion of our operations or recruit and train additional qualified personnel in an effective manner. Any inability to manage growth could delay the execution of our business plans or disrupt our operations and have a material and adverse effect on our business, financial condition, and results of operations.</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Since our inception, we have experienced multiple cycles of growth and anticipate further growth in our business operations. This future growth could put strain on our organizational, administrative and operational infrastructure, including laboratory operations, quality control, customer service and sales organization management. We expect to continue to increase headcount and to hire more specialized personnel in the future as we grow our business. We will need to continue to hire, train and manage additional qualified scientists, laboratory personnel, client and account services personnel, and sales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may be harmed.</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may not be able to maintain the quality or expected turnaround times of our diagnostic tests and services, or satisfy customer demand as it grows. Our ability to manage our growth properly will require us to continue to improve our operational, financial and management controls, as well as our reporting systems and procedures. The time and resources required to implement these new systems and procedures is uncertain, and failure to complete this in a timely and efficient manner could materially adversely affect our operations. Additionally, if we are required to reduce expenses substantially to sustain our operations, we may not have the human resources to maintain growth in our business operations.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fail to retain sales and marketing personnel and, as we grow, fail to increase our sales and marketing capabilities or develop broad awareness of our diagnostic tests in a cost-effective manner, we may not be able to generate revenue growth.</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currently rely on our direct sales force to sell our diagnostic tests in the United States, and any failure to maintain and grow our direct sales force will negatively affect our business, financial condition and results of operations. The members of our direct sales force are highly trained and possess substantial technical expertise, which we believe is critical in increasing adoption of our diagnostic tests. The members of our United States sales force are at- will employees. The loss of these personnel to competitors, or otherwise, will negatively affect our business, financial condition and results of operations. If we are unable to retain our direct sales force personnel or replace them with individuals of equivalent technical expertise and qualifications, or if we are unable to successfully instill such technical expertise in replacement personnel, it may negatively affect our business, financial condition and results of operations.</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In order to generate future growth, we plan to continue to expand and leverage our sales and marketing infrastructure. Identifying and recruiting qualified sales and marketing personnel and training them on how to promote our diagnostic tests, on applicable federal and state laws and regulations and on our internal policies and procedures requires significant time, expense and attention. It often takes several months or more before a sales representative is fully trained and productive. Our sales force may subject us to higher fixed costs than those of companies with competing techniques or diagnostic tests that utilize independent third parties, which could place us at a competitive disadvantage. It will negatively affect our business, financial condition and results of operations if our efforts to expand and train our sales force do not generate a corresponding increase in revenue, and our higher fixed costs may slow our ability to reduce costs in the face of a sudden decline in demand for our diagnostic tests. Any failure to hire, develop and retain talented sales personnel, to achieve desired productivity levels in a reasonable period of time, or timely reduce fixed costs, could negatively affect our business, financial condition and results of operations. Our ability to increase our customer base and achieve broader market acceptance of our diagnostic tests will depend to a significant extent on our ability to expand our marketing efforts. We plan to dedicate significant resources to our marketing programs. It will negatively affect our business, financial condition and results of operations if our marketing efforts and expenditures do not generate a corresponding increase in revenue. In addition, we believe that developing and maintaining broad awareness of our diagnostic tests in a cost-effective manner is critical to achieving broad acceptance of our diagnostic tests. Promotion activities may not generate patient or physician awareness or increase revenue, and even if they do, any increase in revenue may not offset the costs and expenses we incur in building our brand. If we fail to successfully promote, maintain and protect our brand, we may fail to attract or retain the physician acceptance necessary to realize a sufficient return on our brand building efforts, or to achieve the level of brand awareness that is critical for broad use of our diagnostic tests, which in turn could have a material adverse effect on our business, financial condition and results of operations.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26</w:t>
      </w:r>
    </w:p>
    <w:p>
      <w:pPr>
        <w:sectPr>
          <w:pgSz w:w="11880" w:h="15480" w:orient="portrait"/>
          <w:cols w:equalWidth="0" w:num="1">
            <w:col w:w="10800"/>
          </w:cols>
          <w:pgMar w:left="540" w:top="750" w:right="540" w:bottom="0" w:gutter="0" w:footer="0" w:header="0"/>
          <w:type w:val="continuous"/>
        </w:sectPr>
      </w:pPr>
    </w:p>
    <w:bookmarkStart w:id="28" w:name="page29"/>
    <w:bookmarkEnd w:id="28"/>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we cannot maintain our current relationships, or enter into new relationships, with biopharmaceutical companies, our revenue prospects could be reduced.</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collaborate with biopharmaceutical companies to analyze patient samples for multiple applications primarily to support clinical trials, including patient identification, companion or complementary diagnostics and retrospective testing. The revenue attributable to our biopharmaceutical customers may also fluctuate in the future, which could have a material adverse effect on our financial condition and results of operations. In addition, the termination of these relationships could result in a temporary or permanent loss of revenue.</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Our future success depends in part on our ability to maintain these relationships and to establish new relationships. Many factors have the potential to impact such collaborations, including the type of biomarker support required and our ability to deliver it and our biopharmaceutical customers’ satisfaction with our tests or services and other factors that may be beyond our control. Furthermore, our biopharmaceutical customers may decide to decrease or discontinue their use of our tests due to changes in research and product development plans, failures in their clinical trials, financial constraints, or utilization of internal testing resources or tests performed by other parties, or other circumstances outside of our control. In addition to reducing our revenue, the loss of one or more of these relationships may reduce our exposure to research and clinical trials that facilitate the collection and incorporation of new information into our biobank.</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engage in conversations with biopharmaceutical companies regarding potential commercial opportunities on an ongoing basis. There is no assurance that any of these conversations will result in a commercial agreement, or if an agreement is reached, that the resulting relationship will be successful or that clinical or research studies conducted as part of the engagement will produce successful outcomes. Speculation in the industry about our existing or potential relationships with biopharmaceutical companies can also be a catalyst for adverse speculation about us, our tests and our technology, which can adversely affect our reputation and our business.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operating results may fluctuate significantly, which makes our future operating results difficult to predict and could cause our operating results to fall below expectations or any guidance we may provide.</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Our quarterly and annual revenue and operating results may fluctuate significantly, which makes it difficult for us to predict our future operating results. Our quarterly and annual operating results may fluctuate as a result of a variety of factors, many of which are outside our control and, as a result, may not fully reflect the underlying performance of our business. These fluctuations may occur due to a variety of factors, including, but not limited to:</w:t>
      </w:r>
    </w:p>
    <w:p>
      <w:pPr>
        <w:spacing w:after="0" w:line="88" w:lineRule="exact"/>
        <w:rPr>
          <w:sz w:val="20"/>
          <w:szCs w:val="20"/>
          <w:color w:val="auto"/>
        </w:rPr>
      </w:pPr>
    </w:p>
    <w:p>
      <w:pPr>
        <w:ind w:left="840" w:hanging="350"/>
        <w:spacing w:after="0"/>
        <w:tabs>
          <w:tab w:leader="none" w:pos="84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level of demand for our diagnostic tests, which may vary significantly;</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cost of manufacturing our diagnostic tests, which may vary depending on the quantity of production and the terms of our agreements with third-party suppliers and manufacturers;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expenditures that we may incur to acquire, develop, or commercialize additional tests and technologies;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unanticipated pricing pressures;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rate at which we grow our sales force and the speed at which newly hired salespeople become effective, and the cost and level of investment therein;</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degree of competition in our industry and any change in the competitive landscape of our industry, including consolidation among our competitors or future partners;</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coverage and reimbursement policies with respect to lung cancer treatment equipment, and potential future diagnostic tests that compete with our diagnostic tests;</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success or failure of clinical trials for our diagnostic tests or any enhancements to such tests we develop or competing diagnostic tests;</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positive or negative coverage, or public perception, of our diagnostic tests or those of our competitors or broader industry trends;</w:t>
      </w:r>
    </w:p>
    <w:p>
      <w:pPr>
        <w:spacing w:after="0" w:line="64" w:lineRule="exact"/>
        <w:rPr>
          <w:rFonts w:ascii="Arial" w:cs="Arial" w:eastAsia="Arial" w:hAnsi="Arial"/>
          <w:sz w:val="20"/>
          <w:szCs w:val="20"/>
          <w:color w:val="231F20"/>
        </w:rPr>
      </w:pPr>
    </w:p>
    <w:p>
      <w:pPr>
        <w:jc w:val="both"/>
        <w:ind w:left="860" w:hanging="370"/>
        <w:spacing w:after="0" w:line="258" w:lineRule="auto"/>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cost of, and level of investment in, research, development, licenses, regulatory approval, conformity certification, commercialization activities, acquisitions and other strategic transactions, or other significant events relating to our diagnostic tests, which may change from time to time;</w:t>
      </w:r>
    </w:p>
    <w:p>
      <w:pPr>
        <w:spacing w:after="0" w:line="81"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the timing and cost of obtaining regulatory approvals, conformity certifications or clearances for planned or future improvements or enhancements to our diagnostic tests;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regulatory requirements or in the status of regulatory approvals or applications or conformity certifications;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6"/>
        </w:numPr>
        <w:rPr>
          <w:rFonts w:ascii="Arial" w:cs="Arial" w:eastAsia="Arial" w:hAnsi="Arial"/>
          <w:sz w:val="20"/>
          <w:szCs w:val="20"/>
          <w:color w:val="231F20"/>
        </w:rPr>
      </w:pPr>
      <w:r>
        <w:rPr>
          <w:rFonts w:ascii="Times New Roman" w:cs="Times New Roman" w:eastAsia="Times New Roman" w:hAnsi="Times New Roman"/>
          <w:sz w:val="20"/>
          <w:szCs w:val="20"/>
          <w:color w:val="231F20"/>
        </w:rPr>
        <w:t>pricing, discounts, and incentives for our diagnostic tests;</w:t>
      </w:r>
    </w:p>
    <w:p>
      <w:pPr>
        <w:sectPr>
          <w:pgSz w:w="11880" w:h="15480" w:orient="portrait"/>
          <w:cols w:equalWidth="0" w:num="1">
            <w:col w:w="10800"/>
          </w:cols>
          <w:pgMar w:left="540" w:top="750" w:right="540" w:bottom="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27</w:t>
      </w:r>
    </w:p>
    <w:p>
      <w:pPr>
        <w:sectPr>
          <w:pgSz w:w="11880" w:h="15480" w:orient="portrait"/>
          <w:cols w:equalWidth="0" w:num="1">
            <w:col w:w="10800"/>
          </w:cols>
          <w:pgMar w:left="540" w:top="750" w:right="540" w:bottom="0" w:gutter="0" w:footer="0" w:header="0"/>
          <w:type w:val="continuous"/>
        </w:sectPr>
      </w:pPr>
    </w:p>
    <w:bookmarkStart w:id="29" w:name="page30"/>
    <w:bookmarkEnd w:id="29"/>
    <w:p>
      <w:pPr>
        <w:ind w:left="860" w:hanging="370"/>
        <w:spacing w:after="0"/>
        <w:tabs>
          <w:tab w:leader="none" w:pos="86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future accounting pronouncements or changes in our accounting policies; and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7"/>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market conditions.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cumulative effects of these factors has resulted in large fluctuations and unpredictability in our quarterly and annual financial results. As a result, comparing our operating results on a period-to-period basis may not be meaningful. Further, our historical results are not necessarily indicative of results expected for any future period, and quarterly results are not necessarily indicative of the results to be expected for the full year or any other period, and accordingly should not be relied upon as indicative of future performance.</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This variability and unpredictability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any publicly stated guidance we may provide, and could in turn negatively impact our business, financial condition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need to ensure strong product performance and reliability to maintain and grow our business</w:t>
      </w:r>
      <w:r>
        <w:rPr>
          <w:rFonts w:ascii="Times New Roman" w:cs="Times New Roman" w:eastAsia="Times New Roman" w:hAnsi="Times New Roman"/>
          <w:sz w:val="20"/>
          <w:szCs w:val="20"/>
          <w:i w:val="1"/>
          <w:iCs w:val="1"/>
          <w:color w:val="231F20"/>
        </w:rPr>
        <w:t>.</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need to maintain and continuously improve the performance and reliability of our diagnostic tests to achieve our profitability objectives. Poor product performance and reliability could lead to customer dissatisfaction, adversely affect our reputation and revenues, and increase our service and distribution costs and working capital requirements. Our diagnostic tests may contain errors or defects, and while we have made efforts to test them extensively, we cannot assure that our current diagnostic tests, or those developed in the future, will not have performance problems. Performance issues with our diagnostic tests will increase our costs in the near-term and accordingly adversely affect our business, financial condition and results of operations.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depend upon third-party suppliers, including single source suppliers, making us vulnerable to supply problems and price fluctuations.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rely on third-party suppliers to provide certain components of our diagnostic tests, including a select few (located in the United States, Europe and China), as critical single source providers of components. Bio-Rad, as described below, is the sole source supplier for our GeneStrat test. Freenome is also the sole source supplier for our Nodify CDT tests but there are known secondary suppliers for these materials. While we have initiated the second source qualification process for the majority of these critical components, we may not be successful in securing second sourcing for all of them at all or on a timely basis.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Many of our suppliers are not obligated to perform services or supply diagnostic testing materials for any specific period, in any specific quantity or at any specific price, except as may be provided in a particular purchase order. We depend on our suppliers and to provide us and our customers with materials in a timely manner that meet our and their quality, quantity and cost requirements. These suppliers may encounter problems during manufacturing for a variety of reasons, any of which could delay or impede their ability to meet our demand. These suppliers may cease producing the components we purchase from them or otherwise decide to cease doing business with us. Further, we maintain limited volumes of inventory from most of our suppliers. If we inaccurately forecast demand for finished goods, we may be unable to meet customer demand which could harm our competitive position and reputation. In addition, if we fail to effectively manage our relationships, we may be required to change suppliers. While we believe replacement suppliers exist for all materials, components and services necessary to manufacture our diagnostic tests, establishing additional or replacement suppliers for any of these materials, components or services, if required, could be time-consuming and expensive, may result in interruptions in our operations and product delivery, may affect the performance of our diagnostic tests or could require that we modify their processes. Even if we are able to find replacement suppliers, we will be required to verify that the new supplier maintains facilities, procedures and operations that comply with our quality expectations and applicable regulatory requirements. Any of these events could require that we obtain a new regulatory authority approval before we implement the change, which we may not obtain on a timely basis or at all.</w:t>
      </w:r>
    </w:p>
    <w:p>
      <w:pPr>
        <w:spacing w:after="0" w:line="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If our third-party suppliers fail to deliver the required commercial quantities of materials on a timely basis and at commercially reasonable prices, and we are unable to find one or more replacement suppliers capable of production at a substantially equivalent cost in substantially equivalent volumes and quality on a timely basis, the continued commercialization of our diagnostic tests, the supply of our diagnostic tests to customers and the development of any future diagnostic tests will be delayed, limited or prevented, which could have material adverse effect on our business, financial condition and results of operations.</w:t>
      </w:r>
    </w:p>
    <w:p>
      <w:pPr>
        <w:spacing w:after="0" w:line="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We entered into a nonexclusive license and supply agreement with Bio-Rad in August 2019. We rely on Bio-Rad to supply equipment and reagents used to perform ddPCR testing, a service offered by us under a variety of fee for service agreements and the core technology powering the GeneStrat test. Under the terms of this arrangement, we were granted non-exclusive rights to utilize the intellectual property, machinery, materials, reagents, supplies and know-how necessary for the performance of ddPCR in cancer detection testing for third parties in the United States. We agreed to purchase all of the necessary supplies and reagents for such testing exclusively from Bio-Rad. For more information regarding this license and supply agreement and the permission granted to us by Bio-Rad with respect to such tests, please see “Business—Material Agreements—Agreements with Bio-Rad” filed with our Form S-1 on October 23, 2020 and “First Amendment to the Non-Exclusive License Agreement between Bio-Rad Laboratories, Inc., and Biodesix, Inc., dated May 24, 2021” filed with our Form 10-Q on August 10, 2021.</w:t>
      </w:r>
    </w:p>
    <w:p>
      <w:pPr>
        <w:sectPr>
          <w:pgSz w:w="11880" w:h="15480" w:orient="portrait"/>
          <w:cols w:equalWidth="0" w:num="1">
            <w:col w:w="10800"/>
          </w:cols>
          <w:pgMar w:left="540" w:top="764" w:right="540" w:bottom="0" w:gutter="0" w:footer="0" w:header="0"/>
        </w:sect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28</w:t>
      </w:r>
    </w:p>
    <w:p>
      <w:pPr>
        <w:sectPr>
          <w:pgSz w:w="11880" w:h="15480" w:orient="portrait"/>
          <w:cols w:equalWidth="0" w:num="1">
            <w:col w:w="10800"/>
          </w:cols>
          <w:pgMar w:left="540" w:top="764" w:right="540" w:bottom="0" w:gutter="0" w:footer="0" w:header="0"/>
          <w:type w:val="continuous"/>
        </w:sectPr>
      </w:pPr>
    </w:p>
    <w:bookmarkStart w:id="30" w:name="page31"/>
    <w:bookmarkEnd w:id="30"/>
    <w:p>
      <w:pPr>
        <w:jc w:val="both"/>
        <w:spacing w:after="0" w:line="249" w:lineRule="auto"/>
        <w:rPr>
          <w:sz w:val="20"/>
          <w:szCs w:val="20"/>
          <w:color w:val="auto"/>
        </w:rPr>
      </w:pPr>
      <w:r>
        <w:rPr>
          <w:rFonts w:ascii="Times New Roman" w:cs="Times New Roman" w:eastAsia="Times New Roman" w:hAnsi="Times New Roman"/>
          <w:sz w:val="20"/>
          <w:szCs w:val="20"/>
          <w:color w:val="231F20"/>
        </w:rPr>
        <w:t>This relationship may require us to incur non-recurring and other charges, increase our near and long-term expenditures, issue securities that dilute our existing stockholders or disrupt our management and business. We cannot be certain that, following the realization of this relationship, we will achieve the revenue or specific net income that justifies our entry into it. Any termination of this relationship, or delays in entering into new strategic partnership agreements with Bio-Rad, could delay our sales and marketing efforts, which would harm our business prospects, financial condition and results of operations.</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not be able to sufficiently reduce costs in the performance, manufacturing and production of our diagnostic tests to achieve sustainable gross margins.</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partner with suppliers in the development and production of supplies for our diagnostic tests. While we are undertaking a number of initiatives designed to reduce the cost of performing our diagnostic tests, including reducing the costs of supplies, there is no guarantee that we will be able to achieve planned cost reductions from our various cost savings initiatives. There may also be unforeseen occurrences that increase our costs, such as increased prices of the components of our diagnostic tests, changes to labor costs or less favorable terms with third -party suppliers. If we are unable to reduce our costs, or if cost reductions are less significant or less timely than projected, we will not be able to achieve sustainable gross margins, which would adversely affect our ability to invest in and grow our business and adversely impact our business, financial condition and results of operations.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Natural or man-made disasters and other similar events may significantly disrupt our business, and negatively impact our business, financial condition and results of operations.</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A significant portion of our employee base, operating facilities and infrastructure are centralized in Louisville, Colorado and we operate a laboratory facility in De Soto, Kansas. Any of our facilities may be harmed or rendered inoperable by natural or man-made disasters, including earthquakes, wildfires, floods, nuclear disasters, riots, acts of terrorism, government shutdowns or other criminal activities, infectious disease outbreaks or pandemic events power outages and other infrastructure failures, which may render it difficult or impossible for us to operate our business for some period of time. Our facilities would likely be costly to repair or replace, and any such efforts would likely require substantial time. Any disruptions in our operations could adversely affect our business, financial condition and results of operations and harm our reputation. Moreover, although we have disaster recovery plans, they may prove inadequate. We may not carry sufficient business insurance to compensate for losses that may occur. Any such losses or damages could have a material adverse effect on our business, financial condition and results of operations. In addition, the facilities of our suppliers and manufacturers may be harmed or rendered inoperable by such natural or man-made disasters, which may cause disruptions, difficulties or otherwise materially and adversely affect our business.</w:t>
      </w:r>
    </w:p>
    <w:p>
      <w:pPr>
        <w:spacing w:after="0" w:line="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Enhanced U.S. tariffs, import/export restrictions or other trade barriers may have a negative effect on global economic conditions, financial markets and our business.</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There is currently significant uncertainty about the future relationship between the U.S. and various other countries with respect to trade policies, treaties, tariffs and taxes. Current or future tariffs imposed by the U.S. may negatively impact our business. During 2025, the U.S. presidential administration has threatened and imposed significant tariffs on imports from various countries, and has indicated that additional tariffs may be imposed in the future. In response, some of these countries have announced or imposed tariffs on imports from the U.S. The duration for which enacted tariffs will be in place remain uncertain and protracted trade disputes could lead to economic decline, which could negatively impact our results of operations.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Any failure to offer high-quality support for our diagnostic tests and services may adversely affect our relationships with providers and negatively impact our reputation among patients and providers, which may adversely affect our business, financial condition and results of operations.</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implementing and using our diagnostic tests and services, providers depend on our support to resolve issues in a timely manner. We may be unable to respond quickly enough to accommodate short-term increases in demand for customer support. Increased customer demand for support could increase costs and adversely affect our business, financial condition and results of operations. Our sales are highly dependent on our reputation and on positive recommendations from our existing patients, care partners, providers and clinics. Any failure to maintain high-quality customer support, or a market perception that we do not maintain high-quality customer support, could adversely affect our reputation, our ability to sell our diagnostic tests and services, and in turn our business, financial condition and results of operations.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sizes of the markets for our diagnostic tests and services and any future diagnostic tests and services may be smaller than we estimate and may decline.</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estimates of the annual total addressable market for our diagnostic tests and services are based on a number of internal and third-party estimates and assumptions, including, without limitation, the assumed prices at which we can sell our diagnostic tests and services in the market.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29</w:t>
      </w:r>
    </w:p>
    <w:p>
      <w:pPr>
        <w:sectPr>
          <w:pgSz w:w="11880" w:h="15480" w:orient="portrait"/>
          <w:cols w:equalWidth="0" w:num="1">
            <w:col w:w="10800"/>
          </w:cols>
          <w:pgMar w:left="540" w:top="750" w:right="540" w:bottom="0" w:gutter="0" w:footer="0" w:header="0"/>
          <w:type w:val="continuous"/>
        </w:sectPr>
      </w:pPr>
    </w:p>
    <w:bookmarkStart w:id="31" w:name="page32"/>
    <w:bookmarkEnd w:id="31"/>
    <w:p>
      <w:pPr>
        <w:jc w:val="both"/>
        <w:spacing w:after="0" w:line="252" w:lineRule="auto"/>
        <w:rPr>
          <w:sz w:val="20"/>
          <w:szCs w:val="20"/>
          <w:color w:val="auto"/>
        </w:rPr>
      </w:pPr>
      <w:r>
        <w:rPr>
          <w:rFonts w:ascii="Times New Roman" w:cs="Times New Roman" w:eastAsia="Times New Roman" w:hAnsi="Times New Roman"/>
          <w:sz w:val="20"/>
          <w:szCs w:val="20"/>
          <w:color w:val="231F20"/>
        </w:rPr>
        <w:t>As a result, our estimates of the annual total addressable market for our diagnostic tests and services in different market segments may prove to be incorrect. If the actual number of patients who would benefit from our diagnostic tests, the price at which we can sell them or the annual total addressable market for them is smaller than we have estimated, it may impair our sales growth and negatively affect our business, financial condition and results of operations.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industry is subject to rapid change, which could make our solutions and the diagnostic tests we develop and services we offer, obsolete. If we are unable to continue to innovate and improve our diagnostic tests and services we offer, we could lose customers or market share.</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Our industry is characterized by rapid changes, including technological and scientific breakthroughs, frequent new product introductions and enhancements and evolving industry standards, all of which could make our current diagnostic tests and others we are developing obsolete. Our future success will depend on our ability to keep pace with the evolving needs of our customers on a timely and cost-effective basis and to pursue new market opportunities that develop as a result of scientific and technological advances. In recent years, there have been numerous advances in technologies relating to the diagnosis and treatment of cancer. There have also been advances in methods used to analyze very large amounts of molecular information. We must continuously enhance our offerings and develop new and improved diagnostic tests to keep pace with evolving standards of care. If we do not leverage or scale our sample and data biobank to discover new diagnostic tests or applications or update our diagnostic tests to reflect new scientific knowledge, including about lung cancer biology, information about new cancer therapies or relevant clinical trials, our diagnostic tests could become obsolete and sales of our current diagnostic tests and any new tests we develop could decline or fail to grow as expected. This failure to make continuous improvements to our diagnostic tests to keep ahead of those of our competitors could result in the loss of customers or market share that would adversely affect our business, financial condition and results of operations.</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connection with various facets of our business, we collect and use a variety of personal data, such as names, mailing addresses, email addresses, mobile phone numbers, location information, prescription information and other medical information. Any failure to prevent or mitigate security breaches or improper access to, use, disclosure or other misappropriation of our data or consumers’ personal data could result in significant liability under state, (e.g., state breach notification and privacy laws such as the CCPA) federal (e.g., HIPAA), and the HITECH Act and laws in other jurisdictions (e.g., the GDPR). Such an incident may also cause a material loss of revenue from the potential adverse impact to our reputation and brand, affect our ability to retain or attract new users of our diagnostic tests and services and potentially disrupt our business.</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Unauthorized disclosure of sensitive or confidential patient or employee data, including personally identifiable information, whether through a breach of computer systems, systems failure, employee negligence, fraud or misappropriation, or otherwise, or unauthorized access to or through our information systems and networks, whether by our employees or third parties, could result in negative publicity, legal liability and damage to our reputation. Unauthorized disclosure of personally identifiable information could also expose us to sanctions for violations of data privacy laws and regulations around the world. To the extent that any disruption or security breach resulted in a loss of or damage to our data or applications, or inappropriate disclosure of confidential or proprietary information, we could incur liability and the further development of our product candidates could be delayed. For example, the loss of or damage to clinical trial data, such as from completed or ongoing clinical trials, for any of our product candidates would likely result in delays in our marketing approval efforts and significantly increased costs in an effort to recover or reproduce the data.</w:t>
      </w:r>
    </w:p>
    <w:p>
      <w:pPr>
        <w:spacing w:after="0" w:line="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As we become more dependent on information technologies to conduct our operations, cyber incidents, including deliberate attacks and attempts to gain unauthorized access to computer systems and networks, may increase in frequency and sophistication. These threats pose a risk to the security of our systems and networks, the confidentiality and the availability and integrity of our data and these risks apply both to us, and to third parties on whose systems we rely for the conduct of our business. Because the techniques used to obtain unauthorized access, disable or degrade service or sabotage systems change frequently and often are not recognized until launched against a target, we and our partners may be unable to anticipate these techniques or to implement adequate preventative measures. We have in the past experienced, and may in the future, experience security incidents. While no security incidents in the past have had a material adverse effect on our business, financial condition and results of operations, we cannot predict the impact of any such future events. Further, we do not have any control over the operations of the facilities or technology of our cloud and service providers, including any third-party vendors that collect, process and store personal data on our behalf. Our systems, servers and platforms and those of our service providers may be vulnerable to computer viruses or physical or electronic break-ins that our or their security measures may not detect. Individuals able to circumvent such security measures may misappropriate our confidential or proprietary information, disrupt our operations, damage our computers or otherwise impair our reputation and business. We may need to expend significant resources and make significant capital investments to protect against security breaches or to mitigate the impact of any such breaches. In addition, to the extent that our cloud and other service providers, experience security breaches that result in the unauthorized or improper use of confidential data, employee data or personal data, we may not be indemnified for any losses resulting from such breaches. There can be no assurance that we or our third-party providers will be successful in preventing cyber-attacks or successfully mitigating their effects. Recent cyber-attacks purportedly originated by Russian controlled entities have exacerbated in the wake of Russia’s invasion of Ukraine and our systems may be infiltrated by foreign</w:t>
      </w:r>
    </w:p>
    <w:p>
      <w:pPr>
        <w:sectPr>
          <w:pgSz w:w="11880" w:h="15480" w:orient="portrait"/>
          <w:cols w:equalWidth="0" w:num="1">
            <w:col w:w="10800"/>
          </w:cols>
          <w:pgMar w:left="540" w:top="750" w:right="540" w:bottom="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30</w:t>
      </w:r>
    </w:p>
    <w:p>
      <w:pPr>
        <w:sectPr>
          <w:pgSz w:w="11880" w:h="15480" w:orient="portrait"/>
          <w:cols w:equalWidth="0" w:num="1">
            <w:col w:w="10800"/>
          </w:cols>
          <w:pgMar w:left="540" w:top="750" w:right="540" w:bottom="0" w:gutter="0" w:footer="0" w:header="0"/>
          <w:type w:val="continuous"/>
        </w:sectPr>
      </w:pPr>
    </w:p>
    <w:bookmarkStart w:id="32" w:name="page33"/>
    <w:bookmarkEnd w:id="32"/>
    <w:p>
      <w:pPr>
        <w:jc w:val="both"/>
        <w:spacing w:after="0" w:line="258" w:lineRule="auto"/>
        <w:rPr>
          <w:sz w:val="20"/>
          <w:szCs w:val="20"/>
          <w:color w:val="auto"/>
        </w:rPr>
      </w:pPr>
      <w:r>
        <w:rPr>
          <w:rFonts w:ascii="Times New Roman" w:cs="Times New Roman" w:eastAsia="Times New Roman" w:hAnsi="Times New Roman"/>
          <w:sz w:val="20"/>
          <w:szCs w:val="20"/>
          <w:color w:val="231F20"/>
        </w:rPr>
        <w:t>actors. If we are unable to prevent or mitigate the impact of such security breaches, our ability to attract and retain new customers, patients and other partners could be harmed as they may be reluctant to entrust their data to us, and we could be exposed to litigation and governmental investigations, which could lead to a potential disruption to our business or other adverse consequences.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have significant payer concentration, with a limited number of customers accounting for a substantial portion of our revenues.</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For the years ended December 31, 2025 and 2024, Medicare reimbursed 32% and 39%, respectively, of our total revenue to us. There are risks whenever a large percentage of total revenues are concentrated with a limited number of payers and customers. It is not possible for us to predict the level of demand for our diagnostic tests and services that will be generated by any of these customers in the future. In addition, revenues from these larger customers may fluctuate from time to time based on these customers’ business needs, the timing of which may be affected by market conditions or other factors outside of our control. These payers and customers could also potentially pressure us to reduce the prices we charge for our diagnostic tests and services, which could have an adverse effect on our margins and financial position and could negatively affect our revenues and results of operations. If any of our largest payers terminates its relationship with us or our tests are no longer reimbursable by such payer, such termination could negatively affect our revenues and results of operations.</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results of operations will be materially harmed if we are unable to accurately forecast customer demand for, and utilization of, our diagnostic tests and manage our inventory.</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To ensure adequate inventory supply, we must forecast inventory needs and manufacture our diagnostic tests based on our estimates of future demand for our diagnostic tests. Our ability to accurately forecast demand for them could be negatively affected by many factors, including our failure to accurately manage our expansion strategy, product introductions by competitors, an increase or decrease in customer demand for our diagnostic tests or for those of our competitors, our failure to accurately forecast customer acceptance of new diagnostic tests, unanticipated changes in general market conditions or regulatory matters and weakening of economic conditions or consumer confidence in future economic conditions. Inventory levels in excess of customer demand may result in inventory write-downs or write -offs, which would cause our gross margin to be adversely affected and could impair the strength of our brand. Conversely, if we underestimate customer demand for our diagnostic tests, our supply chain partners and/or internal manufacturing team may not be able to deliver components and diagnostic tests to meet our requirements, and this could result in damage to our reputation, sales growth and customer relationships. In addition, if we experience a significant increase in demand, additional supplies of raw materials or additional manufacturing capacity may not be available when required on terms that are acceptable to us, or at all, or suppliers may not be able to allocate sufficient capacity in order to meet our increased requirements, which will adversely affect our business, financial condition and results of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we experience significant disruptions in our information technology systems, our business may be adversely affected.</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We depend on our information technology systems for the efficient functioning of our business, including the performance, distribution and maintenance of our diagnostic tests and services, as well as for accounting, data storage, compliance, purchasing and inventory management. We do not have redundant information technology in all aspects of our systems at this time. Our information technology systems may be subject to computer viruses, ransomware or other malware, attacks by computer hackers, failures during the process of upgrading or replacing software, databases or components thereof, power outages, damage or interruption from fires or other natural disasters, hardware failures, telecommunication failures and user errors, among other malfunctions. We could be subject to an unintentional event that involves a third party gaining unauthorized access to our systems, which could disrupt our operations, corrupt our data or result in release of our confidential information. Technological interruptions would disrupt our operations, including our ability to timely ship and track diagnostic test orders and results, project inventory requirements, manage our supply chain and otherwise adequately service our customers or disrupt our customers’ ability to use our diagnostic tests. In the event we experience significant disruptions, we may be unable to repair our systems in an efficient and timely manner. Accordingly, such events may disrupt or reduce the efficiency of our entire operation and have a material adverse effect on our business, financial condition and results of operations.</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Currently, we carry business interruption coverage to mitigate certain potential losses but this insurance is limited in amount, and we cannot be certain that such potential losses will not exceed our policy limits. The successful assertion of one or more large claims against us that exceed or are not covered by our insurance coverage or changes in our insurance policies, including premium increases or the imposition of large deductible or co-insurance requirements, could have a material adverse effect on our business, financial condition and results of operations. We are increasingly dependent on complex information technology to manage our infrastructure. Our information systems require an ongoing commitment of significant resources to maintain, protect and enhance our existing systems. Failure to maintain or protect our information systems and data integrity effectively could have a material adverse effect on our business, financial condition and results of operations.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31</w:t>
      </w:r>
    </w:p>
    <w:p>
      <w:pPr>
        <w:sectPr>
          <w:pgSz w:w="11880" w:h="15480" w:orient="portrait"/>
          <w:cols w:equalWidth="0" w:num="1">
            <w:col w:w="10800"/>
          </w:cols>
          <w:pgMar w:left="540" w:top="750" w:right="540" w:bottom="0" w:gutter="0" w:footer="0" w:header="0"/>
          <w:type w:val="continuous"/>
        </w:sectPr>
      </w:pPr>
    </w:p>
    <w:bookmarkStart w:id="33" w:name="page34"/>
    <w:bookmarkEnd w:id="33"/>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product liability lawsuits are brought against us, we may incur substantial liabilities and may be required to limit or halt the marketing and sale of our diagnostic tests and services. The expense and potential unavailability of insurance coverage for liabilities resulting from issues with our diagnostic tests and services could harm us and negatively impact sales.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We face an inherent risk of product liability as a result of the marketing and sale of our diagnostic tests and services. For example, we may be sued if our diagnostic tests or services cause or are perceived to cause injury or are found to be otherwise unsuitable during manufacturing, marketing or sale. Any such product liability claim may include allegations of defects in manufacturing, defects in design, a failure to warn of dangers inherent in the product, negligence, strict liability or a breach of warranties. In addition, we may be subject to claims against us even if the apparent injury is due to the actions of others or the pre- existing health of the patient. For example, medical personnel, care partners and patients collect samples for our diagnostic tests. If these medical personnel, care partners or patients are not properly trained, are negligent or use our diagnostic tests incorrectly, the capabilities of such tests may be diminished or the patient may suffer critical injury. We may also be subject to claims that are caused by the activities of our suppliers, such as those who provide us with components and sub-assemblies for our diagnostic tests.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If we cannot successfully defend ourselves against product liability claims, we may incur substantial liabilities or be required to limit or halt the marketing and sale of our diagnostic tests and services. Even successful defense would require significant financial and management resources. Regardless of the merits or eventual outcome, liability claims may result in:</w:t>
      </w:r>
    </w:p>
    <w:p>
      <w:pPr>
        <w:spacing w:after="0" w:line="83" w:lineRule="exact"/>
        <w:rPr>
          <w:sz w:val="20"/>
          <w:szCs w:val="20"/>
          <w:color w:val="auto"/>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decreased demand for our diagnostic tests and services;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harm to our reputation;</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initiation of investigations by regulators;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to defend the related litigation;</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a diversion of management’s time and our resources;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substantial monetary awards to trial participants or patients;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recalls, withdrawals, or labeling, marketing, or promotional restrictions;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loss of revenue;</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impact on the market price of our common stock; and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8"/>
        </w:numPr>
        <w:rPr>
          <w:rFonts w:ascii="Arial" w:cs="Arial" w:eastAsia="Arial" w:hAnsi="Arial"/>
          <w:sz w:val="20"/>
          <w:szCs w:val="20"/>
          <w:color w:val="231F20"/>
        </w:rPr>
      </w:pPr>
      <w:r>
        <w:rPr>
          <w:rFonts w:ascii="Times New Roman" w:cs="Times New Roman" w:eastAsia="Times New Roman" w:hAnsi="Times New Roman"/>
          <w:sz w:val="20"/>
          <w:szCs w:val="20"/>
          <w:color w:val="231F20"/>
        </w:rPr>
        <w:t>exhaustion of any available insurance and our capital resources.</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We believe we have adequate product liability insurance, but it may not prove to be adequate to cover all liabilities that we may incur. Insurance coverage is increasingly expensive and costs may continue to rise. We may not be able to maintain or obtain insurance at a reasonable cost or in an amount adequate to satisfy any liability that may arise. Our insurance policy contains various exclusions, and we may be subject to a product liability claim for which we have no coverage. The potential inability to obtain sufficient product liability insurance at an acceptable cost to protect against product liability claims could prevent or inhibit the marketing and sale of our diagnostic tests and services. We may have to pay any amounts awarded by a court or negotiated in a settlement that exceed our coverage limitations or that are not covered by our insurance, and we may not have, or be able to obtain, sufficient capital to pay such amounts, which would have a material adverse effect on our business, financial condition and results of operations. In addition, any product liability claims brought against us, with or without merit, could increase our product liability insurance rates or prevent us from securing continuing coverage, harm our reputation in the industry, significantly increase our expenses and reduce product sales.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face competition from many sources, including larger companies, and we may be unable to compete successfully.</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There are a number of lung cancer diagnostic solutions companies in the United States, Europe and Asia. Notable competitors in the United States include Veracyte, Inc., Guardant Health, Inc. and Foundation Medicine, Inc. These competitors all provide cancer-focused diagnostic tests to hospitals, researchers, clinicians, laboratories and other medical facilities. Many of these organizations are significantly larger with greater financial and personnel resources than us, and enjoy significantly greater market share and have greater resources than we do. As a consequence, they may be able to spend more on product development, marketing, sales and other product initiatives than we can. Some of our competitors have:</w:t>
      </w:r>
    </w:p>
    <w:p>
      <w:pPr>
        <w:spacing w:after="0" w:line="94" w:lineRule="exact"/>
        <w:rPr>
          <w:sz w:val="20"/>
          <w:szCs w:val="20"/>
          <w:color w:val="auto"/>
        </w:rPr>
      </w:pPr>
    </w:p>
    <w:p>
      <w:pPr>
        <w:ind w:left="860" w:hanging="370"/>
        <w:spacing w:after="0"/>
        <w:tabs>
          <w:tab w:leader="none" w:pos="86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substantially greater name recognition;</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broader, deeper, or longer-term relations with healthcare professionals, customers, and third-party payers;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more established distribution networks;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19"/>
        </w:numPr>
        <w:rPr>
          <w:rFonts w:ascii="Arial" w:cs="Arial" w:eastAsia="Arial" w:hAnsi="Arial"/>
          <w:sz w:val="20"/>
          <w:szCs w:val="20"/>
          <w:color w:val="231F20"/>
        </w:rPr>
      </w:pPr>
      <w:r>
        <w:rPr>
          <w:rFonts w:ascii="Times New Roman" w:cs="Times New Roman" w:eastAsia="Times New Roman" w:hAnsi="Times New Roman"/>
          <w:sz w:val="20"/>
          <w:szCs w:val="20"/>
          <w:color w:val="231F20"/>
        </w:rPr>
        <w:t>additional lines of diagnostic tests and the ability to offer rebates or bundle them to offer greater discounts or other incentives to gain a competitive advantage;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32</w:t>
      </w:r>
    </w:p>
    <w:p>
      <w:pPr>
        <w:sectPr>
          <w:pgSz w:w="11880" w:h="15480" w:orient="portrait"/>
          <w:cols w:equalWidth="0" w:num="1">
            <w:col w:w="10800"/>
          </w:cols>
          <w:pgMar w:left="540" w:top="750" w:right="540" w:bottom="0" w:gutter="0" w:footer="0" w:header="0"/>
          <w:type w:val="continuous"/>
        </w:sectPr>
      </w:pPr>
    </w:p>
    <w:bookmarkStart w:id="34" w:name="page35"/>
    <w:bookmarkEnd w:id="34"/>
    <w:p>
      <w:pPr>
        <w:ind w:left="860" w:hanging="370"/>
        <w:spacing w:after="0" w:line="276" w:lineRule="auto"/>
        <w:tabs>
          <w:tab w:leader="none" w:pos="86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greater experience in conducting research and development, manufacturing, clinical trials, marketing and obtaining regulatory clearance or approval or certification for diagnostic tests; and</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20"/>
        </w:numPr>
        <w:rPr>
          <w:rFonts w:ascii="Arial" w:cs="Arial" w:eastAsia="Arial" w:hAnsi="Arial"/>
          <w:sz w:val="20"/>
          <w:szCs w:val="20"/>
          <w:color w:val="231F20"/>
        </w:rPr>
      </w:pPr>
      <w:r>
        <w:rPr>
          <w:rFonts w:ascii="Times New Roman" w:cs="Times New Roman" w:eastAsia="Times New Roman" w:hAnsi="Times New Roman"/>
          <w:sz w:val="20"/>
          <w:szCs w:val="20"/>
          <w:color w:val="231F20"/>
        </w:rPr>
        <w:t>greater financial and human resources for product development, sales and marketing and patent litigation.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continued success depends on our ability to:</w:t>
      </w:r>
    </w:p>
    <w:p>
      <w:pPr>
        <w:spacing w:after="0" w:line="134" w:lineRule="exact"/>
        <w:rPr>
          <w:sz w:val="20"/>
          <w:szCs w:val="20"/>
          <w:color w:val="auto"/>
        </w:rPr>
      </w:pPr>
    </w:p>
    <w:p>
      <w:pPr>
        <w:ind w:left="860" w:hanging="370"/>
        <w:spacing w:after="0"/>
        <w:tabs>
          <w:tab w:leader="none" w:pos="86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further penetrate the lung disease diagnostic solutions market and increase utilization of our diagnostic tests;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maintain and widen our technology lead over competitors by continuing to innovate and deliver new product enhancements on a continuous basis; and</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21"/>
        </w:numPr>
        <w:rPr>
          <w:rFonts w:ascii="Arial" w:cs="Arial" w:eastAsia="Arial" w:hAnsi="Arial"/>
          <w:sz w:val="20"/>
          <w:szCs w:val="20"/>
          <w:color w:val="231F20"/>
        </w:rPr>
      </w:pPr>
      <w:r>
        <w:rPr>
          <w:rFonts w:ascii="Times New Roman" w:cs="Times New Roman" w:eastAsia="Times New Roman" w:hAnsi="Times New Roman"/>
          <w:sz w:val="20"/>
          <w:szCs w:val="20"/>
          <w:color w:val="231F20"/>
        </w:rPr>
        <w:t>cost-effectively manufacture our diagnostic tests and their component parts as well as drive down the cost of service.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In addition, competitors with greater financial resources than ours could acquire other companies to gain enhanced name recognition and market share, as well as new technologies or diagnostic tests that could effectively compete with our existing diagnostic tests, which may cause our revenue to decline and would harm our business.</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competitors also compete with us in recruiting and retaining qualified scientific, management and commercial personnel, as well as in acquiring technologies complementary to, or necessary for, development of our diagnostic tests. Because of the complex and technical nature of diagnostic testing and the dynamic market in which we compete, any failure to attract and retain a sufficient number of qualified employees could materially harm our ability to develop and commercialize our diagnostic tests, which would have a material adverse effect on our business, financial condition and results of operations.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As we attain greater commercial success, our competitors are likely to develop diagnostic tests that offer features and functionality similar to our diagnostic tests that are currently on the market. Improvements in existing competitive diagnostic tests or the introduction of new competitive diagnostic tests may make it more difficult for us to compete for sales, particularly if those competitive diagnostic tests demonstrate better reliability, convenience or effectiveness or are offered at lower prices.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Performance issues, service interruptions or price increases by our shipping carriers and warehousing providers could adversely affect our business and harm our reputation and ability to provide our services on a timely basis.</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Expedited, reliable shipping and delivery services and secure warehousing are essential to our operations. We rely heavily on providers of transport services for reliable and secure point-to-point transport of our diagnostic tests to our customers and for tracking of these shipments, and from time to time require warehousing for our diagnostic tests, sample collection kits and supplies. Should a carrier encounter delivery performance issues such as loss, damage or destruction of any systems, it would be costly to replace such systems in a timely manner and such occurrences may damage our reputation and lead to decreased demand for our diagnostic tests and increased cost and expense to our business. In addition, any significant increase in shipping or warehousing rates could adversely affect our operating margins and results of operations. Similarly, strikes, severe weather, natural disasters, government shutdowns, civil unrest and disturbances or other service interruptions affecting delivery or warehousing services we use would adversely affect our ability to process orders for our diagnostic tests on a timely basis.</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rely on commercial courier delivery services to transport samples to our laboratory facility in a timely and cost-efficient manner and if these delivery services are disrupted, our business will be harmed. Our business depends on our ability to quickly and reliably deliver test results to our customers. Blood samples are typically received within days from the United States and outside the United States for analysis at our Louisville, Colorado and De Soto, Kansas facilities. Disruptions in delivery service, whether due to labor disruptions, bad weather, natural disaster, civil unrest or disturbances, terrorist acts or threats or for other reasons could adversely affect specimen integrity and our ability to process samples in a timely manner and to service our customers, and ultimately our reputation and our business. In addition, if we are unable to continue to obtain expedited delivery services on commercially reasonable terms, our operating results may be adversely affected.</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Cost-containment efforts of our customers, purchasing groups and governmental purchasing organizations could have a material adverse effect on our sales and profitability.</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an effort to reduce costs, many hospitals in the United States have become members of GPOs and Integrated Delivery Networks (IDNs). GPOs and IDNs negotiate pricing arrangements with medical device companies and distributors on behalf of their members, which may include hospitals and other providers. GPOs and IDNs typically award contracts on a category -by-category basis through a competitive bidding process. Bids are generally solicited from multiple providers with the intention of driving down pricing or reducing the number of vendors. Due to the highly competitive nature of the GPO and IDN contracting processes, we may not be able to obtain new, or maintain existing, contract positions with major GPOs and IDNs. Furthermore, the increasing leverage of organized buying groups may reduce market prices for our diagnostic tests, thereby reducing our revenue and margins.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While having a contract with a GPO or IDN for a given product category can facilitate sales to members of that GPO or IDN, such contract positions can offer no assurance that any level of sales will be achieved, as sales are typically made pursuant to individual purchase orders. Even when a provider is the sole contracted supplier of a GPO or IDN for a certain product category, members of the</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33</w:t>
      </w:r>
    </w:p>
    <w:p>
      <w:pPr>
        <w:sectPr>
          <w:pgSz w:w="11880" w:h="15480" w:orient="portrait"/>
          <w:cols w:equalWidth="0" w:num="1">
            <w:col w:w="10800"/>
          </w:cols>
          <w:pgMar w:left="540" w:top="764" w:right="540" w:bottom="0" w:gutter="0" w:footer="0" w:header="0"/>
          <w:type w:val="continuous"/>
        </w:sectPr>
      </w:pPr>
    </w:p>
    <w:bookmarkStart w:id="35" w:name="page36"/>
    <w:bookmarkEnd w:id="35"/>
    <w:p>
      <w:pPr>
        <w:jc w:val="both"/>
        <w:spacing w:after="0" w:line="258" w:lineRule="auto"/>
        <w:rPr>
          <w:sz w:val="20"/>
          <w:szCs w:val="20"/>
          <w:color w:val="auto"/>
        </w:rPr>
      </w:pPr>
      <w:r>
        <w:rPr>
          <w:rFonts w:ascii="Times New Roman" w:cs="Times New Roman" w:eastAsia="Times New Roman" w:hAnsi="Times New Roman"/>
          <w:sz w:val="20"/>
          <w:szCs w:val="20"/>
          <w:color w:val="231F20"/>
        </w:rPr>
        <w:t>GPO or IDN are generally free to purchase from other suppliers. Furthermore, GPO and IDN contracts typically are terminable without cause by the GPO or IDN upon 60 to 90 days’ notice. Accordingly, the members of such groups may choose to purchase alternative diagnostic tests due to the price or quality offered by other companies, which could result in a decline in our revenue.</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Pricing and reimbursement of medical devices is not harmonized at the European level, but is the exclusive competence of the EU Member States. In Europe, pricing and reimbursement decisions are generally made by regional or centralized bodies based on an assessment of the efficacy and clinical effectiveness of the devices or broad device types or procedures. There is a general trend for EU Member States to adopt cost containment measures to control public spend on medical devices. Due to the competitive nature of product offers and prices, we may not be able to obtain new, or maintain existing, contract positions with the EU Member States.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Litigation and other legal proceedings may adversely affect our business.</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From time to time, we may become involved in legal proceedings relating to patent and other intellectual property matters, product liability claims, employee claims, tort or contract claims, federal regulatory investigations, securities class action and other legal proceedings or investigations, which could have an adverse impact on our reputation, business and financial condition and divert the attention of our management from the operation of our business. Litigation is inherently unpredictable and can result in excessive or unanticipated verdicts and/or injunctive relief that affect how we operate our business. We could incur judgments or enter into settlements of claims for monetary damages or for agreements to change the way we operate our business, or both. There may be an increase in the scope of these matters or there may be additional lawsuits, claims, proceedings or investigations in the future, which could have a material adverse effect on our business, financial condition and results of operations. Adverse publicity about regulatory or legal action against us could damage our reputation and brand image, undermine our customers’ confidence and reduce long-term demand for our diagnostic tests and services, even if the regulatory or legal action is unfounded or not material to our operations.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maintain product and professional liability insurance, but this insurance may not fully protect us from the financial impact of defending against product liability or professional liability claims. Any product liability or professional liability claim brought against us, with or without merit, could increase our insurance rates or prevent us from securing insurance coverage in the future.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General economic and financial market conditions may exacerbate our business risks.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Global macroeconomic conditions and the world’s financial markets remain susceptible to significant stresses, resulting in reductions in available credit and government spending, economic downturn or stagnation, foreign currency fluctuations and volatility in the valuations of securities generally. As a result of uncertainties with respect to financial institutions and the global credit markets and other macroeconomic challenges such as inflationary pressures currently or potentially affecting the economy of the United States and other parts of the world, customers and distributors may experience serious cash flow problems and other financial difficulties, decreasing demand for our products. Our customers and distributors may respond to such economic pressures by reducing or deferring their capital spending or reducing staff.</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Global macroeconomic conditions, including political, military and security conflicts, may also impact the global economy and capital markets. If, due to these events, our customers and distributors are not successful in generating sufficient revenue or are precluded from securing financing, their businesses will suffer, which may materially and adversely affect our business, financial condition and results of operations.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realize the benefits or costs of our Co-Development and Collaboration Agreement with AVEO Oncology.</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2014, we entered into a Co-Development and Collaboration Agreement with AVEO Oncology (formerly known as AVEO Pharmaceuticals, Inc.) (AVEO) whereby the two parties agreed to various terms and conditions necessary for the co-development of AVEO’s compound ficlatuzumab (the Collaboration Agreement). We were granted a limited legal interest in ficlatuzumab and may not have the right to control the development and exploitation of ficlatuzumab. As consideration for the grant, we agreed to cover the first $15.0 million of ficlatuzumab’s clinical development costs, with both parties then sharing all costs equally after the cap was reached.</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In October of 2016, the Collaboration Agreement was amended to eliminate the requirement that we cover all of the initial costs. Under the amended terms, we agreed to allow AVEO to recapture its cost that it otherwise would not have been responsible for said recapture to occur out of any royalties or revenues eventually derived from the Collaboration Agreement. As part of the Collaboration Agreement, unless we or AVEO exercised our right to opt-out of co-development, we would equally share in any income received from licensing rights to ficlatuzumab to any third parties. In September 2020, we exercised our opt-out right for the payment of half of the development and regulatory costs for ficlatuzumab which became effective as of December 2, 2020. Following the effective date, we are entitled to a 10% royalty of net sales of ficlatuzumab and 25% of license income generated from the licensing of ficlatuzumab. Ficlatuzumab is currently being evaluated in squamous cell carcinoma of the head and neck (SCCHN), metastatic pancreatic ductal cancer (PDAC), and acute myeloid leukemia (AML).</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Our relationship with AVEO may require us to incur non-recurring and other charges, increase our near and long-term expenditures, or disrupt our management and business. We cannot be certain that, following the realization of this relationship, we will achieve the revenue or specific net income that justifies our entry into it. Any termination of this relationship, or delays in entering into new</w:t>
      </w:r>
    </w:p>
    <w:p>
      <w:pPr>
        <w:sectPr>
          <w:pgSz w:w="11880" w:h="15480" w:orient="portrait"/>
          <w:cols w:equalWidth="0" w:num="1">
            <w:col w:w="10800"/>
          </w:cols>
          <w:pgMar w:left="540" w:top="750" w:right="540" w:bottom="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34</w:t>
      </w:r>
    </w:p>
    <w:p>
      <w:pPr>
        <w:sectPr>
          <w:pgSz w:w="11880" w:h="15480" w:orient="portrait"/>
          <w:cols w:equalWidth="0" w:num="1">
            <w:col w:w="10800"/>
          </w:cols>
          <w:pgMar w:left="540" w:top="750" w:right="540" w:bottom="0" w:gutter="0" w:footer="0" w:header="0"/>
          <w:type w:val="continuous"/>
        </w:sectPr>
      </w:pPr>
    </w:p>
    <w:bookmarkStart w:id="36" w:name="page37"/>
    <w:bookmarkEnd w:id="36"/>
    <w:p>
      <w:pPr>
        <w:jc w:val="both"/>
        <w:spacing w:after="0" w:line="277" w:lineRule="auto"/>
        <w:rPr>
          <w:sz w:val="20"/>
          <w:szCs w:val="20"/>
          <w:color w:val="auto"/>
        </w:rPr>
      </w:pPr>
      <w:r>
        <w:rPr>
          <w:rFonts w:ascii="Times New Roman" w:cs="Times New Roman" w:eastAsia="Times New Roman" w:hAnsi="Times New Roman"/>
          <w:sz w:val="20"/>
          <w:szCs w:val="20"/>
          <w:color w:val="231F20"/>
        </w:rPr>
        <w:t>strategic partnership agreements with AVEO, could delay our sales and marketing efforts, which would harm our business prospects, financial condition and results of operations.</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exposed to significant future payments and other obligations associated with our acquisition of Freenome (formerly Oncimmune, U.S.A).</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On October 31, 2019 we completed an acquisition of Freenome's United States operations (formerly "Oncimmune USA" or "Oncimmune") including its CLIA lab in De Soto, Kansas and its incidental pulmonary nodule (IPN) malignancy test, then marketed in the United States as the EarlyCDT Lung® test. We renamed and relaunched the test on February 28, 2020 as the Nodify CDT test and the De Soto, Kansas lab is the sole United States provider of the Nodify CDT test.</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As part of the acquisition, we and Oncimmune entered into several agreements to govern the relationship between the parties and to allow us to provide the Nodify CDT test. The overarching umbrella Purchase and Commercialization Agreement (PCA) defines the general relationship between the parties. Included under the PCA was (a) an APA whereby we acquired all of the United States assets associated with the De Soto, Kansas clinical laboratory, as well as the trademarks and patent application associated with the test; (b) an intellectual property license granting us the rights necessary under Oncimmune’s background intellectual property rights to perform the Nodify CDT test; (c) a supply agreement for supplying us with the necessary materials and reagents needed to run the Nodify CDT test; and (d) a development agreement where Oncimmune agrees to assist us in further developing the Nodify CDT test. We agreed to a revenue share payment of 8% of recognized revenue for non-screening tests up to an annual minimum volume and 5% thereafter, with an escalating minimum through the first four years of sales.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Our acquisition may require us to incur non-recurring and other charges, increase our near and long-term expenditures, or disrupt our management and business. This could delay our sales and marketing efforts, which would harm our business prospects, financial condition and results of operations.</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highly dependent on our senior management team and key personnel, and our business could be harmed if we are unable to attract and retain personnel necessary for our success.</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are highly dependent on our senior management and other key personnel. Our success will depend on our ability to retain senior management and to attract and retain qualified personnel in the future, including sales and marketing professionals, scientists, clinical specialists, and other highly skilled personnel and to integrate current and additional personnel in all departments. The loss of members of our senior management, sales and marketing professionals, scientists, clinical and regulatory specialists could result in delays in product development and harm our business. If we are not successful in attracting and retaining highly qualified personnel, it would have a material adverse effect on our business, financial condition and results of operations.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research and development programs and laboratory operations depend on our ability to attract and retain highly skilled scientists and technicians.</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We may not be able to attract or retain qualified scientists and technicians in the future due to the competition for qualified personnel among life science businesses, particularly near our headquarters in Louisville, Colorado and our laboratory facility in De Soto, Kansas. We also face competition from universities and public and private research institutions in recruiting and retaining highly qualified scientific personnel. We may have difficulties locating, recruiting, or retaining qualified salespeople. Recruiting and retention difficulties can limit our ability to support our research and development and sales programs. To induce valuable employees to remain at our company, in addition to salary and cash incentives, we have issued and may continue to issue equity awards that vest over time. The value to employees of equity awards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may terminate their employment with us on short notice. Our employment arrangements with our employees provide for at- will employment, which means that any of our employees could leave our employment at any time, with or without notice. We also do not maintain “key man” insurance policies on the lives of these individuals or the lives of any of our other employees.</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corporate culture has contributed to our success, and if we cannot maintain this culture as we grow, we could lose the innovation, creativity and teamwork fostered by our culture and our business may be harmed.</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believe that our culture has been and will continue to be a critical contributor to our success. We expect to continue to hire aggressively as we expand, and we believe our corporate culture has been crucial in our success and our ability to attract highly skilled personnel. If we do not continue to develop our corporate culture or maintain and preserve our core values as we grow and evolve, we may be unable to foster the innovation, curiosity, creativity, focus on execution, teamwork and the facilitation of critical knowledge transfer and knowledge sharing we believe we need to support our growth. Moreover, liquidity available to our employee securityholders could lead to disparities of wealth among our employees, which could adversely impact relations among employees and our culture in general. Our anticipated headcount growth may result in a change to our corporate culture, which could harm our business.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35</w:t>
      </w:r>
    </w:p>
    <w:p>
      <w:pPr>
        <w:sectPr>
          <w:pgSz w:w="11880" w:h="15480" w:orient="portrait"/>
          <w:cols w:equalWidth="0" w:num="1">
            <w:col w:w="10800"/>
          </w:cols>
          <w:pgMar w:left="540" w:top="750" w:right="54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i w:val="1"/>
          <w:iCs w:val="1"/>
          <w:color w:val="231F20"/>
        </w:rPr>
        <w:t>Our ability to utilize our net operating loss carryforwards and research and development credit may be limited.</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In general, under Sections 382 and 383 of the Internal Revenue Code of 1986, as amended (the Code) a corporation that undergoes an ownership change, generally defined as a greater than 50% change by value in its equity ownership by certain shareholders over a three-year period, is subject to limitations on its ability to utilize its pre-change net operating losses (NOLs) and its research and development credit carryforwards to offset future taxable income. The applicable rules generally operate by focusing on changes in ownership among stockholders considered by the rules as owning, directly or indirectly, 5% or more of the stock of a company, as well as changes in ownership arising from new issuances of stock by the company. If we undergo an ownership change now or in the future, our ability to utilize NOLs and research and development credit carryforwards could be limited by Sections 382 and 383 of the Code. Future changes in stock ownership may be beyond our control. In addition, our ability to deduct net interest expense may be limited if we have insufficient taxable income for the year during which the interest is incurred, and any carryovers of such disallowed interest would be subject to the limitation rules similar to those applicable to NOLs and other attributes. For these reasons, in the event we experience a change of control, we may not be able to utilize a material portion of the NOLs, research and development credit carryforwards or disallowed interest expense carryovers, even if we attain profitability.</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The terms of the Perceptive Term Loan Facility require us to meet certain operating and financial covenants and place restrictions on our operating and financial flexibility. If we raise additional capital through debt financing, the terms of any new debt could further restrict our ability to operate our business.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On November 16, 2022, we entered into a credit agreement and guaranty (the Credit Agreement) with Perceptive Credit Holdings IV, LP as the lender and administrative agent (the Lender) that provides for a senior secured delayed draw term loan facility with Perceptive Advisors LLC (Perceptive), in an aggregate principal amount of up to $50.0 million (the Perceptive Term Loan Facility) to refinance long-term debt.</w:t>
      </w:r>
    </w:p>
    <w:p>
      <w:pPr>
        <w:spacing w:after="0" w:line="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Perceptive Term Loan Facility contains customary affirmative and negative covenants for a loan, requires us to comply with a minimum cash requirement covenant, and has a trailing twelve month net revenue requirement. Failure to comply with the covenants and loan requirements may result in an event of default. The Perceptive Term Loan Facility also contains certain covenants limiting our ability to, among other things, engage in certain corporate changes, make certain restricted payments, repay other certain indebtedness or enter into, amend or terminate any other agreements that have the impact of restricting our ability to make loan repayments.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Credit Agreement also contains certain customary events of default, the occurrence of which could result in the declaration that all outstanding principal and interest under the Perceptive Term Loan Facility is immediately due and payable in whole or in part, which could have a material adverse effect on our business, financial condition, and results of operations.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Our ability to comply with these covenants may be affected by factors beyond our control, including changes in our operating performance or liquidity. A failure to comply with any covenant that is not waived or cured could result in an event of default, which could allow Perceptive to exercise remedies that have a material adverse effect on our business, financial condition, and results of operations.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In addition, the Credit Agreement and the Perceptive Term Loan Facility may limit our ability to obtain additional financing on favorable terms, or at all. If we incur additional debt in the future, the terms of such indebtedness could include additional covenants or restrictions that further restrict our ability to operate our business.</w:t>
      </w:r>
    </w:p>
    <w:p>
      <w:pPr>
        <w:spacing w:after="0" w:line="68"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need to raise additional capital to fund our existing operations, develop our platform, commercialize new diagnostic tests or expand our operations.</w:t>
      </w:r>
    </w:p>
    <w:p>
      <w:pPr>
        <w:spacing w:after="0" w:line="4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We may need to raise additional capital in the future to expand our business, to pursue strategic investments, to take advantage of financing opportunities or for other reasons, including to:</w:t>
      </w:r>
    </w:p>
    <w:p>
      <w:pPr>
        <w:spacing w:after="0" w:line="64" w:lineRule="exact"/>
        <w:rPr>
          <w:sz w:val="20"/>
          <w:szCs w:val="20"/>
          <w:color w:val="auto"/>
        </w:rPr>
      </w:pPr>
    </w:p>
    <w:p>
      <w:pPr>
        <w:ind w:left="860" w:hanging="370"/>
        <w:spacing w:after="0"/>
        <w:tabs>
          <w:tab w:leader="none" w:pos="86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increase our sales and marketing efforts to drive market adoption of and address competitive developments;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fund development and marketing efforts of our diagnostic tests or any other future diagnostic tests;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expand our technologies into other types of cancer management and lung disease detection diagnostic tests;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acquire, license, or invest in technologies;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acquire or invest in complementary businesses or assets; and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2"/>
        </w:numPr>
        <w:rPr>
          <w:rFonts w:ascii="Arial" w:cs="Arial" w:eastAsia="Arial" w:hAnsi="Arial"/>
          <w:sz w:val="20"/>
          <w:szCs w:val="20"/>
          <w:color w:val="231F20"/>
        </w:rPr>
      </w:pPr>
      <w:r>
        <w:rPr>
          <w:rFonts w:ascii="Times New Roman" w:cs="Times New Roman" w:eastAsia="Times New Roman" w:hAnsi="Times New Roman"/>
          <w:sz w:val="20"/>
          <w:szCs w:val="20"/>
          <w:color w:val="231F20"/>
        </w:rPr>
        <w:t>finance capital expenditures and general and administrative expenses.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36</w:t>
      </w:r>
    </w:p>
    <w:p>
      <w:pPr>
        <w:sectPr>
          <w:pgSz w:w="11880" w:h="15480" w:orient="portrait"/>
          <w:cols w:equalWidth="0" w:num="1">
            <w:col w:w="10800"/>
          </w:cols>
          <w:pgMar w:left="540" w:top="750" w:right="54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0"/>
          <w:szCs w:val="20"/>
          <w:color w:val="231F20"/>
        </w:rPr>
        <w:t>Our present and future funding requirements will depend on many factors, including:</w:t>
      </w:r>
    </w:p>
    <w:p>
      <w:pPr>
        <w:spacing w:after="0" w:line="134" w:lineRule="exact"/>
        <w:rPr>
          <w:sz w:val="20"/>
          <w:szCs w:val="20"/>
          <w:color w:val="auto"/>
        </w:rPr>
      </w:pPr>
    </w:p>
    <w:p>
      <w:pPr>
        <w:ind w:left="860" w:hanging="370"/>
        <w:spacing w:after="0"/>
        <w:tabs>
          <w:tab w:leader="none" w:pos="86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achieve revenue growth;</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rate of progress in establishing payer coverage and reimbursement arrangements with domestic and international commercial third-party payers and government payers;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the cost of expanding our laboratory operations and offerings, including our sales and marketing efforts;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rate of progress in, and cost of the sales and marketing activities associated with, establishing adoption of and reimbursement for our diagnostic tests;</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our rate of progress in, and cost of research and development activities associated with, diagnostic tests in research and early development;</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the effect of competing technological and market developments;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costs related to international expansion; and</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23"/>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potential cost of and delays in product development as a result of any regulatory oversight applicable to our diagnostic tests.</w:t>
      </w:r>
    </w:p>
    <w:p>
      <w:pPr>
        <w:spacing w:after="0" w:line="5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various ways we could raise additional capital carry potential risks. If we raise funds by issuing equity securities, our stockholders could experience dilution. Any preferred equity securities issued also could provide for rights, preferences or privileges senior to those of holders of our common stock. If we raise funds by issuing debt securities, those debt securities would have rights, preferences and privileges senior to those of holders of our common stock. The terms of debt securities issued or borrowings pursuant to a credit agreement could impose significant restrictions on our operations. If we raise funds through collaborations and licensing arrangements, we might be required to relinquish significant rights to our platform technologies or diagnostic tests, pay a portion of our royalties, or grant licenses on terms that are not favorable to us.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acquire other businesses, which could require significant management attention, disrupt our business, dilute stockholder value and adversely affect our results of operations.</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As part of our business strategy, we may in the future make additional acquisitions or investments in complementary companies, diagnostic tests or technologies that we believe fit within our business model and can address the needs of our customers and potential customers. In the future, we may not be able to acquire and integrate other companies, diagnostic tests or technologies in a successful manner. We may not be able to find suitable acquisition candidates, and we may not be able to complete such acquisitions on favorable terms, if at all. In addition, the pursuit of potential acquisitions may divert the attention of management and cause us to incur additional expenses in identifying, investigating, and pursuing suitable acquisitions, whether or not they are consummated. If we do complete acquisitions, we may not ultimately strengthen our competitive position or achieve our goals, including increases in revenue, and any acquisitions we complete could be viewed negatively by our customers, investors and industry analysts.</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Future acquisitions may reduce our cash available for operations and other uses and could result in amortization expense related to identifiable assets acquired. We may have to pay cash, incur debt or issue equity securities to pay for any such acquisition, each of which could adversely affect our financial condition or the value of our common stock. The sale or issuance of equity to finance any such acquisitions would result in dilution to our stockholders. The incurrence of indebtedness to finance any such acquisition would result in fixed obligations and could also include covenants or other restrictions that could impede our ability to manage our operations. In addition, our future results of operations may be adversely affected by the dilutive effect of an acquisition, performance earn-outs or contingent bonuses associated with an acquisition. Furthermore, acquisitions may require large, one-time charges and can result in increased debt or contingent liabilities, adverse tax consequences, additional stock-based compensation expenses and the recording and subsequent amortization of amounts related to certain purchased intangible assets, any of which items could negatively affect our future results of operations. We may also incur goodwill impairment charges in the future if we do not realize the expected value of any such acquisitions.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A pandemic, epidemic or outbreak of an infectious disease in the United States or worldwide and its variants could adversely affect our business.</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If a pandemic, epidemic or outbreak of an infectious disease occurs in the United States or worldwide, our business may be adversely affected. Disruptions due to prior pandemics or potential disruptions due to the government imposed restrictions have included, and in the future may continue to include: the inability of our suppliers to manufacture components and parts and to deliver these to us on a timely basis, or at all; disruptions in our production schedule and ability to assemble diagnostic tests; inventory shortages or</w:t>
      </w:r>
    </w:p>
    <w:p>
      <w:pPr>
        <w:sectPr>
          <w:pgSz w:w="11880" w:h="15480" w:orient="portrait"/>
          <w:cols w:equalWidth="0" w:num="1">
            <w:col w:w="10800"/>
          </w:cols>
          <w:pgMar w:left="540" w:top="750" w:right="540" w:bottom="0" w:gutter="0" w:footer="0" w:header="0"/>
        </w:sect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37</w:t>
      </w:r>
    </w:p>
    <w:p>
      <w:pPr>
        <w:sectPr>
          <w:pgSz w:w="11880" w:h="15480" w:orient="portrait"/>
          <w:cols w:equalWidth="0" w:num="1">
            <w:col w:w="10800"/>
          </w:cols>
          <w:pgMar w:left="540" w:top="750" w:right="540" w:bottom="0" w:gutter="0" w:footer="0" w:header="0"/>
          <w:type w:val="continuous"/>
        </w:sectPr>
      </w:pPr>
    </w:p>
    <w:bookmarkStart w:id="39" w:name="page40"/>
    <w:bookmarkEnd w:id="39"/>
    <w:p>
      <w:pPr>
        <w:jc w:val="both"/>
        <w:spacing w:after="0" w:line="265" w:lineRule="auto"/>
        <w:rPr>
          <w:sz w:val="20"/>
          <w:szCs w:val="20"/>
          <w:color w:val="auto"/>
        </w:rPr>
      </w:pPr>
      <w:r>
        <w:rPr>
          <w:rFonts w:ascii="Times New Roman" w:cs="Times New Roman" w:eastAsia="Times New Roman" w:hAnsi="Times New Roman"/>
          <w:sz w:val="19"/>
          <w:szCs w:val="19"/>
          <w:color w:val="231F20"/>
        </w:rPr>
        <w:t>obsolescence; delays in actions of regulatory bodies; diversion of or limitations on employee resources that would otherwise be focused on the operations of our business; delays in growing or reductions in our sales organization, including through delays in hiring, lay -offs, furloughs or other losses of sales representatives; business adjustments or disruptions of certain third parties, including suppliers, medical institutions and clinical investigators with whom we conduct business; and additional government requirements or other incremental mitigation efforts that may further impact our or our suppliers’ capacity to manufacture our diagnostic tests.</w:t>
      </w:r>
    </w:p>
    <w:p>
      <w:pPr>
        <w:spacing w:after="0" w:line="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extent to which a future pandemic or epidemic impacts our business will depend on future facts and circumstances, which are highly uncertain and cannot be predicted. While the potential economic impact brought by, and the duration of, any pandemic, epidemic or outbreak of an infectious disease may be difficult to assess or predict, it may result in, significant disruption of global financial markets and a reduction in our ability to access capital, which could adversely affect our liquidity. In addition, a recession or market correction resulting from the spread of an infectious disease, could materially affect our business. Such economic recession could have a material adverse effect on our long-term business. To the extent a pandemic adversely affects our business and financial results, it may also have the effect of heightening many of the other risks described in this “Risk Factors” section.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Governmental Regulation</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The insurance coverage and reimbursement status of newly approved diagnostic tests, particularly in a new category of diagnostics and therapeutics, is uncertain. Failure to obtain or maintain adequate coverage and reimbursement for current or future diagnostic tests could limit our ability, and that of our collaborators, to fully commercialize our diagnostic tests and decrease our ability to generate revenue.</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The availability and extent of reimbursement by governmental and private payers is essential for most patients to be able to afford the clinical diagnostic tests and cellular therapeutics that we and our collaborators currently or in the future plan to develop and sell. In addition, because our clinical diagnostics and diagnostic tests represent new approaches to the research, diagnosis, detection and treatment of diseases, we cannot accurately estimate how our diagnostic tests, and those jointly created with our collaborators, would be priced, whether reimbursement could be obtained or any potential revenue generated. Sales of our diagnostic tests will depend substantially, both domestically and internationally, on the extent to which the costs of our diagnostic tests are paid by health maintenance, managed care, pharmacy benefit and similar healthcare management organizations, or reimbursed by government health administration authorities, private health coverage insurers and other third-party payers. If reimbursement is not available, or is available only to limited levels, we may not be able to successfully commercialize some of our diagnostic tests or services. Even if coverage is provided, the available reimbursement amount may not be high enough to allow us to establish or maintain pricing sufficient to realize an adequate return on our investment in any of our diagnostic tests or services. Changes in the reimbursement landscape may occur, which are outside of our control, and may impact the commercial viability of our diagnostic tests.</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There is significant uncertainty related to the insurance coverage and reimbursement of newly launched, cleared, authorized or approved diagnostic tests. In the United States, many significant decisions about reimbursement for new diagnostics and medicines are typically made by the CMS, an agency within HHS. CMS decides whether and to what extent a new diagnostic or medicine will be covered and reimbursed under Medicare, although it frequently delegates this authority to local Medicare Administrative Contractors (MACs). Private payers tend to follow Medicare to a substantial degree. It is difficult to predict what CMS will decide with respect to reimbursement for novel diagnostic tests such as ours. Additionally, reimbursement authorities or bodies in Europe may be more conservative than CMS. For example, a number of cancer drugs have been approved for reimbursement in the United States and have not been approved for reimbursement, or have been approved under restricted conditions, in certain European countries.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Medicare pays for CDLTs, on the CLFS. Section 216(a) of the PAMA added Section 1834A to the SSA, which established the current CLFS rate setting processes. Under Section 1834A and its implementing regulations, clinical laboratories that receive the majority of their Medicare revenues from payments made under the CLFS and the Physician Fee Schedule report on a triennial basis (or annually for ADLTs), private payer rates and volumes for their tests with specific billing codes based on final payments made during a set data collection period. The payment rate for a test for the ensuing three-year period (or one year for ADLTs) is set at the weighted median of the rates reported under the specific billing code for that test. Newly established codes for CDLTs are priced until the next private payer rate reporting cycle either based on the payment rate of a comparable code on the CLFS, as determined by CMS ("crosswalking") or at the median of rates submitted by the individual MACs based on statutory and regulatory factors ("gapfilling"). New ADLTs are initially priced at “actual list charge” for a nine-month period, after which they are priced based on private payer rates, with a recoupment provision if actual list charge is more than 130% of the weighted median of private payer rates reported.</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January 22, 2026, the House of Representatives passed the “Consolidated Appropriations Act, 2026” which would amend the PAMA law at section 1834A of the Social Security Act. If enacted, the legislation would require Biodesix, and other laboratories, to report private payer rates paid between January 1 and June 30, 2025 to CMS. The reporting period would be delayed to May through July, 2026. The volume-weighted median of the rates reported for each test would set the CLFS rate for certain of our tests in calendar years 2027 to 2029.</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If the legislation is not enacted, and the currently scheduled reporting of private payer rates paid between January 1 and June 30, 2019 goes forward, some Biodesix tests may see an increase or decrease in payment rates for 2027-29. This legislation does not impact</w:t>
      </w:r>
    </w:p>
    <w:p>
      <w:pPr>
        <w:sectPr>
          <w:pgSz w:w="11880" w:h="15480" w:orient="portrait"/>
          <w:cols w:equalWidth="0" w:num="1">
            <w:col w:w="10800"/>
          </w:cols>
          <w:pgMar w:left="540" w:top="750" w:right="540" w:bottom="0"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38</w:t>
      </w:r>
    </w:p>
    <w:p>
      <w:pPr>
        <w:sectPr>
          <w:pgSz w:w="11880" w:h="15480" w:orient="portrait"/>
          <w:cols w:equalWidth="0" w:num="1">
            <w:col w:w="10800"/>
          </w:cols>
          <w:pgMar w:left="540" w:top="750" w:right="540" w:bottom="0" w:gutter="0" w:footer="0" w:header="0"/>
          <w:type w:val="continuous"/>
        </w:sectPr>
      </w:pPr>
    </w:p>
    <w:bookmarkStart w:id="40" w:name="page41"/>
    <w:bookmarkEnd w:id="40"/>
    <w:p>
      <w:pPr>
        <w:jc w:val="both"/>
        <w:spacing w:after="0" w:line="277" w:lineRule="auto"/>
        <w:rPr>
          <w:sz w:val="20"/>
          <w:szCs w:val="20"/>
          <w:color w:val="auto"/>
        </w:rPr>
      </w:pPr>
      <w:r>
        <w:rPr>
          <w:rFonts w:ascii="Times New Roman" w:cs="Times New Roman" w:eastAsia="Times New Roman" w:hAnsi="Times New Roman"/>
          <w:sz w:val="20"/>
          <w:szCs w:val="20"/>
          <w:color w:val="231F20"/>
        </w:rPr>
        <w:t>reporting of private payer rates or the setting of CLFS rates for Biodesix’s ADLTs, which are repriced annually based on private payer rates.</w:t>
      </w:r>
    </w:p>
    <w:p>
      <w:pPr>
        <w:spacing w:after="0" w:line="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Outside the United States, the reimbursement process and timelines vary significantly. In Europe, pricing and reimbursement of medical devices is the exclusive competence of the European Union (EU) Member States. However, the European Commission is facilitating a voluntary corporation between the EU Member States on health technology assessments (HTA) which consists of a network of the EU Member States’ national authorities and bodies responsible for HTA and a joint action to support cooperation at scientific and technical level between the HTA bodies. We cannot be sure that such prices and reimbursement decisions will be acceptable to us or our collaborators. If the regulatory authorities in these foreign jurisdictions set prices or make reimbursement criteria that are not commercially attractive for us or our collaborators, our revenues and the potential profitability of our products in those countries would be negatively affected. An increasing number of countries are taking initiatives to control the healthcare budget by focusing cost-cutting efforts on medicinal products, and to a lesser extent, medical devices, provided under their state-run healthcare systems. These price control efforts have impacted all regions of the world, but have been most prominent in the EU. Additionally, some countries require approval of the sale price of a product before it can be marketed or mandatory discounts or profit caps may be applied. Further, after the sale price is approved, it remains subject to review during the product lifecycle. In many countries, the pricing review period begins after marketing or product licensing approval is granted or the CE mark is obtained. As a result, we or our collaborators might obtain marketing approval for a product or service in a particular country, but then may experience delays in the reimbursement approval or be subject to price regulations that would delay the commercial launch of our product or service, possibly for lengthy time periods, which could negatively impact the revenues we are able to generate from the sale of that product or service in that particular country.</w:t>
      </w:r>
    </w:p>
    <w:p>
      <w:pPr>
        <w:spacing w:after="0" w:line="8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Moreover, increasing efforts by governmental and third-party payers, in the United States and abroad, to cap or reduce healthcare costs may cause such organizations to limit both coverage and level of reimbursement for newly cleared, authorized, certified or approved devices and medicines and, as a result, they may not cover or provide adequate payment for our clinical diagnostics to be sold by us or our collaborators.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expect to experience pricing pressures on our clinical diagnostics sold by us and our collaborators due to the trend toward value-based pricing and coverage, the increasing influence of health maintenance organizations and additional legislative changes. The downward pressure on healthcare costs in general, particularly prescription drugs, surgical procedures and other treatments, has become very intense. As a result, increasingly high barriers are being erected to the entry of new diagnostic tests.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Measures to reduce healthcare costs may hurt our business.</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Biodesix is dependent on reimbursement by government and commercial insurance payers when we bill directly for our lung cancer diagnostic solutions services. When we sell our lung cancer diagnostic solutions services to customers, the majority of our customers are healthcare providers who depend upon reimbursement by government and commercial insurance payers for lung cancer diagnostic solutions services. With a majority of United States patients with lung cancer covered by Medicare, the Medicare reimbursement rate is an important factor both in our revenues from direct claims submission and in a customer’s decision to use our diagnostic tests, limiting the prices we may charge for them. Commercial insurance payers may also exert downward pressure on payment rates for lung cancer treatment services. A reduction in reimbursement rates for lung cancer treatments may adversely affect our customers’ businesses and cause them to enact cost reduction measures that may include reducing the scope of their programs, thereby potentially reducing demand for our diagnostic tests.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Healthcare reform measures could hinder or prevent the commercial success of our diagnostic tests.</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In the United States, there have been, and we expect there will continue to be, a number of legislative and regulatory changes to the healthcare system in ways that may harm our future revenues and profitability and the demand for our diagnostic tests. Federal and state lawmakers regularly propose and, at times, enact legislation that would result in significant changes to the healthcare system, some of which are intended to contain or reduce the costs of medical products and services. Current and future legislative proposals to further reform healthcare or reduce healthcare costs may limit coverage of or lower reimbursement for the procedures associated with the use of our diagnostic tests. The effect of any healthcare reform initiative implemented in the future could impact our revenue from the sale of our diagnostic tests. For example, the ACA, contains a number of provisions, including those governing enrollment in federal healthcare programs, reimbursement changes and fraud and abuse measures, all of which will impact existing government healthcare programs and will result in the development of new programs.</w:t>
      </w:r>
    </w:p>
    <w:p>
      <w:pPr>
        <w:spacing w:after="0" w:line="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There have been judicial challenges to certain aspects of the ACA, as well as efforts by the Trump administration and Congress to repeal, replace or alter the implementation of certain aspects of the ACA. For example, as part of the TCJA, Congress eliminated the tax penalty, starting January 1, 2019, for not complying with the ACA’s individual mandate to carry health insurance. The Further Consolidated Appropriations Act of 2020, Pub. L. No. 116-94, signed into law December 20, 2019, fully repealed the ACA’s “Cadillac Tax” on certain high-cost employer-sponsored insurance plans, the annual fee imposed on certain health insurance providers based on market share (repeal effective in 2021), and the medical device excise tax on non-exempt medical devices. At the end of 2025, the ACA’s enhanced premium tax credit expired, increasing premium payments for marketplace coverage.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39</w:t>
      </w:r>
    </w:p>
    <w:p>
      <w:pPr>
        <w:sectPr>
          <w:pgSz w:w="11880" w:h="15480" w:orient="portrait"/>
          <w:cols w:equalWidth="0" w:num="1">
            <w:col w:w="10800"/>
          </w:cols>
          <w:pgMar w:left="540" w:top="750" w:right="540" w:bottom="0" w:gutter="0" w:footer="0" w:header="0"/>
          <w:type w:val="continuous"/>
        </w:sectPr>
      </w:pPr>
    </w:p>
    <w:bookmarkStart w:id="41" w:name="page42"/>
    <w:bookmarkEnd w:id="41"/>
    <w:p>
      <w:pPr>
        <w:jc w:val="both"/>
        <w:spacing w:after="0" w:line="246" w:lineRule="auto"/>
        <w:rPr>
          <w:sz w:val="20"/>
          <w:szCs w:val="20"/>
          <w:color w:val="auto"/>
        </w:rPr>
      </w:pPr>
      <w:r>
        <w:rPr>
          <w:rFonts w:ascii="Times New Roman" w:cs="Times New Roman" w:eastAsia="Times New Roman" w:hAnsi="Times New Roman"/>
          <w:sz w:val="20"/>
          <w:szCs w:val="20"/>
          <w:color w:val="231F20"/>
        </w:rPr>
        <w:t>In addition, other legislative changes have been proposed and adopted since the ACA was enacted. For example, the Budget Control Act of 2011, among other things, included reductions to CMS payments to providers of 2% per fiscal year, which went into effect on April 1, 2013 and, due to subsequent legislative amendments to the statute, will remain in effect through 2030 unless additional Congressional action is taken, with the exception of a temporary suspension of the 2% cut in Medicare payments from May 1, 2020 through March 31, 2022, and a reduction of the cut to 1% from April 1, 2022 through June 30, 2022. Additionally, the American Taxpayer Relief Act of 2012, among other things, reduced CMS payments to several providers, including hospitals, and increased the statute of limitations period for the government to recover Medicare overpayments to providers from three to five years.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face uncertainties that might result from modifications or repeal of any of the provisions of the ACA, including as a result of current and future executive orders and legislative actions. The impact of those changes on us and potential effect on the medical device industry as a whole is currently unknown. Any changes to the ACA are likely to have an impact on our results of operations, and may negatively affect our business, financial condition and results of operations. We cannot predict what other healthcare programs and regulations will ultimately be implemented at the federal or state level or the effect of any future legislation or regulation in the United States on our business, financial condition and results of operations.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continuing efforts of the government, insurance companies, managed care organizations and other payers of healthcare services to contain or reduce costs of healthcare may harm:</w:t>
      </w:r>
    </w:p>
    <w:p>
      <w:pPr>
        <w:spacing w:after="0" w:line="64" w:lineRule="exact"/>
        <w:rPr>
          <w:sz w:val="20"/>
          <w:szCs w:val="20"/>
          <w:color w:val="auto"/>
        </w:rPr>
      </w:pPr>
    </w:p>
    <w:p>
      <w:pPr>
        <w:ind w:left="860" w:hanging="370"/>
        <w:spacing w:after="0"/>
        <w:tabs>
          <w:tab w:leader="none" w:pos="86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set a price that we believe is fair for our diagnostic tests;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generate revenue and achieve or maintain profitability; and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availability of capital.</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ACA substantially changed the way healthcare is financed by both governmental and private insurers, and significantly impacts our industry. Future changes in healthcare policy could increase our costs and subject us to additional regulatory requirements that may interrupt commercialization of our current and future solutions. Future changes in healthcare policy could also decrease our revenue and impact sales of and reimbursement for our current and future diagnostic tests.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must comply with anti-corruption, anti-bribery, anti-money laundering and similar laws.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are subject to the FCPA, which generally prohibits companies in the United States from engaging in bribery or other prohibited payments to foreign officials for the purpose of obtaining or retaining business and requires companies to maintain accurate books and records and internal controls. We are also subject to requirements under the United States Treasury Department’s Office of Foreign Assets Control, United States domestic bribery laws and other anti-corruption, anti-bribery and anti-money laundering laws. While we have policies and procedures in place designed to promote compliance with such laws, our employees or other agents may nonetheless engage in prohibited conduct under these laws for which we or our executives might be held responsible. If our employees or other agents are found to have engaged in such practices, we could suffer severe penalties and other consequences that may have an adverse effect on our business, financial condition and results of operations.</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Furthermore, international customers may currently order our diagnostic tests, either directly from us or through a potential joint venture, and we are subject to the FCPA, which prohibits companies and their intermediaries from making payments in violation of law to non-United States government officials for the purpose of obtaining or retaining business or securing any other improper advantage. Our reliance on independent distributors to sell our diagnostic tests internationally demands a high degree of vigilance in maintaining our policy against participation in corrupt activity, because these distributors could be deemed to be our agents and we could be held responsible for their actions. Other United States companies in the medical device and biopharmaceutical field have faced criminal penalties under the FCPA for allowing their agents to deviate from appropriate practices in doing business with these individuals. We are also subject to similar anti-bribery laws in the jurisdictions in which we operate, including laws promulgated by OECD countries in which we operate, such as Israel.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 We could also suffer severe penalties, including criminal and civil penalties, disgorgement and other remedial measures.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must comply with healthcare fraud and abuse laws.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Various federal and state laws, as well as the laws of foreign countries, prohibit payments to induce the referral, purchase, order or use of healthcare products or services and require medical device companies to limit prevent, and/or monitor, and report certain payments to third-party payers, health care professionals, and other individuals. These healthcare fraud and abuse, anti-kickback, public reporting and aggregate spend laws affect our sales, marketing and other promotional activities by limiting the kinds of financial arrangements, including sales programs, we may have with lung cancer treatment providers, hospitals, physicians or other potential purchasers or users, including patients, of medical devices and services. They also impose additional administrative and compliance burdens on us. In particular, these laws influence, among other things, how we structure our sales offerings, including discount</w:t>
      </w:r>
    </w:p>
    <w:p>
      <w:pPr>
        <w:sectPr>
          <w:pgSz w:w="11880" w:h="15480" w:orient="portrait"/>
          <w:cols w:equalWidth="0" w:num="1">
            <w:col w:w="10800"/>
          </w:cols>
          <w:pgMar w:left="540" w:top="750" w:right="54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40</w:t>
      </w:r>
    </w:p>
    <w:p>
      <w:pPr>
        <w:sectPr>
          <w:pgSz w:w="11880" w:h="15480" w:orient="portrait"/>
          <w:cols w:equalWidth="0" w:num="1">
            <w:col w:w="10800"/>
          </w:cols>
          <w:pgMar w:left="540" w:top="750" w:right="540" w:bottom="0" w:gutter="0" w:footer="0" w:header="0"/>
          <w:type w:val="continuous"/>
        </w:sectPr>
      </w:pPr>
    </w:p>
    <w:bookmarkStart w:id="42" w:name="page43"/>
    <w:bookmarkEnd w:id="42"/>
    <w:p>
      <w:pPr>
        <w:jc w:val="both"/>
        <w:spacing w:after="0" w:line="252" w:lineRule="auto"/>
        <w:rPr>
          <w:sz w:val="20"/>
          <w:szCs w:val="20"/>
          <w:color w:val="auto"/>
        </w:rPr>
      </w:pPr>
      <w:r>
        <w:rPr>
          <w:rFonts w:ascii="Times New Roman" w:cs="Times New Roman" w:eastAsia="Times New Roman" w:hAnsi="Times New Roman"/>
          <w:sz w:val="20"/>
          <w:szCs w:val="20"/>
          <w:color w:val="231F20"/>
        </w:rPr>
        <w:t>practices, customer support, education and training programs and physician consulting and other service arrangements. These laws prohibit certain marketing initiatives that are commonplace in other industries. If we were to offer or pay inappropriate inducements for the purchase, order or use of our diagnostic tests or our services, or our arrangements are perceived as inappropriate inducements, we could be subject to claims under various healthcare fraud and abuse laws.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Restrictions under applicable United States federal and state healthcare laws and regulations include the following:</w:t>
      </w:r>
    </w:p>
    <w:p>
      <w:pPr>
        <w:spacing w:after="0" w:line="134" w:lineRule="exact"/>
        <w:rPr>
          <w:sz w:val="20"/>
          <w:szCs w:val="20"/>
          <w:color w:val="auto"/>
        </w:rPr>
      </w:pPr>
    </w:p>
    <w:p>
      <w:pPr>
        <w:jc w:val="both"/>
        <w:ind w:left="840" w:hanging="350"/>
        <w:spacing w:after="0" w:line="249" w:lineRule="auto"/>
        <w:tabs>
          <w:tab w:leader="none" w:pos="84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federal Anti-Kickback Statute, a criminal law, prohibits, among other things, persons and entities from knowingly and willfully offering, paying, soliciting or receiving any remuneration, directly or indirectly, in cash or in kind, to induce or reward purchasing, leasing, ordering, or arranging for, referring, or recommending the purchase, lease, order of any good or service for which payment may be made, in whole or in part, under federal healthcare programs such as Medicare and Medicaid;</w:t>
      </w:r>
    </w:p>
    <w:p>
      <w:pPr>
        <w:spacing w:after="0" w:line="90" w:lineRule="exact"/>
        <w:rPr>
          <w:rFonts w:ascii="Arial" w:cs="Arial" w:eastAsia="Arial" w:hAnsi="Arial"/>
          <w:sz w:val="20"/>
          <w:szCs w:val="20"/>
          <w:color w:val="231F20"/>
        </w:rPr>
      </w:pPr>
    </w:p>
    <w:p>
      <w:pPr>
        <w:jc w:val="both"/>
        <w:ind w:left="860" w:hanging="370"/>
        <w:spacing w:after="0" w:line="258" w:lineRule="auto"/>
        <w:tabs>
          <w:tab w:leader="none" w:pos="86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Eliminating Kickbacks in Recovery Act, which prohibits knowingly and willfully soliciting, receiving, offering or paying remuneration, directly or indirectly, in return for the referral of a patient to, or in exchange for an individual using the services of certain entities, including laboratories, if the services are covered by a health care benefit program;</w:t>
      </w:r>
    </w:p>
    <w:p>
      <w:pPr>
        <w:spacing w:after="0" w:line="81" w:lineRule="exact"/>
        <w:rPr>
          <w:rFonts w:ascii="Arial" w:cs="Arial" w:eastAsia="Arial" w:hAnsi="Arial"/>
          <w:sz w:val="20"/>
          <w:szCs w:val="20"/>
          <w:color w:val="231F20"/>
        </w:rPr>
      </w:pPr>
    </w:p>
    <w:p>
      <w:pPr>
        <w:jc w:val="both"/>
        <w:ind w:left="860" w:hanging="370"/>
        <w:spacing w:after="0" w:line="258" w:lineRule="auto"/>
        <w:tabs>
          <w:tab w:leader="none" w:pos="86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the Beneficiary Inducement Statute, which prohibits any person, organization, or entity from giving anything of value to a federal health care program beneficiary that is likely to induce or influence the beneficiary’s choice of provider, practitioner, or supplier for covered services;</w:t>
      </w:r>
    </w:p>
    <w:p>
      <w:pPr>
        <w:spacing w:after="0" w:line="81" w:lineRule="exact"/>
        <w:rPr>
          <w:rFonts w:ascii="Arial" w:cs="Arial" w:eastAsia="Arial" w:hAnsi="Arial"/>
          <w:sz w:val="20"/>
          <w:szCs w:val="20"/>
          <w:color w:val="231F20"/>
        </w:rPr>
      </w:pPr>
    </w:p>
    <w:p>
      <w:pPr>
        <w:jc w:val="both"/>
        <w:ind w:left="860" w:hanging="370"/>
        <w:spacing w:after="0" w:line="247" w:lineRule="auto"/>
        <w:tabs>
          <w:tab w:leader="none" w:pos="86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 xml:space="preserve">the federal civil False Claims Act, which may be enforced through civil whistleblower or </w:t>
      </w:r>
      <w:r>
        <w:rPr>
          <w:rFonts w:ascii="Times New Roman" w:cs="Times New Roman" w:eastAsia="Times New Roman" w:hAnsi="Times New Roman"/>
          <w:sz w:val="20"/>
          <w:szCs w:val="20"/>
          <w:i w:val="1"/>
          <w:iCs w:val="1"/>
          <w:color w:val="231F20"/>
        </w:rPr>
        <w:t>qui tam</w:t>
      </w:r>
      <w:r>
        <w:rPr>
          <w:rFonts w:ascii="Times New Roman" w:cs="Times New Roman" w:eastAsia="Times New Roman" w:hAnsi="Times New Roman"/>
          <w:sz w:val="20"/>
          <w:szCs w:val="20"/>
          <w:color w:val="231F20"/>
        </w:rPr>
        <w:t xml:space="preserve"> actions and is often used to enforce the federal Anti-Kickback Statute and other healthcare laws and regulations, imposes civil penalties and potential exclusion from federal healthcare programs, against individuals or entities for, among other things, knowingly presenting, or causing to be presented, to the federal government, claims for payment that are false or fraudulent or for making a false record or statement material to an obligation to pay the federal government or for knowingly and improperly avoiding, decreasing or concealing an obligation to pay money to the federal government;</w:t>
      </w:r>
    </w:p>
    <w:p>
      <w:pPr>
        <w:spacing w:after="0" w:line="93" w:lineRule="exact"/>
        <w:rPr>
          <w:rFonts w:ascii="Arial" w:cs="Arial" w:eastAsia="Arial" w:hAnsi="Arial"/>
          <w:sz w:val="20"/>
          <w:szCs w:val="20"/>
          <w:color w:val="231F20"/>
        </w:rPr>
      </w:pPr>
    </w:p>
    <w:p>
      <w:pPr>
        <w:jc w:val="both"/>
        <w:ind w:left="860" w:hanging="370"/>
        <w:spacing w:after="0" w:line="252" w:lineRule="auto"/>
        <w:tabs>
          <w:tab w:leader="none" w:pos="86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criminal statutes created by HIPAA impose criminal liability for, among other things, knowingly and willfully executing or attempting to execute a scheme to defraud any healthcare benefit program, including private insurance plans, or, in any matter involving a healthcare benefit program, for knowingly and willfully making materially false, fictitious, or fraudulent statements in connection with the delivery of or payment for health care benefits; and</w:t>
      </w:r>
    </w:p>
    <w:p>
      <w:pPr>
        <w:spacing w:after="0" w:line="87" w:lineRule="exact"/>
        <w:rPr>
          <w:rFonts w:ascii="Arial" w:cs="Arial" w:eastAsia="Arial" w:hAnsi="Arial"/>
          <w:sz w:val="20"/>
          <w:szCs w:val="20"/>
          <w:color w:val="231F20"/>
        </w:rPr>
      </w:pPr>
    </w:p>
    <w:p>
      <w:pPr>
        <w:jc w:val="both"/>
        <w:ind w:left="860" w:hanging="370"/>
        <w:spacing w:after="0" w:line="258" w:lineRule="auto"/>
        <w:tabs>
          <w:tab w:leader="none" w:pos="860" w:val="left"/>
        </w:tabs>
        <w:numPr>
          <w:ilvl w:val="0"/>
          <w:numId w:val="25"/>
        </w:numPr>
        <w:rPr>
          <w:rFonts w:ascii="Arial" w:cs="Arial" w:eastAsia="Arial" w:hAnsi="Arial"/>
          <w:sz w:val="20"/>
          <w:szCs w:val="20"/>
          <w:color w:val="231F20"/>
        </w:rPr>
      </w:pPr>
      <w:r>
        <w:rPr>
          <w:rFonts w:ascii="Times New Roman" w:cs="Times New Roman" w:eastAsia="Times New Roman" w:hAnsi="Times New Roman"/>
          <w:sz w:val="20"/>
          <w:szCs w:val="20"/>
          <w:color w:val="231F20"/>
        </w:rPr>
        <w:t>analogous state and foreign laws and regulations, such as state anti-kickback and false claims laws, may apply to sales or marketing arrangements and claims involving healthcare items or services reimbursed by non-governmental third-party payers, including private insurers.</w:t>
      </w:r>
    </w:p>
    <w:p>
      <w:pPr>
        <w:spacing w:after="0" w:line="6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Other federal and state laws, as well as the laws of foreign countries, generally prohibit individuals or entities from knowingly presenting, or causing to be presented, claims for payments to government or commercial payers that are false or fraudulent, or for items or services that were not provided as claimed.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product candidates and medical devices from government- funded healthcare programs, such as Medicare and Medicaid, disgorgement, contractual damages, reputational harm, diminished profits and future earnings, and the curtailment or restructuring of our operations. Moreover, any investigation into our practices could cause adverse publicity and require a costly and time-consuming response. If any physicians or other healthcare providers or entities with whom we expect to do business are found not to be in compliance with applicable laws, they may be subject to criminal, civil or administrative sanctions, including exclusions from government-funded healthcare programs.</w:t>
      </w:r>
    </w:p>
    <w:p>
      <w:pPr>
        <w:spacing w:after="0" w:line="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Manufacturers or laboratories that sell testing services to customers can also be held liable under these laws if they are deemed to “cause” the submission of false or fraudulent claims by providing inaccurate billing or coding information to customers, by providing improper financial inducements, or through certain other activities. We attempt to ensure that any billing and coding information we provide for our diagnostic tests emphasizes the need for physicians and other providers to make independent judgments, use accurate and appropriate billing and coding that complies with all applicable payer policies, and document the medical need for their patients as appropriate. Nevertheless, the government may not regard any billing errors that may be made by our customers as inadvertent and may examine our role in providing information to our customers, physicians and patients concerning the benefits and potential coverage of more frequent therapy.</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41</w:t>
      </w:r>
    </w:p>
    <w:p>
      <w:pPr>
        <w:sectPr>
          <w:pgSz w:w="11880" w:h="15480" w:orient="portrait"/>
          <w:cols w:equalWidth="0" w:num="1">
            <w:col w:w="10800"/>
          </w:cols>
          <w:pgMar w:left="540" w:top="750" w:right="54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i w:val="1"/>
          <w:iCs w:val="1"/>
          <w:color w:val="231F20"/>
        </w:rPr>
        <w:t>FDA regulation of our industry generally or our tests specifically could be disruptive to our business.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Our operations are subject to extensive federal, state, local and foreign laws and regulations, including FDA laws and regulations, all of which are subject to change. These laws and regulations are complex and are subject to interpretation by the courts and by government agencies. We believe that we are in material compliance with all statutory and regulatory requirements applicable to us, but there is a risk that one or more government agencies could take a contrary position, or that a private party could file suit under the qui tam provisions of the federal False Claims Act or a similar state law. Such occurrences, regardless of their outcome, could damage our reputation and adversely affect important business relationships with third parties, including managed care organizations, and other private third-party payers.</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FDA pays attention to marketing of pharmacogenetic tests. For example, in late 2018, the FDA issued a safety communication regarding genetic laboratory tests with claims to predict a patient’s response to specific medications that have not been reviewed by the FDA and may not be supported by clinical evidence. Among other tests, the FDA notice cited genetic tests that claim results can be used to help physicians identify which antidepressant medication would have increased effectiveness or side effects compared to other antidepressant medications. As explained by the FDA in its update to this safety communication, the FDA sent notices to several firms marketing such pharmacogenetic tests where the FDA believes the relationship between genetic variations and the medication’s effects has not been established, including a warning letter sent to a laboratory, in part, for failing to obtain premarket review of its test.</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If Congress were to enact legislation providing the FDA with jurisdiction over LDTs, or if the FDA otherwise issues new rules, policies, or guidance, due to new legislation or on its own accord, or otherwise determines that our tests are not LDTs, our tests may become subject to FDA requirements, including pre-market review. If this were to happen, it may impact our marketing practices relating to the relevant tests, which in turn may have an adverse impact on our business, financial condition and results of operations.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diagnostic testing industry is subject to extensive laws and regulations, many of which have not been interpreted by the courts. Tests without FDA clearance, approval, or authorization would not be considered covered countermeasures under the Public Readiness and Emergency Preparedness Act (PREP Act), which authorizes HHS to provide limited liability immunity protection to certain individuals and entities against a claim of loss under federal and state law “caused by, arising out of, relating to, or resulting from” the manufacture, distribution, administration, or use of a covered medical countermeasure, except for claims involving willful misconduct. Consequently, any violations of applicable laws, or allegations of such violations, could disrupt our operations, involve significant management distraction, involve significant costs and expenses, including legal fees and could result in a material adverse effect on our business, prospects, financial condition and results of operations.</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We are also subject to CLIA, a federal law that regulates clinical laboratories that perform testing on specimens derived from humans for the purpose of providing information for the diagnosis, prevention or treatment of disease. CLIA requires virtually all laboratories to be certified by the federal government and mandates compliance with various operational, personnel, facilities administration, quality and proficiency testing requirements intended to ensure that testing services are accurate, reliable and timely. CLIA certification is also a prerequisite to be eligible to bill state and federal health care programs, as well as many private third-party payers, for laboratory testing services. As a condition of CLIA certification, each of our laboratories is subject to survey and inspection every other year, in addition to being subject to additional random inspections. The biennial survey is conducted by CMS, a CMS agent (typically a state agency), or, if the laboratory holds a CLIA certificate of accreditation, a CMS-approved accreditation organization.</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Sanctions for failure to comply with CLIA requirements, including proficiency testing violations, may include suspension, revocation, or limitation of a laboratory’s CLIA certificate, which is necessary to conduct our business, as well as the imposition of significant fines or criminal penalties.</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Any sanction imposed under CLIA, its implementing regulations, or state or foreign laws or regulations governing licensure, or our failure to renew a CLIA certificate, a state or foreign license, or accreditation, could have a material adverse effect on our business. If the CLIA certificate of any one of our laboratories is revoked, CMS could seek revocation of the CLIA certificates of our other laboratories based on their common ownership or operation, even though they are separately certified.</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In addition, we are subject to state laws and regulations governing laboratory licensure. Some states have enacted state licensure laws that are more stringent than CLIA.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may also be subject to regulation in foreign jurisdictions as we seek to expand international utilization of our tests or such jurisdictions adopt new licensure requirements, which may require review of our tests in order to offer them or may have other limitations that may limit our ability to make our tests available outside of the United States. Complying with licensure requirements</w:t>
      </w:r>
    </w:p>
    <w:p>
      <w:pPr>
        <w:sectPr>
          <w:pgSz w:w="11880" w:h="15480" w:orient="portrait"/>
          <w:cols w:equalWidth="0" w:num="1">
            <w:col w:w="10800"/>
          </w:cols>
          <w:pgMar w:left="540" w:top="750" w:right="540" w:bottom="0" w:gutter="0" w:footer="0" w:header="0"/>
        </w:sect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42</w:t>
      </w:r>
    </w:p>
    <w:p>
      <w:pPr>
        <w:sectPr>
          <w:pgSz w:w="11880" w:h="15480" w:orient="portrait"/>
          <w:cols w:equalWidth="0" w:num="1">
            <w:col w:w="10800"/>
          </w:cols>
          <w:pgMar w:left="540" w:top="750" w:right="540" w:bottom="0" w:gutter="0" w:footer="0" w:header="0"/>
          <w:type w:val="continuous"/>
        </w:sectPr>
      </w:pPr>
    </w:p>
    <w:bookmarkStart w:id="44" w:name="page45"/>
    <w:bookmarkEnd w:id="44"/>
    <w:p>
      <w:pPr>
        <w:jc w:val="both"/>
        <w:spacing w:after="0" w:line="252" w:lineRule="auto"/>
        <w:rPr>
          <w:sz w:val="20"/>
          <w:szCs w:val="20"/>
          <w:color w:val="auto"/>
        </w:rPr>
      </w:pPr>
      <w:r>
        <w:rPr>
          <w:rFonts w:ascii="Times New Roman" w:cs="Times New Roman" w:eastAsia="Times New Roman" w:hAnsi="Times New Roman"/>
          <w:sz w:val="20"/>
          <w:szCs w:val="20"/>
          <w:color w:val="231F20"/>
        </w:rPr>
        <w:t>in new jurisdictions may be expensive, time-consuming and subject us to significant and unanticipated delays. Changes in state or foreign licensure laws that affect our ability to offer and provide diagnostic services across state or foreign country lines could materially and adversely affect our business. In addition, state and foreign requirements for laboratory certification may be costly or difficult to meet and could affect our ability to receive specimens from certain states or foreign countries.</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Failure to comply with applicable clinical laboratory licensure requirements may result in a range of enforcement actions, including suspension, limitation or revocation of our CLIA certificate and/or state licenses, imposition of a directed plan of action, onsite monitoring, civil monetary penalties, criminal sanctions and revocation of the laboratory’s approval to receive Medicare and Medicaid payment for its services, as well as significant adverse publicity. Any sanction imposed under CLIA, its implementing regulations, or state or foreign laws or regulations governing clinical laboratory licensure or our failure to renew our CLIA certificate, a state or foreign license or 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Our Louisville, Colorado and De Soto, Kansas laboratories are both CAP-accredited clinical laboratories regulated by CMS pursuant to CLIA. We also have a current CLIA certificate for each facility. To maintain these certificates, we are subject to survey and inspection every two years. Moreover, CLIA inspectors may make random inspections of our laboratory from time to time. Furthermore, our diagnostic tests are categorized as LDTs and are not currently subject to FDA enforcement, although certain components provided by third parties and used to create and/or administer the test may be. LDTs are a subset of IVDs that are intended for clinical use and developed, validated, and offered within a single laboratory for use only in that laboratory. Failure to adhere to any new FDA regulation would result in fines, product suspensions, warning letters, recalls, injunctions and other civil and criminal penalties.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FDA regulation of laboratory developed tests could have a material adverse effect on the Company’s business.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laws and regulations governing the marketing of diagnostic products are evolving, extremely complex and in many instances, there are no significant regulatory or judicial interpretations of these laws and regulations. Pursuant to its authority under the FDCA, the FDA has jurisdiction over medical devices, including in vitro diagnostics and, therefore, potentially our clinical laboratory tests.</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Pursuant to the FDCA and its implementing regulations, the FDA regulates the research, testing, manufacturing, safety, labeling, storage, recordkeeping, premarket clearance or approval, marketing and promotion, and sales and distribution of medical devices in the United States to ensure that medical products distributed domestically are safe and effective for their intended uses. Historically, the FDA has asserted that it has authority to regulate the development and use of LDTs, such as our and many other laboratories’ tests, as medical devices, although it has generally claimed to exercise enforcement discretion over most tests developed and performed within a single high complexity CLIA-certified laboratory. Pursuant to this enforcement discretion policy, FDA does not require laboratories that furnish LDTs to comply with the agency’s requirements for medical devices (e.g., establishment registration, device listing, quality systems regulations, premarket clearance or premarket approval, and post-market controls). FDA attempted to end this policy of enforcement discretion in a May 6, 2024, final rule. However on March 31, 2025, the U.S. District Court for the Eastern District of Texas struck down the FDA’s final rule, concluding that it exceeds FDA’s statutory jurisdiction, authority, or limitations. The final rule was vacated and remanded to FDA for further consideration based on the opinion, with the court stating that “[t]here is no likelihood that FDA can justify its decision on remand, given that the final rule exceeds its authority under the FDCA.” The government did not file an appeal to the decision, and in September 2025 FDA rescinded the final rule.</w:t>
      </w:r>
    </w:p>
    <w:p>
      <w:pPr>
        <w:spacing w:after="0" w:line="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believe that our tests, as utilized in our clinical laboratory, are and would be considered LDTs and that as a result, the FDA does not require that we obtain regulatory clearances or approvals for our LDTs or their components pursuant to the FDA’s current policies and guidance.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Congress could take action to amend the law to change the current regulatory framework for in vitro diagnostics and LDTs to require premarket FDA review of LDTs and other regulatory requirements. New requirements, whether imposed through legislation or administratively, could result in delay or additional expense in offering our tests and tests that we may develop in the future.</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Our operations, therefore, are or may become subject to extensive regulation by the FDA in the United States. Government regulations specific to medical devices are wide ranging and govern, among other things:</w:t>
      </w:r>
    </w:p>
    <w:p>
      <w:pPr>
        <w:spacing w:after="0" w:line="64" w:lineRule="exact"/>
        <w:rPr>
          <w:sz w:val="20"/>
          <w:szCs w:val="20"/>
          <w:color w:val="auto"/>
        </w:rPr>
      </w:pPr>
    </w:p>
    <w:p>
      <w:pPr>
        <w:ind w:left="860" w:hanging="370"/>
        <w:spacing w:after="0"/>
        <w:tabs>
          <w:tab w:leader="none" w:pos="86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test design, development, manufacture, and release;</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laboratory and clinical testing, labeling, packaging, storage, and distribution;</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safety and efficacy;</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premarketing clearance or approval;</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service operations;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6"/>
        </w:numPr>
        <w:rPr>
          <w:rFonts w:ascii="Arial" w:cs="Arial" w:eastAsia="Arial" w:hAnsi="Arial"/>
          <w:sz w:val="20"/>
          <w:szCs w:val="20"/>
          <w:color w:val="231F20"/>
        </w:rPr>
      </w:pPr>
      <w:r>
        <w:rPr>
          <w:rFonts w:ascii="Times New Roman" w:cs="Times New Roman" w:eastAsia="Times New Roman" w:hAnsi="Times New Roman"/>
          <w:sz w:val="20"/>
          <w:szCs w:val="20"/>
          <w:color w:val="231F20"/>
        </w:rPr>
        <w:t>record keeping;</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43</w:t>
      </w:r>
    </w:p>
    <w:p>
      <w:pPr>
        <w:sectPr>
          <w:pgSz w:w="11880" w:h="15480" w:orient="portrait"/>
          <w:cols w:equalWidth="0" w:num="1">
            <w:col w:w="10800"/>
          </w:cols>
          <w:pgMar w:left="540" w:top="750" w:right="540" w:bottom="0" w:gutter="0" w:footer="0" w:header="0"/>
          <w:type w:val="continuous"/>
        </w:sectPr>
      </w:pPr>
    </w:p>
    <w:bookmarkStart w:id="45" w:name="page46"/>
    <w:bookmarkEnd w:id="45"/>
    <w:p>
      <w:pPr>
        <w:ind w:left="860" w:hanging="370"/>
        <w:spacing w:after="0"/>
        <w:tabs>
          <w:tab w:leader="none" w:pos="86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marketing, promotion and advertising, sales, and distribution;</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post-marketing surveillance, including reporting of deaths or serious injuries and recalls and correction and removals;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post-market approval studies; and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7"/>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import and export.</w:t>
      </w:r>
    </w:p>
    <w:p>
      <w:pPr>
        <w:spacing w:after="0" w:line="11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The FDA and state authorities have broad enforcement powers. Our failure to comply with applicable regulatory requirements could result in enforcement action by any such agency, which may include any of the following sanctions:</w:t>
      </w:r>
    </w:p>
    <w:p>
      <w:pPr>
        <w:spacing w:after="0" w:line="64" w:lineRule="exact"/>
        <w:rPr>
          <w:sz w:val="20"/>
          <w:szCs w:val="20"/>
          <w:color w:val="auto"/>
        </w:rPr>
      </w:pPr>
    </w:p>
    <w:p>
      <w:pPr>
        <w:ind w:left="860" w:hanging="370"/>
        <w:spacing w:after="0" w:line="276" w:lineRule="auto"/>
        <w:tabs>
          <w:tab w:leader="none" w:pos="86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adverse publicity, warning letters, untitled letters, it has come to our attention letters, fines, injunctions, consent decrees and civil penalties;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repair, replacement, refunds, recall or seizure of our diagnostic tests;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operating restrictions, partial suspension, or total shutdown of production;</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denial of our requests for regulatory clearance or premarket approval of new diagnostic tests or services, new intended uses, or modifications to existing diagnostic tests or services;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withdrawal of regulatory clearance or premarket approvals that have already been granted; or</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8"/>
        </w:numPr>
        <w:rPr>
          <w:rFonts w:ascii="Arial" w:cs="Arial" w:eastAsia="Arial" w:hAnsi="Arial"/>
          <w:sz w:val="20"/>
          <w:szCs w:val="20"/>
          <w:color w:val="231F20"/>
        </w:rPr>
      </w:pPr>
      <w:r>
        <w:rPr>
          <w:rFonts w:ascii="Times New Roman" w:cs="Times New Roman" w:eastAsia="Times New Roman" w:hAnsi="Times New Roman"/>
          <w:sz w:val="20"/>
          <w:szCs w:val="20"/>
          <w:color w:val="231F20"/>
        </w:rPr>
        <w:t>criminal prosecution.</w:t>
      </w:r>
    </w:p>
    <w:p>
      <w:pPr>
        <w:spacing w:after="0" w:line="1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As discussed above, we believe that our current line of diagnostic tests and their components are LDTs, which are subject to state licensing requirements and federal regulation by CMS under CLIA.</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While we believe that we are currently in material compliance with applicable laws and regulations, it is possible that the FDA, or other regulatory agencies, would not agree with our determinations. If our products or services became subject to premarket submission and other FDA requirements, we would need to comply with the applicable regulations or face significant civil and criminal penalties. In addition, IVDs and CDx tests are widely considered to be Class III devices, and it is possible that in the future, we may develop tests that fall into this category. CDx tests in particular may require further administrative procedures in the IVD (PMA) submission process. Exposure to these additional regulatory requirements would also affect our business, financial condition and results of operations.</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b w:val="1"/>
          <w:bCs w:val="1"/>
          <w:i w:val="1"/>
          <w:iCs w:val="1"/>
          <w:color w:val="231F20"/>
        </w:rPr>
        <w:t>Our future success depends on our ability to develop, receive regulatory clearance or approval or certification for, and introduce new diagnostic tests or enhancements to existing diagnostic tests that will be accepted by the market in a timely manner. There is no guarantee that the FDA will grant 510(k) clearance, De Novo authorization, or PMA approval of our future diagnostic tests and failure to obtain necessary clearances or approvals for our future diagnostic tests would adversely affect our ability to grow our business.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It is important to our business that we build a pipeline of diagnostic test offerings that address limitations of current lung disease diagnostic tests. As such, our success will depend in part on our ability to develop and introduce new diagnostic tests. However, we may not be able to successfully develop and obtain regulatory clearance or approval or certification for enhancements to our existing diagnostic tests, or new diagnostic tests for any number of reasons, including due to the cost associated with certain regulatory approval requirements, or these diagnostic tests may not be accepted by physicians or users.</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success of any new diagnostic test or enhancement to an existing diagnostic test will depend on a number of factors, including our ability to, among others:</w:t>
      </w:r>
    </w:p>
    <w:p>
      <w:pPr>
        <w:spacing w:after="0" w:line="64" w:lineRule="exact"/>
        <w:rPr>
          <w:sz w:val="20"/>
          <w:szCs w:val="20"/>
          <w:color w:val="auto"/>
        </w:rPr>
      </w:pPr>
    </w:p>
    <w:p>
      <w:pPr>
        <w:ind w:left="860" w:hanging="370"/>
        <w:spacing w:after="0"/>
        <w:tabs>
          <w:tab w:leader="none" w:pos="86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identify and anticipate physician and patient needs properly;</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 and introduce new diagnostic tests or enhancements to our existing diagnostic tests in a timely manner;</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avoid infringing upon, misappropriating, or violating the intellectual property rights of third parties;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demonstrate, if required, the safety and efficacy of new diagnostic tests with data from clinical studies;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obtain the necessary regulatory clearances or approvals or certifications for new diagnostic tests or enhancements to existing diagnostic tests;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comply fully with FDA and foreign regulations on marketing of new diagnostic tests or modified diagnostic tests; and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29"/>
        </w:numPr>
        <w:rPr>
          <w:rFonts w:ascii="Arial" w:cs="Arial" w:eastAsia="Arial" w:hAnsi="Arial"/>
          <w:sz w:val="20"/>
          <w:szCs w:val="20"/>
          <w:color w:val="231F20"/>
        </w:rPr>
      </w:pPr>
      <w:r>
        <w:rPr>
          <w:rFonts w:ascii="Times New Roman" w:cs="Times New Roman" w:eastAsia="Times New Roman" w:hAnsi="Times New Roman"/>
          <w:sz w:val="20"/>
          <w:szCs w:val="20"/>
          <w:color w:val="231F20"/>
        </w:rPr>
        <w:t>provide adequate training to potential users of our diagnostic tests.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If we do not develop new diagnostic tests or enhancements to our existing diagnostic tests in time to meet market demand or if there is insufficient demand for these diagnostic tests or enhancements, or if our competitors introduce new diagnostic tests with functionalities that are superior to ours, our results of operations will suffer.</w:t>
      </w:r>
    </w:p>
    <w:p>
      <w:pPr>
        <w:sectPr>
          <w:pgSz w:w="11880" w:h="15480" w:orient="portrait"/>
          <w:cols w:equalWidth="0" w:num="1">
            <w:col w:w="10800"/>
          </w:cols>
          <w:pgMar w:left="540" w:top="764" w:right="540" w:bottom="0" w:gutter="0" w:footer="0" w:header="0"/>
        </w:sect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44</w:t>
      </w:r>
    </w:p>
    <w:p>
      <w:pPr>
        <w:sectPr>
          <w:pgSz w:w="11880" w:h="15480" w:orient="portrait"/>
          <w:cols w:equalWidth="0" w:num="1">
            <w:col w:w="10800"/>
          </w:cols>
          <w:pgMar w:left="540" w:top="764" w:right="540" w:bottom="0" w:gutter="0" w:footer="0" w:header="0"/>
          <w:type w:val="continuous"/>
        </w:sectPr>
      </w:pPr>
    </w:p>
    <w:bookmarkStart w:id="46" w:name="page47"/>
    <w:bookmarkEnd w:id="46"/>
    <w:p>
      <w:pPr>
        <w:jc w:val="both"/>
        <w:spacing w:after="0" w:line="247" w:lineRule="auto"/>
        <w:rPr>
          <w:sz w:val="20"/>
          <w:szCs w:val="20"/>
          <w:color w:val="auto"/>
        </w:rPr>
      </w:pPr>
      <w:r>
        <w:rPr>
          <w:rFonts w:ascii="Times New Roman" w:cs="Times New Roman" w:eastAsia="Times New Roman" w:hAnsi="Times New Roman"/>
          <w:sz w:val="20"/>
          <w:szCs w:val="20"/>
          <w:color w:val="231F20"/>
        </w:rPr>
        <w:t>Some of our future diagnostic tests may require FDA clearance of a 510(k) submission. Other diagnostic tests may require the approval of a PMA. In addition, some of our future diagnostic tests may require clinical trials to support regulatory approval and we may not successfully complete these clinical trials. The FDA may not approve or clear these diagnostic tests for the indications that are necessary or desirable for successful commercialization. Indeed, the FDA may refuse our requests for 510(k) clearance, De Novo authorization, or premarket approval of new diagnostic tests. Failure to receive clearance or approval for our new diagnostic tests would have an adverse effect on our ability to expand our business.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Modifications to our marketed tests may require new 510(k) clearances, De Novo authorizations, or PMA approvals, or may require us to cease marketing or recall the modified tests until clearances or approvals are obtained.</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Modifications to our diagnostic tests may require new regulatory approvals or clearances, including 510(k) clearances, De Novo authorizations, or premarket approvals,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significantly affect safety or efficacy and does not represent a major change in its intended use, so that no new submission is necessary. However, the FDA can review a manufacturer’s decision and may disagree. The FDA may also on its own initiative determine that a new clearance or approval is required. We have made modifications to our diagnostic tests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diagnostic tests as modified, which could require us to redesign our diagnostic tests and harm our operating results. In these circumstances, we may be subject to significant enforcement actions.</w:t>
      </w:r>
    </w:p>
    <w:p>
      <w:pPr>
        <w:spacing w:after="0" w:line="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Where we determine that modifications to our diagnostic tests require a new premarket submission, we may not be able to obtain the additional clearances or approvals for the modifications or additional indications in a timely manner, or at all. Obtaining clearances and approvals can be a time-consuming process, and delays in obtaining required future clearances or approvals would adversely affect our ability to introduce new or enhanced diagnostic tests in a timely manner, which in turn would harm our future growth.</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or our suppliers fail to comply with ongoing FDA or other domestic and foreign regulatory authority or conformity assessment body requirements, or if we experience unanticipated problems with our diagnostic tests, they could be subject to restrictions or withdrawal from the market.</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Any medical device that we manufacture, including those for which we obtain regulatory clearance or approval or certification, and the manufacturing processes, reporting requirements, post-approval clinical data and promotional activities for such diagnostic test, will be subject to continued regulatory review, oversight, and periodic inspections by the FDA and other domestic and foreign regulatory bodies or conformity assessment bodies. In particular, we and our suppliers may be required to comply with the FDA’s regulatory requirements for quality systems and other current good manufacturing practices of medical devices (codified at 21 CFR Part 820), ISO regulations for the manufacture of our diagnostic tests and other regulations which cover the methods and documentation of the design, testing, production, control, quality assurance, labeling, packaging, storage and shipping of any diagnostic test for which we obtain clearance or approval. Regulatory bodies, such as the FDA, and conformity assessment bodies enforce these manufacturing and quality management-related regulations through periodic inspections and audits. The failure by us or one of our suppliers to comply with applicable statutes and regulations administered by the FDA and other regulatory bodies or conformity assessment bodies, or the failure to timely and adequately respond to any adverse inspectional observations or product safety issues, could result in, among other things, one or more of the following enforcement actions:</w:t>
      </w:r>
    </w:p>
    <w:p>
      <w:pPr>
        <w:spacing w:after="0" w:line="100" w:lineRule="exact"/>
        <w:rPr>
          <w:sz w:val="20"/>
          <w:szCs w:val="20"/>
          <w:color w:val="auto"/>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untitled letters, warning letters, fines, injunctions, consent decrees and civil penalties;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unanticipated expenditures to address or defend such actions;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customer notifications for repair, replacement, or refunds;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recall, detention, or seizure of our diagnostic tests;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operating restrictions or partial suspension or total shutdown of production;</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refusing or delaying our requests for 510(k) clearance, De Novo authorization, or premarket approval of new diagnostic tests or modified versions of current diagnostic tests;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operating restrictions;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withdrawing 510(k) clearances, De Novo authorization, or PMA approvals that have already been granted;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revocation of EUAs that have been authorized previously;</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refusal to grant export approval for our diagnostic tests; and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0"/>
        </w:numPr>
        <w:rPr>
          <w:rFonts w:ascii="Arial" w:cs="Arial" w:eastAsia="Arial" w:hAnsi="Arial"/>
          <w:sz w:val="20"/>
          <w:szCs w:val="20"/>
          <w:color w:val="231F20"/>
        </w:rPr>
      </w:pPr>
      <w:r>
        <w:rPr>
          <w:rFonts w:ascii="Times New Roman" w:cs="Times New Roman" w:eastAsia="Times New Roman" w:hAnsi="Times New Roman"/>
          <w:sz w:val="20"/>
          <w:szCs w:val="20"/>
          <w:color w:val="231F20"/>
        </w:rPr>
        <w:t>criminal prosecution.</w:t>
      </w:r>
    </w:p>
    <w:p>
      <w:pPr>
        <w:sectPr>
          <w:pgSz w:w="11880" w:h="15480" w:orient="portrait"/>
          <w:cols w:equalWidth="0" w:num="1">
            <w:col w:w="10800"/>
          </w:cols>
          <w:pgMar w:left="540" w:top="750" w:right="540" w:bottom="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45</w:t>
      </w:r>
    </w:p>
    <w:p>
      <w:pPr>
        <w:sectPr>
          <w:pgSz w:w="11880" w:h="15480" w:orient="portrait"/>
          <w:cols w:equalWidth="0" w:num="1">
            <w:col w:w="10800"/>
          </w:cols>
          <w:pgMar w:left="540" w:top="750" w:right="540" w:bottom="0" w:gutter="0" w:footer="0" w:header="0"/>
          <w:type w:val="continuous"/>
        </w:sectPr>
      </w:pPr>
    </w:p>
    <w:bookmarkStart w:id="47" w:name="page48"/>
    <w:bookmarkEnd w:id="47"/>
    <w:p>
      <w:pPr>
        <w:jc w:val="both"/>
        <w:spacing w:after="0" w:line="252" w:lineRule="auto"/>
        <w:rPr>
          <w:sz w:val="20"/>
          <w:szCs w:val="20"/>
          <w:color w:val="auto"/>
        </w:rPr>
      </w:pPr>
      <w:r>
        <w:rPr>
          <w:rFonts w:ascii="Times New Roman" w:cs="Times New Roman" w:eastAsia="Times New Roman" w:hAnsi="Times New Roman"/>
          <w:sz w:val="20"/>
          <w:szCs w:val="20"/>
          <w:color w:val="231F20"/>
        </w:rPr>
        <w:t>If any of these actions were to occur it would harm our reputation and cause our diagnostic test sales and profitability to suffer and may prevent us from generating revenue. Furthermore, our key component suppliers may not currently be or may not continue to be in compliance with all applicable regulatory requirements which could result in our failure to produce our diagnostic tests on a timely basis and in the required quantities, if at all.</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addition, we are required to conduct surveillance to monitor the safety or effectiveness of our diagnostic tests, and we must comply with medical device reporting requirements, including the reporting of adverse events and malfunctions related to our diagnostic tests. Later discovery of previously unknown problems with our diagnostic tests, including unanticipated adverse events or adverse events of unanticipated severity or frequency, manufacturing problems, or failure to comply with regulatory requirements such as those applicable to our QMS, may result in changes to labeling, restrictions on such diagnostic tests or manufacturing processes, withdrawal of the diagnostic tests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diagnostic tests and services may in the future be subject to product recalls that could harm our reputation, business and financial results.</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Medical devices can experience performance problems in the field that require review and possible corrective action. The occurrence of component failures, manufacturing errors, software errors, design defects or labeling inadequacies affecting a medical device could lead to a government-mandated or voluntary recall by the device manufacturer, in particular when such deficiencies may endanger health. The FDA requires that certain classifications of recalls be reported to the FDA within 10 working days after the recall is initiated. Companies are required to maintain certain records of recalls, even if they are not reportable to the FDA. We may initiate voluntary recalls involving our diagnostic tests and services in the future that we determine do not require notification of the FDA. If the FDA disagrees with our determinations, they could require us to report those actions as recalls. Product recalls may divert management attention and financial resources, expose us to product liability or other claims, harm our reputation with customers and adversely impact our business, financial condition and results of operations. Other jurisdictions have similar recall requirements.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Legislative or regulatory reforms may make it more difficult and costly for us to obtain regulatory clearance or approval or certification of any future diagnostic tests and to manufacture, market and distribute our diagnostic tests after clearance or approval is obtained.</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From time to time, legislation is drafted and introduced in Congress that could significantly change the statutory provisions governing the regulatory approval, manufacture and marketing of regulated products or the reimbursement thereof. For example, the Verifying Accurate, Leading-edge IVCT Development (VALID) Act introduced in Congress would have codified into law the term “in vitro clinical test” in order to create a new medical product category separate from medical devices that would include products currently regulated as in vitro diagnostics as well as LDTs. The VALID Act was not passed into law, but similar such proposals may be introduced in the future.</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 addition, FDA regulations and guidance may be revised or reinterpreted by the FDA in ways that may significantly affect our business and our diagnostic tests. Although there is not currently active FDA regulation of LDTs pursuant to the March 31, 2025, U.S. district court ruling that vacated FDA’s May 6, 2024, final rule that would have introduced active regulation of LDTs as medical devices, FDA may still have authority over the reagents, instruments, software and components provided by third parties that we use to perform our LDTs.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Any new regulations or revisions or reinterpretations of existing regulations may impose additional costs or lengthen review times of planned or future diagnostic tests. It is impossible to predict whether legislative changes will be enacted or FDA regulations, guidance or interpretations changed, and what the impact of such changes, if any, may be.</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Any change in the laws or regulations that govern the clearance and approval processes relating to our current, planned and future diagnostic tests could make it more difficult and costly to obtain clearance or approval for new diagnostic tests or to produce, market and distribute existing diagnostic tests. Significant delays in receiving clearance or approval or the failure to receive clearance or approval for any new diagnostic tests would have an adverse effect on our ability to expand our business.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Clinical trials may be necessary to support future product submissions to FDA. These clinical trials are expensive and will require the enrollment of large numbers of patients, and suitable patients may be difficult to identify and recruit. Delays or failures in our clinical trials will prevent us from commercializing any modified or new diagnostic tests and will adversely affect our business, operating results and prospects.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Initiating and completing clinical trials necessary to support any future PMA applications, De Novo requests, and additional safety and efficacy data beyond that typically required for a 510(k) clearance, for our possible future product candidates, will be time consuming and expensive and the outcome uncertain. Moreover, the results of early clinical trials are not necessarily predictive of future results, and any product we advance into clinical trials may not have favorable results in later clinical trials.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46</w:t>
      </w:r>
    </w:p>
    <w:p>
      <w:pPr>
        <w:sectPr>
          <w:pgSz w:w="11880" w:h="15480" w:orient="portrait"/>
          <w:cols w:equalWidth="0" w:num="1">
            <w:col w:w="10800"/>
          </w:cols>
          <w:pgMar w:left="540" w:top="750" w:right="540" w:bottom="0" w:gutter="0" w:footer="0" w:header="0"/>
          <w:type w:val="continuous"/>
        </w:sectPr>
      </w:pPr>
    </w:p>
    <w:bookmarkStart w:id="48" w:name="page49"/>
    <w:bookmarkEnd w:id="48"/>
    <w:p>
      <w:pPr>
        <w:jc w:val="both"/>
        <w:spacing w:after="0" w:line="244" w:lineRule="auto"/>
        <w:rPr>
          <w:sz w:val="20"/>
          <w:szCs w:val="20"/>
          <w:color w:val="auto"/>
        </w:rPr>
      </w:pPr>
      <w:r>
        <w:rPr>
          <w:rFonts w:ascii="Times New Roman" w:cs="Times New Roman" w:eastAsia="Times New Roman" w:hAnsi="Times New Roman"/>
          <w:sz w:val="20"/>
          <w:szCs w:val="20"/>
          <w:color w:val="231F20"/>
        </w:rPr>
        <w:t>Conducting successful clinical studies will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ability to comply with the eligibility and exclusion criteria for participation in the clinical trial and patient compliance. For example, patients may be discouraged from enrolling in our clinical trials if the trial protocol requires them to undergo extensive post-treatment procedures or follow-up to assess the safety and effectiveness of our diagnostic tests or if they determine that the treatments received under the trial protocols are not attractive or involve unacceptable risks or discomforts.</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Development of sufficient and appropriate clinical protocols to demonstrate safety and efficacy are required and we may not adequately develop such protocols to support clearance and approval. Further, the FDA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diagnostic tests or result in the failure of the clinical trial. In addition, despite considerable time and expense invested in our clinical trials, the FDA may not consider our data adequate to demonstrate safety and efficacy. Such increased costs and delays or failures could adversely affect our business, operating results and prospects.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the third parties on which we rely to conduct our clinical trials and to assist us with pre-clinical development do not perform as contractually required or expected, we may not be able to obtain regulatory clearance or approval or certification for or commercialize our diagnostic tests and services.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We may not have the ability to independently conduct our pre-clinical and clinical trials for our future diagnostic tests and services and we must rely on third parties, such as contract research organizations, medical institutions, clinical investigators and contract laboratories to conduct such trials. If these third parties do not successfully carry out their contractual duties or regulatory obligations or meet expected deadlines, if these third parties need to be replaced, or if the quality or accuracy of the data they obtain is compromised due to the failure to adhere to our clinical protocols or regulatory requirements or for other reasons, our pre-clinical development activities or clinical trials may be extended, delayed, suspended or terminated, and we may not be able to obtain regulatory approval for, or successfully commercialize, our diagnostic tests and services on a timely basis, if at all, and our business, operating results and prospects may be adversely affected. Furthermore, our third-party clinical trial investigators may be delayed in conducting our clinical trials for reasons outside of their control.</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Our use, disclosure, and other processing of personally identifiable information, including health information, is subject to HIPAA and other federal, state, and foreign privacy and security regulations, and our failure to comply with those regulations or to adequately secure the information we hold could result in significant liability or reputational harm and, in turn, a material adverse effect on our business, operating results and prospects.</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We maintain and process, and our third-party vendors, collaborators, contractors and consultants maintain and process on our behalf, a large quantity of sensitive information, including confidential business, personal and patient health information in connection with our clinical studies and our employees, and are subject to data privacy and protection laws and regulations that apply to the collection, transmission, storage and use of personal information, which among other things, impose certain requirements relating to the privacy, security and transmission of personal information. These laws, rules and regulations evolve frequently and their scope may continually change, through new legislation, amendments to existing legislation and changes in enforcement, and may be inconsistent from one jurisdiction to another. The interpretation and application of consumer, health-related and data protection laws, especially with respect to genetic samples and data, in the United States, the EU and elsewhere, are often uncertain, contradictory and in flux. As a result, implementation standards and enforcement practices are likely to remain uncertain for the foreseeable future.</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In the United States, numerous federal and state laws and regulations, including state data breach notification laws, federal and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w:t>
      </w:r>
    </w:p>
    <w:p>
      <w:pPr>
        <w:spacing w:after="0" w:line="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Domestic laws in this area are complex and developing rapidly. Many state legislatures have adopted legislation relating to privacy and data security. The laws may be inconsistent, and compliance in the event of a widespread cybersecurity incident may be costly. States are also frequently amending existing laws, requiring attention to frequently changing regulatory requirements. For example, the CCPA requires disclosures to California consumers and affords such consumers rights to access and delete their personal information, opt-out of certain disclosures of personal information and receive detailed information about how their personal information is collected, used, and disclosed. The CCPA provides for fines per violation, as well as a private right of action for data breaches that has resulted in an uptick in data breach litigation against companies generally. While the CCPA and similar state laws have been amended, and more continue to be proposed, it is unclear how state privacy legislation will be further modified or how it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47</w:t>
      </w:r>
    </w:p>
    <w:p>
      <w:pPr>
        <w:sectPr>
          <w:pgSz w:w="11880" w:h="15480" w:orient="portrait"/>
          <w:cols w:equalWidth="0" w:num="1">
            <w:col w:w="10800"/>
          </w:cols>
          <w:pgMar w:left="540" w:top="750" w:right="540" w:bottom="0" w:gutter="0" w:footer="0" w:header="0"/>
          <w:type w:val="continuous"/>
        </w:sectPr>
      </w:pPr>
    </w:p>
    <w:bookmarkStart w:id="49" w:name="page50"/>
    <w:bookmarkEnd w:id="49"/>
    <w:p>
      <w:pPr>
        <w:jc w:val="both"/>
        <w:spacing w:after="0" w:line="277" w:lineRule="auto"/>
        <w:rPr>
          <w:sz w:val="20"/>
          <w:szCs w:val="20"/>
          <w:color w:val="auto"/>
        </w:rPr>
      </w:pPr>
      <w:r>
        <w:rPr>
          <w:rFonts w:ascii="Times New Roman" w:cs="Times New Roman" w:eastAsia="Times New Roman" w:hAnsi="Times New Roman"/>
          <w:sz w:val="20"/>
          <w:szCs w:val="20"/>
          <w:color w:val="231F20"/>
        </w:rPr>
        <w:t>will be interpreted. The effects of state comprehensive privacy legislation potentially are far-reaching and may require us to modify our data processing practices and policies and incur substantial compliance-related costs and expenses.</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In addition, numerous state and federal laws and regulations, including HIPAA, govern the collection, dissemination, use, privacy, confidentiality, security, availability, integrity, and other processing of PHI and PII. HIPAA establishes a set of national privacy and security standards for the protection of PHI by health plans, healthcare clearinghouses and certain healthcare providers, referred to as CEs and BA with whom such covered entities contract for services.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HIPAA provides for penalties for certain violations and authorizes state attorneys general to file suit on behalf of their residents. Courts may award damages, costs and attorneys’ fees related to violations of HIPAA in such cases. While HIPAA does not create a private right of action allowing individuals to sue us in civil court for violations of HIPAA, its standards have been used as the basis for duty of care in state civil suits such as those for negligence or recklessness in the misuse or breach of PHI.</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 addition, HIPAA provides authority for the primary federal regulator to conduct periodic compliance audits as well as initiate an investigation or compliance review following a reported breach of PHI. Undergoing an audit or compliance review can be costly, can result in fines or onerous obligations, and can result in adverse publicity or otherwise damage an entity’s reputation. This complex, dynamic legal landscape regarding privacy, data protection, and information security creates significant compliance issues for us and our clients and potentially exposes us to additional expense, adverse publicity and liability.</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may eventually operate in a number of countries outside of the United States whose laws, including data privacy laws, may in some cases be more stringent than the requirements in the United States. For example, some jurisdictions have specific requirements relating to cross-border transfers of personal data to certain jurisdictions, including to the United States, have strict requirements relating to personal data collection, use or sharing, and have more stringent requirements relating to organizations’ privacy programs and provide stronger individual rights. Moreover, we may also be subject to evolving international privacy and data security regulations which could result in greater compliance costs and in turn lead to penalties, where such compliance programs are not implemented correctly.</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Certain of our processing activities are subject to the EU General Data Protection Regulation and the UK General Data Protection Regulation (collectively, the “GDPR”). The GDPR imposes strict requirements on controllers and processors processing personal information and failure to comply with the requirements of the GDPR may result in significant fines and other administrative penalties.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GDPR also prohibits the transfer of personal data from the EEA/UK to a country outside of the EEA/UK (e.g., the United States) unless made to a country deemed to have adequate data privacy laws by the European Commission (or UK Government in case of the UK GDPR) or a data transfer mechanism has been put in place. Any changes with respect to adequacy decisions for transfers to the United States by the Court of Justice of the European Union (CJEU) or additional requirements or interpretations of laws with respect to cross-border data transfer mechanisms may lead to increased transaction, compliance, and technological costs.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Complying with these various laws and regulations could cause us to incur substantial costs or require us to change our business practices, systems and compliance procedures in a manner adverse to our business. This may be onerous and adversely affect our business, financial condition, results of operations and the profitability of our platform of diagnostic tests and may prevent us from providing certain offerings in jurisdictions in which we currently operate and in which we may operate in the future. Failure to comply with U.S. or global privacy or data security-related laws, rules or regulations could result in significant penalties imposed by regulators, affect our compliance with contracts entered into with our collaborators and other third-party payers, and have an adverse effect on our business and financial condition. The scope and enforcement of each of these laws is uncertain and subject to rapid change in the current environment of heightened regulatory focus on data privacy and security issues. Although we have implemented data privacy and security measures in an effort to comply with applicable laws and regulations relating to privacy and data protection and we endeavor to comply with our policies and documentation and ensure their alignment with current laws, rules and regulations, we may at times fail to do so or a regulator, court, or third party may allege that our practices are not sufficient to fully comply with the laws to which we are subject, resulting in regulatory scrutiny, fines, litigation, and potential reputational harm. We may also be subject to penalties, including, but not limited to, criminal, civil and administrative penalties, damages, fines, disgorgement, individual imprisonment, possible exclusion from participation in government healthcare programs, injunctions, private qui tam actions brought by individual whistleblowers in the name of the government, class action litigation and the curtailment or restructuring of our operations, as well as additional reporting obligations and oversight if we become subject to a corrective action plan or other agreement to resolve allegations of non-compliance with these laws, any of which could adversely affect our ability to operate our business and our results of operations.</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Furthermore, some PHI, PII, personal information, or confidential information is transmitted to us by third parties, who may not implement adequate security and privacy measures. It is possible that laws, rules and regulations relating to privacy, data protection, or information security may be interpreted and applied in a manner that is inconsistent with our practices or those of third parties who transmit such information to us. If we or these third parties are found to have violated such laws, rules or regulations, it could result in government-imposed fines, orders requiring that we or these third parties change our or their practices, or criminal charges, which could adversely affect our business.</w:t>
      </w:r>
    </w:p>
    <w:p>
      <w:pPr>
        <w:sectPr>
          <w:pgSz w:w="11880" w:h="15480" w:orient="portrait"/>
          <w:cols w:equalWidth="0" w:num="1">
            <w:col w:w="10800"/>
          </w:cols>
          <w:pgMar w:left="540" w:top="750" w:right="540" w:bottom="0"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48</w:t>
      </w:r>
    </w:p>
    <w:p>
      <w:pPr>
        <w:sectPr>
          <w:pgSz w:w="11880" w:h="15480" w:orient="portrait"/>
          <w:cols w:equalWidth="0" w:num="1">
            <w:col w:w="10800"/>
          </w:cols>
          <w:pgMar w:left="540" w:top="750" w:right="540" w:bottom="0" w:gutter="0" w:footer="0" w:header="0"/>
          <w:type w:val="continuous"/>
        </w:sectPr>
      </w:pPr>
    </w:p>
    <w:bookmarkStart w:id="50" w:name="page51"/>
    <w:bookmarkEnd w:id="50"/>
    <w:p>
      <w:pPr>
        <w:jc w:val="both"/>
        <w:spacing w:after="0" w:line="242" w:lineRule="auto"/>
        <w:rPr>
          <w:sz w:val="20"/>
          <w:szCs w:val="20"/>
          <w:color w:val="auto"/>
        </w:rPr>
      </w:pPr>
      <w:r>
        <w:rPr>
          <w:rFonts w:ascii="Times New Roman" w:cs="Times New Roman" w:eastAsia="Times New Roman" w:hAnsi="Times New Roman"/>
          <w:sz w:val="20"/>
          <w:szCs w:val="20"/>
          <w:color w:val="231F20"/>
        </w:rPr>
        <w:t>We regularly monitor, defend against and respond to cybersecurity incidents which may impact our facilities systems, or data. Despite our information security efforts, our facilities, systems, and data, as well as those of our third-party service providers, may be vulnerable to cybersecurity incidents including, but not limited to, cyber-attacks (including ransomware or other extortion tactics, viruses or other malicious code, unauthorized access attempts, and denial of service attacks), social engineering attacks (including phishing), fraudulent schemes, disruptions or interruptions, or other intentional or unintentional cybersecurity incidents caused by threat actors, technological vulnerabilities or human error. If we, or any of our vendors that support or have access to our facilities, systems, or data, including any third-party vendors that collect, process and store personal information or confidential information on our behalf, fail to comply with laws requiring the protection of personal information, or fail to safeguard and defend personal information or other critical data assets or facilities, systems, or data, or fail to report such an incident or significant and extended disruption in the timeframe required by law, we may be subject to regulatory scrutiny or enforcement and fines as well as private civil actions or suffer damage to our customer, stakeholder, and investor relationships or other reputational harm. We may be required to expend significant resources in the response, containment, mitigation of cybersecurity incidents as well as in defense against claims that our information security was unreasonable or otherwise violated applicable laws or contractual obligations. Furthermore, while we may be entitled to damages if our third-party service providers or other business partners fail to satisfy their security-related obligations to us, any award may be insufficient to cover our damages, or we may be unable to recover such award. While we have purchased cybersecurity insurance, there are no assurances that the coverage would be adequate in relation to any incurred losses. Moreover, as cyber-attacks and cyber intrusions increase in frequency and magnitude, we may be unable to obtain cybersecurity insurance in amounts and on terms we view as adequate for our operations.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Artificial intelligence introduces emerging risks and challenges to our business.</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Artificial intelligence (AI) is increasingly impacting life sciences and healthcare. We incorporated certain AI technologies into our operations to improve efficiency and drive innovation, and we may further expand our use of AI as the technology continues to evolve. However, AI innovation also introduces risks and challenges that could impact our business. AI technologies, including generative AI, are complex and rapidly evolving, and we face competition from other companies as well as an evolving regulatory landscape. Several jurisdictions around the globe, including Europe and the United States, have already proposed or enacted laws governing AI, and we may need to commit significant resources to maintain business practices that comply with the evolving regulatory landscape. Our competitors or other third parties may incorporate AI into their products more quickly and successfully than us, which could impair our ability to compete effectively and adversely affect our results of operations. Additionally, over-reliance on AI or dependence on a specific model or vendor may limit our flexibility, increase costs, or expose us to operational risks if the AI provider modifies or discontinues its services or increases its costs. Any of these issues could materially and adversely affect our business, financial condition, and results of operations.</w:t>
      </w:r>
    </w:p>
    <w:p>
      <w:pPr>
        <w:spacing w:after="0" w:line="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employees, collaborators, independent contractors and consultants may engage in misconduct or other improper activities, including noncompliance with regulatory standards and requirements.</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are exposed to the risk that our employees, collaborators, independent contractors and consultants may engage in fraudulent or other illegal activity with respect to our business. Misconduct by these employees could include intentional, reckless and/or negligent conduct or unauthorized activity that violates:</w:t>
      </w:r>
    </w:p>
    <w:p>
      <w:pPr>
        <w:spacing w:after="0" w:line="83" w:lineRule="exact"/>
        <w:rPr>
          <w:sz w:val="20"/>
          <w:szCs w:val="20"/>
          <w:color w:val="auto"/>
        </w:rPr>
      </w:pPr>
    </w:p>
    <w:p>
      <w:pPr>
        <w:ind w:left="860" w:hanging="370"/>
        <w:spacing w:after="0" w:line="276" w:lineRule="auto"/>
        <w:tabs>
          <w:tab w:leader="none" w:pos="86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FDA regulations, including those laws requiring the reporting of true, complete, and accurate information to the FDA authorities;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federal and state healthcare fraud and abuse laws and regulations; or</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1"/>
        </w:numPr>
        <w:rPr>
          <w:rFonts w:ascii="Arial" w:cs="Arial" w:eastAsia="Arial" w:hAnsi="Arial"/>
          <w:sz w:val="20"/>
          <w:szCs w:val="20"/>
          <w:color w:val="231F20"/>
        </w:rPr>
      </w:pPr>
      <w:r>
        <w:rPr>
          <w:rFonts w:ascii="Times New Roman" w:cs="Times New Roman" w:eastAsia="Times New Roman" w:hAnsi="Times New Roman"/>
          <w:sz w:val="20"/>
          <w:szCs w:val="20"/>
          <w:color w:val="231F20"/>
        </w:rPr>
        <w:t>laws that require the true, complete and accurate reporting of financial information or data.</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individually identifiable information, including, without limitation, the improper use of information obtained in the course of clinical trials, which could result in regulatory sanctions and serious harm to our reputation. Any incidents or any other conduct that leads to an employee, contractor, or other agent, or our company, receiving an FDA debarment or exclusion by the HHS Office of Inspector General (OIG) could result in penalties, a loss of business from third parties, and severe reputational harm.</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have adopted a Code of Business Conduct and Ethics and compliance policies to govern and deter such behaviors, but it is not always possible to identify and deter misconduct by our employees and other agents,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civil, criminal and administrative penalties, treble damages, monetary fines, disgorgement, imprisonment, possible exclusion from participation in Medicare, Medicaid and other federal healthcare</w:t>
      </w:r>
    </w:p>
    <w:p>
      <w:pPr>
        <w:sectPr>
          <w:pgSz w:w="11880" w:h="15480" w:orient="portrait"/>
          <w:cols w:equalWidth="0" w:num="1">
            <w:col w:w="10800"/>
          </w:cols>
          <w:pgMar w:left="540" w:top="750" w:right="540" w:bottom="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49</w:t>
      </w:r>
    </w:p>
    <w:p>
      <w:pPr>
        <w:sectPr>
          <w:pgSz w:w="11880" w:h="15480" w:orient="portrait"/>
          <w:cols w:equalWidth="0" w:num="1">
            <w:col w:w="10800"/>
          </w:cols>
          <w:pgMar w:left="540" w:top="750" w:right="540" w:bottom="0" w:gutter="0" w:footer="0" w:header="0"/>
          <w:type w:val="continuous"/>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20"/>
          <w:szCs w:val="20"/>
          <w:color w:val="231F20"/>
        </w:rPr>
        <w:t>programs, contractual damages, reputational harm, diminished profits and future earnings, additional reporting requirements and oversight if we become subject to a corporate integrity agreement or similar agreement to resolve allegations of non-compliance with these laws, and curtailment of our operations.</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Clinical development involves a lengthy and expensive process with an uncertain outcome, and results of earlier studies and trials may not be predictive of future trial results.</w:t>
      </w:r>
    </w:p>
    <w:p>
      <w:pPr>
        <w:spacing w:after="0" w:line="4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Our ongoing research and development and clinical trial activities are subject to extensive regulation and review by numerous governmental authorities both in the United States and abroad. We are currently conducting pre-and post-market clinical studies of some of our tests. In the future we may conduct clinical trials to support approval of new diagnostic tests and services, or new indications. Clinical studies may need to be conducted in compliance with FDA regulations or the FDA may take enforcement action. The data collected from these clinical studies may ultimately be used to support marketing authorization for these diagnostic tests and services. Even if our clinical trials are completed as planned, we cannot be certain that their results will support our product candidate claims or that the FDA or foreign authorities and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tests are safe and effective for the proposed indicated uses, which could cause us to abandon development of our tests and may delay development of others. Any delay or termination of our clinical trials will delay the filing of our product submissions and, ultimately, may impact our ability to commercialize our tests and generate revenues.</w:t>
      </w:r>
    </w:p>
    <w:p>
      <w:pPr>
        <w:spacing w:after="0" w:line="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Many of the factors that may cause or lead to a delay in the commencement or completion of clinical trials may also ultimately lead to delay or denial of regulatory clearance or approval or certification. The commencement of clinical trials may be delayed due to insufficient patient enrollment, which is a function of many factors, including the size of the patient population, the nature of the protocol, the proximity of patients to clinical sites and the eligibility criteria for the clinical trial.</w:t>
      </w:r>
    </w:p>
    <w:p>
      <w:pPr>
        <w:spacing w:after="0" w:line="7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We may find it necessary to engage contract research organizations to perform data collection and analysis and other aspects of our clinical trials, which might increase the cost and complexity of our trials. We may also depend on clinical investigators, medical institutions, and contract research organizations to perform the trials, and would control only certain aspects of their activities. Nevertheless, we would be responsible for ensuring that each of our trials is conducted in accordance with the applicable protocol, legal, regulatory and scientific standards, and our reliance on these third parties would not relieve us of our regulatory responsibilities. We and our third-party contractors are required to comply with good clinical practices (GCPs) which are regulations and guidelines enforced by the FDA, and comparable regulations enforced by foreign regulatory authorities for products in clinical development. Regulatory authorities enforce these GCPs through periodic inspections of trial sponsors, principal investigators and trial sites. If we or any third-party contractor fails to comply with applicable GCPs, the clinical data generated in clinical trials may be deemed unreliable and the FDA or comparable foreign regulatory authorities or conformity assessment bodies may require us to perform additional clinical trials before clearing or approving our marketing applications. A failure to comply with these regulations may require us to repeat clinical trials, which would delay the regulatory clearance or approval or certification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w:t>
      </w:r>
    </w:p>
    <w:p>
      <w:pPr>
        <w:spacing w:after="0" w:line="9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Many of these factors could be beyond our control. We may not be able to undertake additional trials, repeat trials or enter into new arrangements with third parties without undue delays or considerable expenditures. If there are delays in testing or clearances or approvals as a result of the failure to perform by third parties, our research and development costs would increase and we may not be able to obtain regulatory clearance or approval or certification for our tests. In addition, we may not be able to establish or maintain relationships with these parties on favorable terms, if at all. Each of these outcomes would harm our ability to market our tests, or to achieve sustained profitability.</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 results of our clinical trials may not support our product candidate claims or may result in the discovery of adverse side effects.</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cannot be certain that the results of our future clinical trials will support our future product claims or that the FDA or comparable foreign regulatory authorities or conformity assessment bodies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revenues. It is also possible that patients enrolled in clinical trials will experience adverse side effects that are not currently part of the future product’s profile.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50</w:t>
      </w:r>
    </w:p>
    <w:p>
      <w:pPr>
        <w:sectPr>
          <w:pgSz w:w="11880" w:h="15480" w:orient="portrait"/>
          <w:cols w:equalWidth="0" w:num="1">
            <w:col w:w="10800"/>
          </w:cols>
          <w:pgMar w:left="540" w:top="750" w:right="540" w:bottom="0" w:gutter="0" w:footer="0" w:header="0"/>
          <w:type w:val="continuous"/>
        </w:sectPr>
      </w:pPr>
    </w:p>
    <w:bookmarkStart w:id="52" w:name="page53"/>
    <w:bookmarkEnd w:id="52"/>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billing, collections and claims processing activities are complex and time-consuming, and any delay in transmitting and collecting claims or failure to comply with applicable billing requirements, could have an adverse effect on our future revenue.</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Billing for our tests is complex, time-consuming and expensive. Depending on the billing arrangement and applicable law, we bill various payers, such as government payers, insurance companies and patients, all of which may have different billing requirements. We may face increased risk in our collection efforts, including long collection cycles and the risk that we may never collect at all, either of which could adversely affect our business, financial condition and results of operations. Several factors make the billing process complex, including:</w:t>
      </w:r>
    </w:p>
    <w:p>
      <w:pPr>
        <w:spacing w:after="0" w:line="91" w:lineRule="exact"/>
        <w:rPr>
          <w:sz w:val="20"/>
          <w:szCs w:val="20"/>
          <w:color w:val="auto"/>
        </w:rPr>
      </w:pPr>
    </w:p>
    <w:p>
      <w:pPr>
        <w:ind w:left="860" w:hanging="370"/>
        <w:spacing w:after="0"/>
        <w:tabs>
          <w:tab w:leader="none" w:pos="86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between the list price for our tests and the reimbursement rates of payers;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compliance with complex federal and state regulations related to billing government healthcare programs, including Medicare and Medicaid, to the extent our tests are covered by such programs;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in coverage among payers and the effect of patient co-payments or co-insurance;</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differences in information and billing requirements among payers;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to codes and coding instructions governing our tests;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incorrect or missing billing information; and</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2"/>
        </w:numPr>
        <w:rPr>
          <w:rFonts w:ascii="Arial" w:cs="Arial" w:eastAsia="Arial" w:hAnsi="Arial"/>
          <w:sz w:val="20"/>
          <w:szCs w:val="20"/>
          <w:color w:val="231F20"/>
        </w:rPr>
      </w:pPr>
      <w:r>
        <w:rPr>
          <w:rFonts w:ascii="Times New Roman" w:cs="Times New Roman" w:eastAsia="Times New Roman" w:hAnsi="Times New Roman"/>
          <w:sz w:val="20"/>
          <w:szCs w:val="20"/>
          <w:color w:val="231F20"/>
        </w:rPr>
        <w:t>the resources required to manage the billing and claims appeals process.</w:t>
      </w:r>
    </w:p>
    <w:p>
      <w:pPr>
        <w:spacing w:after="0" w:line="1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These billing complexities and the related uncertainty in obtaining payment for our tests could negatively affect our revenue and cash flow, our ability to achieve profitability and the consistency and comparability of our results of operations. In addition, if claims for our tests are not submitted to payers on a timely basis, or if we fail to comply with applicable billing requirements, it could have an adverse effect on our revenue and our business.</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Third-party payers require us to identify the test for which we are seeking reimbursement using a Current Procedural Terminology (CPT) code. The CPT code set is maintained by the American Medical Association (AMA). In cases where there is not a specific CPT code to describe a test, such as with the GeneStrat NGS test, the test may be billed under an unlisted molecular pathology procedure code or through the use of a combination of single gene CPT codes, depending on the payer. The Protecting Access to Medicare Act of 2014 (PAMA) authorized the adoption of new, temporary billing codes and unique test identifiers for FDA-cleared or approved tests as well as advanced diagnostic laboratory tests. The AMA has created a new section of CPT codes, Proprietary Laboratory Analyses codes to facilitate implementation of this section of PAMA. In addition, CMS may assign unique level II Healthcare Common Procedure Coding System (HCPCS) codes to tests that are not already described by a unique CPT code. The VeriStrat, Nodify XL2, and Nodify CDT tests have test specific CPT codes, but the GeneStrat NGS test does not at this time.</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the instance where a code used does not describe a specific test, the insurance claim must be examined to determine what test was provided. Additionally, in some cases the third party payer determines that the insurance claim must be examined to determine whether the test was appropriate and medically necessary, and whether payment should be rendered, which may require a letter of medical necessity from the ordering physician. This process can result in a delay in processing the claim, a lower reimbursement amount or denial of the claim. As a result, obtaining approvals from third-party payers to cover our tests and establishing adequate reimbursement levels is an unpredictable, challenging, time-consuming and costly process and we may never be successful.</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and our third-party manufacturers and suppliers must comply with environmental, health and safety laws and regulations, which can be expensive and restrict how we do, or interrupt our, business.</w:t>
      </w:r>
    </w:p>
    <w:p>
      <w:pPr>
        <w:spacing w:after="0" w:line="4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Our research and development activities and our third -party manufacturers’ and suppliers’ activities involve the generation, use, storage and disposal of hazardous materials. We work with materials, including chemicals, biological agents and compounds and samples that could be hazardous to human health and safety or the environment. Our operations also produce hazardous and biological waste products. Accordingly, we and our third-party manufacturers and suppliers are subject to federal, state, local and foreign environmental, health and safety laws and regulations, and permitting and licensing requirements, including those governing the generation, use, manufacture, storage, handling, transportation, release and disposal of, and exposure to, these materials, and worker health and safety.</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cannot eliminate the risk of contamination or injury resulting from such hazardous materials. We also cannot guarantee that the procedures utilized by our third- party manufacturers for handling and disposing of hazardous materials and wastes comply with all applicable environmental, health and safety laws and regulations. As a result, we may be held liable for any resulting damages, costs or liabilities, including cleanup costs and liabilities, which could be significant, or our commercialization, research and development efforts and business operations may be restricted or interrupted.</w:t>
      </w:r>
    </w:p>
    <w:p>
      <w:pPr>
        <w:spacing w:after="0" w:line="7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Environmental, health and safety laws and regulations are complex, change frequently and have tended to become more stringent. Compliance with such laws and regulations is expensive, and current or future environmental, health and safety laws and regulations</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51</w:t>
      </w:r>
    </w:p>
    <w:p>
      <w:pPr>
        <w:sectPr>
          <w:pgSz w:w="11880" w:h="15480" w:orient="portrait"/>
          <w:cols w:equalWidth="0" w:num="1">
            <w:col w:w="10800"/>
          </w:cols>
          <w:pgMar w:left="540" w:top="750" w:right="540" w:bottom="0" w:gutter="0" w:footer="0" w:header="0"/>
          <w:type w:val="continuous"/>
        </w:sectPr>
      </w:pPr>
    </w:p>
    <w:bookmarkStart w:id="53" w:name="page54"/>
    <w:bookmarkEnd w:id="53"/>
    <w:p>
      <w:pPr>
        <w:jc w:val="both"/>
        <w:spacing w:after="0" w:line="277" w:lineRule="auto"/>
        <w:rPr>
          <w:sz w:val="20"/>
          <w:szCs w:val="20"/>
          <w:color w:val="auto"/>
        </w:rPr>
      </w:pPr>
      <w:r>
        <w:rPr>
          <w:rFonts w:ascii="Times New Roman" w:cs="Times New Roman" w:eastAsia="Times New Roman" w:hAnsi="Times New Roman"/>
          <w:sz w:val="20"/>
          <w:szCs w:val="20"/>
          <w:color w:val="231F20"/>
        </w:rPr>
        <w:t>may restrict our operations. If we do not comply with applicable environmental health and safety laws and regulations, and permitting and licensing requirements, we may be subject to fines, penalties, a suspension of our business or other sanctions.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Risks Related to our Intellectual Property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success may be impaired if we are unable to obtain, maintain and protect our intellectual property rights.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commercial success will depend in part on our ability to obtain and maintain patent and other intellectual property protection in the United States and other countries with respect to our diagnostic tests, products and services and technology. We rely on patent protection, as well as a combination of copyright, trade secret and trademark laws, to protect our proprietary technology and prevent others from duplicating our suite of diagnostic tests and products. However, these means may afford only limited protection and may not:</w:t>
      </w:r>
    </w:p>
    <w:p>
      <w:pPr>
        <w:spacing w:after="0" w:line="91" w:lineRule="exact"/>
        <w:rPr>
          <w:sz w:val="20"/>
          <w:szCs w:val="20"/>
          <w:color w:val="auto"/>
        </w:rPr>
      </w:pPr>
    </w:p>
    <w:p>
      <w:pPr>
        <w:ind w:left="860" w:hanging="370"/>
        <w:spacing w:after="0" w:line="276" w:lineRule="auto"/>
        <w:tabs>
          <w:tab w:leader="none" w:pos="86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prevent our competitors from duplicating our diagnostic tests and products, including our Nodify XL2, Nodify CDT, GeneStrat, GeneStrat NGS and VeriStrat tests;</w:t>
      </w:r>
    </w:p>
    <w:p>
      <w:pPr>
        <w:spacing w:after="0" w:line="64" w:lineRule="exact"/>
        <w:rPr>
          <w:rFonts w:ascii="Arial" w:cs="Arial" w:eastAsia="Arial" w:hAnsi="Arial"/>
          <w:sz w:val="20"/>
          <w:szCs w:val="20"/>
          <w:color w:val="231F20"/>
        </w:rPr>
      </w:pPr>
    </w:p>
    <w:p>
      <w:pPr>
        <w:jc w:val="both"/>
        <w:ind w:left="860" w:hanging="370"/>
        <w:spacing w:after="0" w:line="258" w:lineRule="auto"/>
        <w:tabs>
          <w:tab w:leader="none" w:pos="86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prevent our competitors from gaining access to our proprietary information and technology, including our AI platform, tech platforms such as the DeepMALDI analysis and intellectual property covering technologies that allow us to develop “test algorithms”; or</w:t>
      </w:r>
    </w:p>
    <w:p>
      <w:pPr>
        <w:spacing w:after="0" w:line="81" w:lineRule="exact"/>
        <w:rPr>
          <w:rFonts w:ascii="Arial" w:cs="Arial" w:eastAsia="Arial" w:hAnsi="Arial"/>
          <w:sz w:val="20"/>
          <w:szCs w:val="20"/>
          <w:color w:val="231F20"/>
        </w:rPr>
      </w:pPr>
    </w:p>
    <w:p>
      <w:pPr>
        <w:ind w:left="860" w:hanging="370"/>
        <w:spacing w:after="0"/>
        <w:tabs>
          <w:tab w:leader="none" w:pos="860" w:val="left"/>
        </w:tabs>
        <w:numPr>
          <w:ilvl w:val="0"/>
          <w:numId w:val="33"/>
        </w:numPr>
        <w:rPr>
          <w:rFonts w:ascii="Arial" w:cs="Arial" w:eastAsia="Arial" w:hAnsi="Arial"/>
          <w:sz w:val="20"/>
          <w:szCs w:val="20"/>
          <w:color w:val="231F20"/>
        </w:rPr>
      </w:pPr>
      <w:r>
        <w:rPr>
          <w:rFonts w:ascii="Times New Roman" w:cs="Times New Roman" w:eastAsia="Times New Roman" w:hAnsi="Times New Roman"/>
          <w:sz w:val="20"/>
          <w:szCs w:val="20"/>
          <w:color w:val="231F20"/>
        </w:rPr>
        <w:t>allow us to gain or maintain a competitive advantage.</w:t>
      </w:r>
    </w:p>
    <w:p>
      <w:pPr>
        <w:spacing w:after="0" w:line="1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Any of our patents, including those we may license, may be challenged, invalidated, rendered unenforceable or circumvented. Consequently, we do not know whether any of our diagnostic tests, products and services will be protectable or remain protected by valid and enforceable patents. We may not prevail if our patents are challenged by competitors or other third parties. The United States federal courts or equivalent national courts or patent offices elsewhere may invalidate our patents, find them unenforceable, or narrow their scope. Furthermore, competitors may be able to design around our patents by developing similar or alternative technologies or products in a non-infringing manner, or obtain patent protection for more effective technologies, designs or methods, including for treating lung cancer. If these developments were to occur, our diagnostic tests and products may become less competitive and sales may decline.</w:t>
      </w:r>
    </w:p>
    <w:p>
      <w:pPr>
        <w:spacing w:after="0" w:line="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We have filed numerous patent applications seeking protection of diagnostic tests and other inventions originating from our research and development. Our patent applications may not result in issued patents, and any patents that are issued may not provide meaningful protection against competitors or competitive technologies. Further, the examination process may require us to narrow the claims for our pending patent applications, which may limit the scope of patent protection that may be obtained if these applications issue. The scope of a patent may also be reinterpreted and significantly reduced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the protection or competitive advantages we are seeking.</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Moreover, some of our owned and in-licensed patents and patent applications are, and may in the future be, co-owned with third parties. If we are unable to obtain or maintain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 results of operations, and prospects.</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The patent position of biotechnology companies generally is highly uncertain, involves complex legal and factual questions, and has been the subject of much litigation in recent years. No consistent policy regarding the breadth of claims allowed in biotechnology and pharmaceutical patents has emerged to date in the United States or in many foreign jurisdictions. In addition, the determination of patent rights with respect to pharmaceutical compounds and technologies commonly involves complex legal and factual questions, which has in recent years been the subject of much litigation. Various courts, including the United States Supreme Court have rendered decisions that affect the scope of patentability of certain inventions or discoveries relating to biotechnology.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our technology could be considered unpatentable under applicable law. As a result, the issuance, scope, validity, enforceability, and commercial value of our patent rights are highly uncertain. Depending on decisions by the United States Congress, the federal courts and the USPTO, the laws and regulations governing patents could change in unpredictable ways that would weaken our and our licensors’ ability to obtain new patents or to enforce our existing owned or in -licensed patents and patents that we might obtain or in-license in the future. Additionally, our pending and future patent applications may not result in patents being issued which protect our technology or products or which effectively prevent others from commercializing competitive technologies and products. The scope of patent protection outside of the United States is also uncertain. Changes in either the patent laws or their interpretation in the United States and other countries may diminish our ability to protect our</w:t>
      </w:r>
    </w:p>
    <w:p>
      <w:pPr>
        <w:sectPr>
          <w:pgSz w:w="11880" w:h="15480" w:orient="portrait"/>
          <w:cols w:equalWidth="0" w:num="1">
            <w:col w:w="10800"/>
          </w:cols>
          <w:pgMar w:left="540" w:top="750" w:right="540" w:bottom="0" w:gutter="0" w:footer="0" w:header="0"/>
        </w:sect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52</w:t>
      </w:r>
    </w:p>
    <w:p>
      <w:pPr>
        <w:sectPr>
          <w:pgSz w:w="11880" w:h="15480" w:orient="portrait"/>
          <w:cols w:equalWidth="0" w:num="1">
            <w:col w:w="10800"/>
          </w:cols>
          <w:pgMar w:left="540" w:top="750" w:right="540" w:bottom="0" w:gutter="0" w:footer="0" w:header="0"/>
          <w:type w:val="continuous"/>
        </w:sectPr>
      </w:pPr>
    </w:p>
    <w:bookmarkStart w:id="54" w:name="page55"/>
    <w:bookmarkEnd w:id="54"/>
    <w:p>
      <w:pPr>
        <w:jc w:val="both"/>
        <w:spacing w:after="0" w:line="277" w:lineRule="auto"/>
        <w:rPr>
          <w:sz w:val="20"/>
          <w:szCs w:val="20"/>
          <w:color w:val="auto"/>
        </w:rPr>
      </w:pPr>
      <w:r>
        <w:rPr>
          <w:rFonts w:ascii="Times New Roman" w:cs="Times New Roman" w:eastAsia="Times New Roman" w:hAnsi="Times New Roman"/>
          <w:sz w:val="20"/>
          <w:szCs w:val="20"/>
          <w:color w:val="231F20"/>
        </w:rPr>
        <w:t>inventions, obtain, maintain, and enforce our intellectual property rights and, more generally, could affect the value of our intellectual property rights or narrow the scope of our owned and licensed patents.</w:t>
      </w:r>
    </w:p>
    <w:p>
      <w:pPr>
        <w:spacing w:after="0" w:line="4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If we are unable to obtain and maintain patent protection for our technology, or if the scope of the patent protection obtained is not sufficient, our competitors could develop and commercialize diagnostic tests, products and services similar or superior to ours, and our competitive position may be adversely affected. It is also possible that we will fail to identify patentable aspects of inventions made in the course of our development and commercialization activities before it is too late to obtain patent protection on them. Therefore, we may miss potential opportunities to strengthen our patent position. In addition, the patent prosecution process is expensive, time-consuming and complex, and we may not be able to file, prosecute, maintain, enforce or license all necessary or desirable patent applications at a reasonable cost or in a timely manner. Although we enter into non-disclosure and confidentiality agreements with parties who have access to confidential or patentable aspects of our research and development output, such as our employees, consultants, advisors and other third parties, any of these parties may breach the agreements and disclose such output before a patent application is filed, thereby jeopardizing our ability to seek patent protection.</w:t>
      </w:r>
    </w:p>
    <w:p>
      <w:pPr>
        <w:spacing w:after="0" w:line="8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Additionally, while software and other of our proprietary works may be protected under copyright law, we have chosen not to register any copyrights in these works, and instead, primarily rely on protecting our software as a trade secret. In order to bring a copyright infringement lawsuit in the United States, the copyright must be registered. Accordingly, the remedies and damages available to us for unauthorized use of our copyrights may be limited.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If we are unable to protect the confidentiality of our trade secrets, our business and competitive position may be harmed.</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addition to seeking patent protection for the patents underlying our diagnostic tests, products and services, we also rely upon unpatented trade secrets, know-how and continuing technological innovation to develop and maintain a competitive position. Trade secrets and know-how can be difficult to protect. We seek to protect such proprietary information, in part, through confidentiality agreements with our employees, collaborators, contractors, advisors, consultants and other third parties and invention assignment agreements with our employees. We also have agreements with some of our consultants that require them to assign to us any inventions created as a result of their working with us. The confidentiality agreements are designed to protect our proprietary information and, in the case of agreements or clauses containing invention assignment, to grant us ownership of technologies that are developed through a relationship with employees or third parties.</w:t>
      </w:r>
    </w:p>
    <w:p>
      <w:pPr>
        <w:spacing w:after="0" w:line="8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We cannot guarantee that we have entered into such agreements with each party that has or may have had access to our trade secrets or proprietary information. Additionally,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 Furthermore, we expect these trade secrets, know -how and proprietary information to over time be disseminated within the industry through independent development, the publication of journal articles describing the methodology and the movement of personnel from academic to industry scientific positions. Consequently, we may be unable to prevent our proprietary technology from being exploited in the United States and abroad, which could affect our ability to expand in domestic and international markets or require costly efforts to protect our technology.</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To the extent that our employees, consultants, contractors or collaborators use intellectual property rights owned by others in their work for us, disputes may arise as to the rights in related or resulting know-how and inventions, which could have a material adverse effect on our business, financial condition and results of operations.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We may be subject to claims that we or our employees have misappropriated the intellectual property rights of a third party, including trade secrets or know-how, or are in breach of non-competition or non-solicitation agreements with our competitors, and third parties may claim an ownership interest in intellectual property we regard as our own.</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Many of our employees and consultants were previously employed at or engaged by universities or other medical device, diagnostic, biotechnology or pharmaceutical companies, including our competitors or potential competitors. Some of these employees, consultants and contractors, may have executed proprietary rights, non-disclosure and non-competition agreements in connection with such previous employment. Although we try to ensure that our employees, consultants and independent contractors do not use the intellectual property rights, proprietary information, know-how or trade secrets of others in their work for us, we may be subject to claims that we or these individuals have, inadvertently or otherwise, used, infringed, misappropriated or otherwise violated the intellectual property rights or disclosed the alleged trade secrets or other proprietary information, of these former employers,</w:t>
      </w:r>
    </w:p>
    <w:p>
      <w:pPr>
        <w:sectPr>
          <w:pgSz w:w="11880" w:h="15480" w:orient="portrait"/>
          <w:cols w:equalWidth="0" w:num="1">
            <w:col w:w="10800"/>
          </w:cols>
          <w:pgMar w:left="540" w:top="750" w:right="540" w:bottom="0" w:gutter="0" w:footer="0" w:header="0"/>
        </w:sect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53</w:t>
      </w:r>
    </w:p>
    <w:p>
      <w:pPr>
        <w:sectPr>
          <w:pgSz w:w="11880" w:h="15480" w:orient="portrait"/>
          <w:cols w:equalWidth="0" w:num="1">
            <w:col w:w="10800"/>
          </w:cols>
          <w:pgMar w:left="540" w:top="750" w:right="540" w:bottom="0" w:gutter="0" w:footer="0" w:header="0"/>
          <w:type w:val="continuous"/>
        </w:sectPr>
      </w:pPr>
    </w:p>
    <w:bookmarkStart w:id="55" w:name="page56"/>
    <w:bookmarkEnd w:id="55"/>
    <w:p>
      <w:pPr>
        <w:jc w:val="both"/>
        <w:spacing w:after="0" w:line="246" w:lineRule="auto"/>
        <w:rPr>
          <w:sz w:val="20"/>
          <w:szCs w:val="20"/>
          <w:color w:val="auto"/>
        </w:rPr>
      </w:pPr>
      <w:r>
        <w:rPr>
          <w:rFonts w:ascii="Times New Roman" w:cs="Times New Roman" w:eastAsia="Times New Roman" w:hAnsi="Times New Roman"/>
          <w:sz w:val="20"/>
          <w:szCs w:val="20"/>
          <w:color w:val="231F20"/>
        </w:rPr>
        <w:t>competitors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or personnel, which could adversely impact our business. Any litigation or the threat of litigation may adversely affect our ability to hire employees or contract with independent sales representatives. A loss of key personnel or their work product could hamper or prevent our ability to commercialize potential diagnostic tests, products and services, which could harm our business. Even if we are successful in defending against these claims, litigation could result in substantial costs and be a distraction to management and other employees.</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Additionally, we may be subject to claims from third parties challenging our ownership interest in intellectual property rights we regard as our own, based on claims that our employees or consultants have breached an obligation to assign inventions to another employer, to a former employer, or to another person or entity. Litigation may be necessary to defend against any other claims, and it may be necessary or we may desire to enter into a license to settle any such claim; however, there can be no assurance that we would be able to obtain a license on commercially reasonable terms, if at all. If our defense to those claims fails, in addition to paying monetary damages, a court could prohibit us from using technologies or features that are essential to our diagnostic tests or products, if such technologies or features are found to incorporate or be derived from the trade secrets or other proprietary information of the former employers.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An inability to incorporate technologies or features that are important or essential to our diagnostic tests or products could have a material adverse effect on our business, financial condition and results of operations, and may prevent us from selling our rights to either of the Nodify XL2 and Nodify CDT tests, or the VeriStrat, GeneStrat, and GeneStrat NGS tests.</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addition, while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rights. Such claims could have a material adverse effect on our business, financial condition, results of operations, and prospects.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Changes in patent law could diminish the value of patents in general, thereby impairing our ability to protect our existing and future diagnostic tests, products and services.</w:t>
      </w:r>
    </w:p>
    <w:p>
      <w:pPr>
        <w:spacing w:after="0" w:line="4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 xml:space="preserve">Recent patent reform legislation could increase the uncertainties and costs surrounding the prosecution of patent applications and the enforcement or defense of issued patents. In 2011, the Leahy-Smith America Invents Act (Leahy-Smith Act) was signed into law. The Leahy-Smith Act includes a number of significant changes to United States patent law. These include provisions that affect the way patent applications are prosecuted and also may affect patent litigation. These also include provisions that switched the United States from a first-to-invent system to a first-inventor-to-file system, allow third-party submission of prior art to the USPTO during patent prosecution and set forth additional procedures to attack the validity of a patent by the USPTO administered post grant proceedings, including post-grant review,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and derivation proceedings. Under a first-inventor-to-file system, assuming the other requirements for patentability are met, the first inventor to file a patent application generally will be entitled to the patent on an invention regardless of whether another inventor was the first to invent the claimed invention. The USPTO recently developed new regulations and procedures to govern administration of the Leahy-Smith Act, and many of the substantive changes to patent law associated with the Leahy-Smith Act, and in particular, the first to file provisions, only became effective in 2013. Accordingly, it is not clear what, if any, impact the Leahy-Smith Act will have on the operation of our business.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and results of operations.</w:t>
      </w:r>
    </w:p>
    <w:p>
      <w:pPr>
        <w:spacing w:after="0" w:line="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In addition, patent reform legislation may pass in the future that could lead to additional uncertainties and increased costs surrounding the prosecution, enforcement and defense of our patents and applications. Furthermore, the United States Supreme Court and the United States Court of Appeals for the Federal Circuit have made, and will likely continue to make, changes in how the patent laws of the United States are interpreted. Recent United States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Similarly, foreign courts have made, and will likely continue to make, changes in how the patent laws in their respective jurisdictions are interpreted. We cannot predict future changes in the interpretation of patent laws or changes to patent laws that might be enacted into law by United States and foreign legislative bodies. Those changes may materially affect our patents or patent applications and our ability to obtain additional patent protection in the future.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54</w:t>
      </w:r>
    </w:p>
    <w:p>
      <w:pPr>
        <w:sectPr>
          <w:pgSz w:w="11880" w:h="15480" w:orient="portrait"/>
          <w:cols w:equalWidth="0" w:num="1">
            <w:col w:w="10800"/>
          </w:cols>
          <w:pgMar w:left="540" w:top="750" w:right="540" w:bottom="0" w:gutter="0" w:footer="0" w:header="0"/>
          <w:type w:val="continuous"/>
        </w:sectPr>
      </w:pPr>
    </w:p>
    <w:bookmarkStart w:id="56" w:name="page57"/>
    <w:bookmarkEnd w:id="56"/>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If our trademarks and trade names are not adequately protected, then we may not be able to build name recognition in our markets and our business may be adversely affected.</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Our trademarks or trade names may be challenged, infringed, circumvented, declared generic or determined to be violating or infringing on other marks. We may not be able to protect our rights to these trademarks and trade names or may be forced to stop using these trademarks or trade names, which we need to build name recognition among potential partners and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or dilution claims brought by owners of other trademarks. Over the long term, if we are unable to establish name recognition based on our trademarks and trade names, then we may not be able to compete effectively and our business may be adversely affected.</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We have not yet registered certain of our trademarks in all of our potential markets, although we have registered several connected to our diagnostic tests, products and services in the United States. If we apply to register these and trademarks in the United States and other countries, our applications may not be allowed for registration in a timely fashion or at all, and our registered trademarks may not be maintained or enforced.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Our efforts to enforce or protect our rights related to trademarks, trade secrets, domain names or other intellectual property rights may be ineffective, could result in substantial costs and diversion of resources and could adversely affect our business, financial condition and results of operations.</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may become involved in lawsuits to protect or enforce our patents, the patents of our licensors or other intellectual property rights, which could be expensive, time consuming and unsuccessful.</w:t>
      </w:r>
    </w:p>
    <w:p>
      <w:pPr>
        <w:spacing w:after="0" w:line="4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231F20"/>
        </w:rPr>
        <w:t xml:space="preserve">Competitors or other third parties may infringe, misappropriate or otherwise violate our patents, the patents of our licensors or other intellectual property rights, or we may be required to defend against claims of infringement, misappropriation or other violations. In addition, our patents also may become involved in inventorship, priority or validity disputes. To counter or defend against such claims can be expensive and time-consuming. Any claims we assert against perceived infringers could provoke those parties to assert counterclaims against us alleging that we infringe their patents or other intellectual property. In any such proceeding, a court or other administrative body may decide that a patent or other intellectual property right owned by us is invalid or unenforceable, or may refuse to stop the other party from using the technology at issue on the grounds that our patents do not cover such technology. Grounds for a validity challenge could include an alleged failure to meet any of several statutory requirements, including lack of novelty, obviousness, written description, non-enablement or failure to claim patent-eligible subject matter. Grounds for an unenforceability assertion could include an allegation that someone connected with prosecution of the patent withheld information material to patentability from the USPTO, or made a misleading statement, during prosecution. Third parties also may raise similar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interference proceedings, derivation proceedings and equivalent proceedings in foreign jurisdictions, including opposition proceedings. Such proceedings could result in the revocation or cancellation of or amendment to our patents in such a way that they no longer cover our diagnostic tests, products and services or prevent third parties from competing with our diagnostic tests, products and services. The outcome following legal assertions of invalidity and unenforceability is unpredictable. With respect to the validity question, for example, we cannot be certain that there is no invalidating prior art, of which the patent examiner and we or our licensing partners were unaware during prosecution. If a third party were to prevail on a legal assertion of invalidity or unenforceability, we could lose at least part, and perhaps all, of the patent protection on our diagnostic tests, products and services. An adverse result in any litigation or other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litigation.</w:t>
      </w:r>
    </w:p>
    <w:p>
      <w:pPr>
        <w:spacing w:after="0" w:line="9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Moreover, some of our owned and in-licensed patents and patent applications are, and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diagnostic tests, products, services or technology. In addition, we may need the cooperation of any such co-owners of our patents in order to enforce such patents against third parties, and such cooperation may not be provided to us. Any of the foregoing could have a material adverse effect on our business, financial condition or results of operations.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Even if resolved in our favor, litigation or other proceedings relating to intellectual property claims may cause us to incur significant expenses and could distract our management and other personnel from their normal responsibilities. In addition, there could be public</w:t>
      </w:r>
    </w:p>
    <w:p>
      <w:pPr>
        <w:sectPr>
          <w:pgSz w:w="11880" w:h="15480" w:orient="portrait"/>
          <w:cols w:equalWidth="0" w:num="1">
            <w:col w:w="10800"/>
          </w:cols>
          <w:pgMar w:left="540" w:top="750" w:right="540" w:bottom="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55</w:t>
      </w:r>
    </w:p>
    <w:p>
      <w:pPr>
        <w:sectPr>
          <w:pgSz w:w="11880" w:h="15480" w:orient="portrait"/>
          <w:cols w:equalWidth="0" w:num="1">
            <w:col w:w="10800"/>
          </w:cols>
          <w:pgMar w:left="540" w:top="750" w:right="540" w:bottom="0" w:gutter="0" w:footer="0" w:header="0"/>
          <w:type w:val="continuous"/>
        </w:sectPr>
      </w:pPr>
    </w:p>
    <w:bookmarkStart w:id="57" w:name="page58"/>
    <w:bookmarkEnd w:id="57"/>
    <w:p>
      <w:pPr>
        <w:jc w:val="both"/>
        <w:spacing w:after="0" w:line="244" w:lineRule="auto"/>
        <w:rPr>
          <w:sz w:val="20"/>
          <w:szCs w:val="20"/>
          <w:color w:val="auto"/>
        </w:rPr>
      </w:pPr>
      <w:r>
        <w:rPr>
          <w:rFonts w:ascii="Times New Roman" w:cs="Times New Roman" w:eastAsia="Times New Roman" w:hAnsi="Times New Roman"/>
          <w:sz w:val="20"/>
          <w:szCs w:val="20"/>
          <w:color w:val="231F20"/>
        </w:rPr>
        <w:t>announcements of the results of hearings, motions or other interim proceedings or developments, and if securities analysts or investors perceive these results to be negative, it could have a substantial adverse effect on our common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Any of the foregoing could have a material adverse effect on our business, financial condition or results of operations.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Third parties may initiate legal proceedings alleging that we are infringing, misappropriating, or otherwise violating their intellectual property rights, the outcome of which would be uncertain and could have a material adverse effect on the success of our business.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The intellectual property landscape in the field of precision oncology is in flux, and it may remain uncertain for the coming years. There may be significant intellectual property related litigation and proceedings relating to our owned and in-licensed, and other third party, intellectual property and proprietary rights in the future. As we move into new markets and applications for our diagnostic tests, products or services, incumbent participants in such markets may assert their patents and other intellectual property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 companies or other adverse patent owners who have no relevant product or service revenue and against whom our own patents may provide little or no deterrence or protection. Therefore, our commercial success depends in part on our non-infringement of the patents or other intellectual property rights of third parties.</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However, we may in the future be subject to claims that we, or other parties we have agreed to indemnify, infringe, misappropriate or otherwise violate patents or other intellectual property rights owned or controlled by third parties. Because patent applications are published sometime after filing, and because applications can take several years to issue, there may be additional currently pending third-party patent applications that are unknown to us, which may later result in issued patents. Defense of these claims, regardless of their merit, would involve substantial litigation expense and would be a substantial diversion of employee resources from our business. We may not have sufficient resources to bring these actions to a successful conclusion.</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 xml:space="preserve">There is a substantial amount of litigation and other patent challenges, both within and outside the United States, involving patent and other intellectual property rights in the biotechnology industry, including patent infringement lawsuits, interferences, oppositions and </w:t>
      </w:r>
      <w:r>
        <w:rPr>
          <w:rFonts w:ascii="Times New Roman" w:cs="Times New Roman" w:eastAsia="Times New Roman" w:hAnsi="Times New Roman"/>
          <w:sz w:val="20"/>
          <w:szCs w:val="20"/>
          <w:i w:val="1"/>
          <w:iCs w:val="1"/>
          <w:color w:val="231F20"/>
        </w:rPr>
        <w:t xml:space="preserve">inter partes </w:t>
      </w:r>
      <w:r>
        <w:rPr>
          <w:rFonts w:ascii="Times New Roman" w:cs="Times New Roman" w:eastAsia="Times New Roman" w:hAnsi="Times New Roman"/>
          <w:sz w:val="20"/>
          <w:szCs w:val="20"/>
          <w:color w:val="231F20"/>
        </w:rPr>
        <w:t>review proceedings before the USPTO, and corresponding foreign patent offices. Numerous United States and foreign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issued patents and pending patent applications, which are owned by third parties, including our competitors, exist in the fields in which we are developing diagnostic tests and in which we may develop future diagnostic tests, products and services. As the precision oncology industry expands and more patents are issued, the risk increases that our diagnostic tests may be subject to claims of infringement of the patent rights of third parties. Numerous significant intellectual property issues have been litigated, are being litigated and will likely continue to be litigated, between existing and new participants in our existing and targeted markets, and competitors have and may assert that our diagnostic tests or services infringe their intellectual property rights as part of a business strategy to impede our successful entry into or growth in those markets.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could incur substantial costs and divert the attention of our management and technical personnel in defending against any of these claims. Parties making claims against us may be able to sustain the costs of complex patent litigation more effectively than we can because they have substantially greater resources.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Because of the inevitable uncertainty in intellectual property litigation, we could lose a patent infringement or other action asserted against us regardless of our perception of the merits of the case. There is no assurance that a court would find in our favor on questions of infringement, validity, enforceability, or priority. A court of competent jurisdiction could hold that these third-party patents are valid, enforceable, and infringed, which could materially and adversely affect our ability to commercialize any product candidates we may develop and any other product candidates or technologies covered by the asserted third-party patents. In order to successfully challenge the validity of any such United States patent in federal court, we would need to overcome a presumption of validity. As this burden is a high one requiring us to present clear and convincing evidence as to the invalidity of any such United States patent claim, there is no assurance that a court of competent jurisdiction would invalidate the claims of any such United States patent.</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Parties making claims against us may be able to obtain injunctive or other relief, which could block our ability to develop, commercialize and sell diagnostic tests, products or services, and could result in the award of substantial damages against us, including treble damages, attorney’s fees, costs, and expenses if we are found to have willfully infringed. In the event of a successful claim of infringement against us, we may be required to pay damages and ongoing royalties, which could be significant, and obtain one or more licenses from third parties, or be prohibited from selling certain diagnostic tests, products or services. We may not be able to obtain these licenses on acceptable or commercially reasonable terms, if at all, or these licenses may be non-exclusive, which could result in our competitors gaining access to the same intellectual property. In addition, we could encounter delays in diagnostic test</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56</w:t>
      </w:r>
    </w:p>
    <w:p>
      <w:pPr>
        <w:sectPr>
          <w:pgSz w:w="11880" w:h="15480" w:orient="portrait"/>
          <w:cols w:equalWidth="0" w:num="1">
            <w:col w:w="10800"/>
          </w:cols>
          <w:pgMar w:left="540" w:top="750" w:right="540" w:bottom="0" w:gutter="0" w:footer="0" w:header="0"/>
          <w:type w:val="continuous"/>
        </w:sectPr>
      </w:pPr>
    </w:p>
    <w:bookmarkStart w:id="58" w:name="page59"/>
    <w:bookmarkEnd w:id="58"/>
    <w:p>
      <w:pPr>
        <w:jc w:val="both"/>
        <w:spacing w:after="0" w:line="252" w:lineRule="auto"/>
        <w:rPr>
          <w:sz w:val="20"/>
          <w:szCs w:val="20"/>
          <w:color w:val="auto"/>
        </w:rPr>
      </w:pPr>
      <w:r>
        <w:rPr>
          <w:rFonts w:ascii="Times New Roman" w:cs="Times New Roman" w:eastAsia="Times New Roman" w:hAnsi="Times New Roman"/>
          <w:sz w:val="20"/>
          <w:szCs w:val="20"/>
          <w:color w:val="231F20"/>
        </w:rPr>
        <w:t>introductions while we attempt to develop alternative diagnostic tests, products or services to avoid infringing third-party patents or intellectual property rights. Defense of any lawsuit or failure to obtain any of these licenses could prevent us from commercializing diagnostic tests, products or services, and the prohibition of sale of any of our diagnostic tests, products or services could materially affect our business and our ability to gain market acceptance for our diagnostic tests, products and services.</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Furthermore, because of the substantial amount of discovery required in connection with intellectual property litigation, there is a risk that some of our confidential information could be compromised by disclosure during this type of litigation. In addition, during the course of this kind of litigation,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addition, our agreements with some of our customers, suppliers or other entities with whom we do business require us to defend or indemnify these parties to the extent they become involved in infringement claims, including the types of claims described above. We could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could incur significant costs and expenses that could adversely affect our business, operating results or financial condition.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be subject to claims challenging the priority or inventorship of our patents and other intellectual property rights.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or our licensors may be subject to claims that former employees, collaborators or other third parties have an interest in our owned or in-licensed patents, trade secrets or other intellectual property rights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rights. If we or our licensors fail in defending any such claims, in addition to paying monetary damages, we may lose valuable intellectual property rights, such as exclusive ownership of, or right to use, intellectual property rights that are important to our product candidates.</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If we or our licensors are unsuccessful in any interference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our diagnostic tests, products or services. The loss of exclusivity or the narrowing of our owned and licensed patent claims could limit our ability to stop others from using or commercializing similar or identical technology and products. Any of the foregoing could result in a material adverse effect on our business, financial condition, results of operations, or prospects.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6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We have systems in place to remind us to pay these fees, and we employ an outside firm and rely on our outside counsel to pay these fees due to non-United States patent agencies. We are also dependent on our licensors to take the necessary action to comply with these requirements with respect to our licensed intellectual property rights. The USPTO and various non-US governmental patent agencies require compliance with a number of procedural, documentary, fee payment and other similar provisions during the patent application process. We employ reputable law firms and other professionals to help us comply, and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w:t>
      </w:r>
    </w:p>
    <w:p>
      <w:pPr>
        <w:spacing w:after="0" w:line="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Issued patents covering our diagnostic tests and any other or future diagnostic tests, products or services could be found invalid or unenforceable if challenged.</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 xml:space="preserve">The issuance of a patent is not conclusive as to its inventorship, scope, validity or enforceability and some of our patents or patent applications, including licensed patents, may be challenged, in courts or patent offices in the United States and abroad, in opposition, derivation, reexamination, </w:t>
      </w:r>
      <w:r>
        <w:rPr>
          <w:rFonts w:ascii="Times New Roman" w:cs="Times New Roman" w:eastAsia="Times New Roman" w:hAnsi="Times New Roman"/>
          <w:sz w:val="20"/>
          <w:szCs w:val="20"/>
          <w:i w:val="1"/>
          <w:iCs w:val="1"/>
          <w:color w:val="231F20"/>
        </w:rPr>
        <w:t>inter partes</w:t>
      </w:r>
      <w:r>
        <w:rPr>
          <w:rFonts w:ascii="Times New Roman" w:cs="Times New Roman" w:eastAsia="Times New Roman" w:hAnsi="Times New Roman"/>
          <w:sz w:val="20"/>
          <w:szCs w:val="20"/>
          <w:color w:val="231F20"/>
        </w:rPr>
        <w:t xml:space="preserve"> review, post-grant review or interference. Additionally, if we and our licensing partners initiate or become involved in legal proceedings against a third party to enforce a patent covering one of our diagnostic tests, products, services or technologies, the defendant could counterclaim that the patent covering our diagnostic tests, products or services is invalid</w:t>
      </w:r>
    </w:p>
    <w:p>
      <w:pPr>
        <w:sectPr>
          <w:pgSz w:w="11880" w:h="15480" w:orient="portrait"/>
          <w:cols w:equalWidth="0" w:num="1">
            <w:col w:w="10800"/>
          </w:cols>
          <w:pgMar w:left="540" w:top="750" w:right="540" w:bottom="0" w:gutter="0" w:footer="0" w:header="0"/>
        </w:sect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57</w:t>
      </w:r>
    </w:p>
    <w:p>
      <w:pPr>
        <w:sectPr>
          <w:pgSz w:w="11880" w:h="15480" w:orient="portrait"/>
          <w:cols w:equalWidth="0" w:num="1">
            <w:col w:w="10800"/>
          </w:cols>
          <w:pgMar w:left="540" w:top="750" w:right="540" w:bottom="0" w:gutter="0" w:footer="0" w:header="0"/>
          <w:type w:val="continuous"/>
        </w:sectPr>
      </w:pPr>
    </w:p>
    <w:bookmarkStart w:id="59" w:name="page60"/>
    <w:bookmarkEnd w:id="59"/>
    <w:p>
      <w:pPr>
        <w:jc w:val="both"/>
        <w:spacing w:after="0" w:line="244" w:lineRule="auto"/>
        <w:rPr>
          <w:sz w:val="20"/>
          <w:szCs w:val="20"/>
          <w:color w:val="auto"/>
        </w:rPr>
      </w:pPr>
      <w:r>
        <w:rPr>
          <w:rFonts w:ascii="Times New Roman" w:cs="Times New Roman" w:eastAsia="Times New Roman" w:hAnsi="Times New Roman"/>
          <w:sz w:val="20"/>
          <w:szCs w:val="20"/>
          <w:color w:val="231F20"/>
        </w:rPr>
        <w:t>or unenforceable. In patent litigation in the United States, counterclaims alleging invalidity or unenforceability are commonplace. Grounds for a validity challenge could be an alleged failure to meet any of several statutory requirements, including patent eligible subject matter, lack of novelty, obviousness or non-enablement. Grounds for an unenforceability assertion could be an allegation that someone connected with prosecution of the patent withheld relevant information from the USPTO, or made a misleading statement during prosecution. In addition, the United States now awards patent priority to the first party to file a patent application, and others may submit patent claims covering our inventions prior to us. The outcome following legal assertions of invalidity and unenforceability is unpredictable. With respect to the validity question, for example, we cannot be certain that there is no invalidating prior art of which we and the patent examiner were unaware during prosecution. If a third party were to prevail on a legal assertion of invalidity or unenforceability, we would lose at least part, and perhaps all, of the patent protection on our diagnostic tests or any diagnostic tests, products and services that we may develop.</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 successful third-party challenge to our patents could result in the unenforceability or invalidity of such patents, allow third parties to commercialize our technology or products and compete directly with us, without payment to us, or result in our inability to manufacture or commercialize products without infringing third-party patent rights, which could have a material adverse impact on our business. Furthermore, if the breadth or strength of protection provided by our patents and patent applications is threatened, regardless of the outcome, it could dissuade companies from collaborating with us to license, develop or commercialize current or future diagnostic tests, products or services.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We may not be aware of all third-party intellectual property rights potentially relating to our current or future diagnostic tests, products or services.</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or our current or future license partners or collaborators,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The outcome of such proceedings is uncertain, and other patent applications may have priority over our patent applications. Such proceedings could also result in substantial costs to us and divert our management’s attention and resources.</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rely on licenses from third parties in relation to certain diagnostic tests, products and services and if we lose these licenses then we may be subjected to future litigation.</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are a party to license agreements that grant us rights to use certain intellectual property rights, including patents and patent applications, typically in certain specified fields of use, in connection with our diagnostic tests, products and services. Some of those licensed rights could provide us with freedom to operate for aspects of our diagnostic tests, products and services. We may need to obtain additional licenses from others to advance our research, development and commercialization activities.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in-licensing and acquisition of third-party intellectual property rights is a competitive area, and a number of more established companies are also pursuing strategies to in-license or acquire third-party intellectual property rights that we may consider attractive or necessary. These established companies may have a competitive advantage over us due to their size, cash resources and greater clinical development and commercialization capabilities.</w:t>
      </w:r>
    </w:p>
    <w:p>
      <w:pPr>
        <w:spacing w:after="0" w:line="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Furthermore, companies that perceive us to be a competitor may be unwilling to assign or license rights to us. In addition, we expect that competition for the in-licensing or acquisition of third-party intellectual property rights for product candidates that are attractive to us may increase in the future, which may mean fewer suitable opportunities for us as well as higher acquisition or licensing costs. We may be unable to in-license or acquire the third-party intellectual property rights for product candidates on terms that would allow us to make an appropriate return on our investment. If we are unable to successfully obtain rights to suitable product candidates, our business, financial condition, results of operations and prospects for growth could suffer.</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Our existing license agreements impose, and we expect that our future license agreements will impose, various diligence, royalty payment, milestone payment, insurance and other obligations on us. If we fail to comply with these obligations or other obligations in our license agreements, our licensors may have the right to terminate these agreements, in which event we may not be able to develop and market any product or use any technology that is covered by these agreements. If our license agreements terminate, or we experience a reduction or elimination of licensed rights under these agreements, we may have to negotiate new or reinstated licenses with less favorable terms or we may not have sufficient intellectual property rights to operate our business. The occurrence of such events could materially harm our business.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Our success may depend in part on the ability of our licensors to obtain, maintain and enforce patent protection for our licensed intellectual property rights. Our licensors may not successfully prosecute the patent applications we license. Even if patents issue in respect of these patent applications, our licensors may fail to maintain these patents, may determine not to pursue litigation against other companies that are infringing these patents or may pursue such litigation less aggressively than we would. Without protection for</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58</w:t>
      </w:r>
    </w:p>
    <w:p>
      <w:pPr>
        <w:sectPr>
          <w:pgSz w:w="11880" w:h="15480" w:orient="portrait"/>
          <w:cols w:equalWidth="0" w:num="1">
            <w:col w:w="10800"/>
          </w:cols>
          <w:pgMar w:left="540" w:top="750" w:right="540" w:bottom="0" w:gutter="0" w:footer="0" w:header="0"/>
          <w:type w:val="continuous"/>
        </w:sectPr>
      </w:pPr>
    </w:p>
    <w:bookmarkStart w:id="60" w:name="page61"/>
    <w:bookmarkEnd w:id="60"/>
    <w:p>
      <w:pPr>
        <w:spacing w:after="0" w:line="277" w:lineRule="auto"/>
        <w:rPr>
          <w:sz w:val="20"/>
          <w:szCs w:val="20"/>
          <w:color w:val="auto"/>
        </w:rPr>
      </w:pPr>
      <w:r>
        <w:rPr>
          <w:rFonts w:ascii="Times New Roman" w:cs="Times New Roman" w:eastAsia="Times New Roman" w:hAnsi="Times New Roman"/>
          <w:sz w:val="20"/>
          <w:szCs w:val="20"/>
          <w:color w:val="231F20"/>
        </w:rPr>
        <w:t>the intellectual property rights we license, other companies might be able to offer substantially identical diagnostic tests for sale, which could adversely affect our competitive business position and harm our business prospects.</w:t>
      </w:r>
    </w:p>
    <w:p>
      <w:pPr>
        <w:spacing w:after="0" w:line="4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Any of the foregoing could have a material adverse effect on our competitive position, business, financial conditions, results of operations and prospects.</w:t>
      </w:r>
    </w:p>
    <w:p>
      <w:pPr>
        <w:spacing w:after="0" w:line="4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color w:val="231F20"/>
        </w:rPr>
        <w:t>Moreover, disputes may also arise between us and our current or future licensors regarding intellectual property rights subject to a license agreement, including those relating to:</w:t>
      </w:r>
    </w:p>
    <w:p>
      <w:pPr>
        <w:spacing w:after="0" w:line="64" w:lineRule="exact"/>
        <w:rPr>
          <w:sz w:val="20"/>
          <w:szCs w:val="20"/>
          <w:color w:val="auto"/>
        </w:rPr>
      </w:pPr>
    </w:p>
    <w:p>
      <w:pPr>
        <w:ind w:left="860" w:hanging="370"/>
        <w:spacing w:after="0"/>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scope of rights granted under the license agreement and other interpretation-related issues;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and the extent to which, our diagnostic tests, products, services, technology, and processes infringe on intellectual property rights of the licensor that is not subject to the licensing agreement;</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our licensor or its licensor had the right to grant the license agreement;</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third parties are entitled to compensation or equitable relief, such as an injunction, for our use of the intellectual property rights without their authorization;</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our involvement in the prosecution of licensed patents and our licensors’ overall patent enforcement strategy;</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amounts of royalties, milestones, or other payments due under the license agreement;</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our right to sublicense patent and other rights to third parties under collaborative development relationships;</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our diligence obligations under the license agreement and what activities satisfy those diligence obligations;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inventorship and ownership of inventions and know-how resulting from the joint creation or use of intellectual property rights by our licensors and us and our collaborators; and</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34"/>
        </w:numPr>
        <w:rPr>
          <w:rFonts w:ascii="Arial" w:cs="Arial" w:eastAsia="Arial" w:hAnsi="Arial"/>
          <w:sz w:val="20"/>
          <w:szCs w:val="20"/>
          <w:color w:val="231F20"/>
        </w:rPr>
      </w:pPr>
      <w:r>
        <w:rPr>
          <w:rFonts w:ascii="Times New Roman" w:cs="Times New Roman" w:eastAsia="Times New Roman" w:hAnsi="Times New Roman"/>
          <w:sz w:val="20"/>
          <w:szCs w:val="20"/>
          <w:color w:val="231F20"/>
        </w:rPr>
        <w:t>the priority of invention of patented technology.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If we do not prevail in such disputes, we may lose any or all of our rights under such license agreements.</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In addition, the agreements under which we currently license intellectual property rights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rights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rights that we have licensed prevent or impair our ability to maintain our current licensing arrangements on commercially acceptable terms, or are insufficient to provide us the necessary rights to use the intellectual property rights, we may be unable to successfully develop and commercialize any affected diagnostic tests, products or services, which could have a material adverse effect on our business, financial conditions, results of operations and prospects.</w:t>
      </w:r>
    </w:p>
    <w:p>
      <w:pPr>
        <w:spacing w:after="0" w:line="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Absent the license agreements, we may infringe patents subject to those agreements, and if the license agreements are terminated, we may be subject to litigation by the licensor. Litigation could result in substantial costs to us and distract our management. If we do not prevail, we may be required to pay damages, including treble damages, attorneys’ fees, costs and expenses and royalties or be enjoined from selling our diagnostic tests, products or services, which could adversely affect our ability to offer diagnostic tests, products or services, our ability to continue operations and our financial condition.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231F20"/>
        </w:rPr>
        <w:t>Some intellectual property that we in-license may have been developed through government funded programs and thus may be subject to federal regulations such as “march-in” rights, certain reporting requirements and a preference for companies based in the United States. Compliance with such regulations may limit our exclusive rights, and limit our ability to contract with manufacturers that are not based in the United States.</w:t>
      </w:r>
    </w:p>
    <w:p>
      <w:pPr>
        <w:spacing w:after="0" w:line="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Certain of the intellectual property that we license may have been developed through the use of United States government funding and therefore may be subject to certain federal regulations. As a result, the United States government may have certain rights to intellectual property embodied in our diagnostic tests, products and services pursuant to the Bayh-Dole Act of 1980 (Bayh-Dole Act). These United States government rights in certain inventions developed under a government -funded program include a non-exclusive, non-transferable, irrevocable worldwide license to use inventions for any governmental purpose. In addition, the United States government has the right to require us to grant exclusive, partially exclusive, or non-exclusive licenses to any of these inventions to a third party if it determines that: (i) adequate steps have not been taken to commercialize the invention; government action is necessary to meet public health or safety needs; or (iii) government action is necessary to meet requirements for public use under federal regulations (also referred to as “march-in rights”). To date, none of our commercialized products are subject to march-in rights. The United States government also has the right to take title to these inventions if we, or the applicable licensor, fail to disclose the invention to the government and fail to file an application to register the intellectual property within specified time limits. Intellectual property generated under a government funded program is also subject to certain reporting requirements, compliance with which may</w:t>
      </w:r>
    </w:p>
    <w:p>
      <w:pPr>
        <w:sectPr>
          <w:pgSz w:w="11880" w:h="15480" w:orient="portrait"/>
          <w:cols w:equalWidth="0" w:num="1">
            <w:col w:w="10800"/>
          </w:cols>
          <w:pgMar w:left="540" w:top="750" w:right="540" w:bottom="0" w:gutter="0" w:footer="0" w:header="0"/>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59</w:t>
      </w:r>
    </w:p>
    <w:p>
      <w:pPr>
        <w:sectPr>
          <w:pgSz w:w="11880" w:h="15480" w:orient="portrait"/>
          <w:cols w:equalWidth="0" w:num="1">
            <w:col w:w="10800"/>
          </w:cols>
          <w:pgMar w:left="540" w:top="750" w:right="540" w:bottom="0" w:gutter="0" w:footer="0" w:header="0"/>
          <w:type w:val="continuous"/>
        </w:sectPr>
      </w:pPr>
    </w:p>
    <w:bookmarkStart w:id="61" w:name="page62"/>
    <w:bookmarkEnd w:id="61"/>
    <w:p>
      <w:pPr>
        <w:jc w:val="both"/>
        <w:spacing w:after="0" w:line="244" w:lineRule="auto"/>
        <w:rPr>
          <w:sz w:val="20"/>
          <w:szCs w:val="20"/>
          <w:color w:val="auto"/>
        </w:rPr>
      </w:pPr>
      <w:r>
        <w:rPr>
          <w:rFonts w:ascii="Times New Roman" w:cs="Times New Roman" w:eastAsia="Times New Roman" w:hAnsi="Times New Roman"/>
          <w:sz w:val="20"/>
          <w:szCs w:val="20"/>
          <w:color w:val="231F20"/>
        </w:rPr>
        <w:t>require us or the applicable licensor to expend substantial resources. In addition, the United States government requires that any products of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United States manufacturers may limit our ability to contract with product manufacturers outside of the United States for products covered by such intellectual property. To the extent any of our current or future owned or licensed intellectual property is generated through the use of United States government funding, the provisions of the Bayh-Dole Act may similarly apply. Any failure by us to comply with federal regulations regarding intellectual property rights that were developed through the use of United States government funding could have a material adverse effect on our business, financial condition, results of operations, and prospects.</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Patent terms may be inadequate to protect our competitive position on our diagnostic tests, products and services for an adequate amount of time.</w:t>
      </w:r>
    </w:p>
    <w:p>
      <w:pPr>
        <w:spacing w:after="0" w:line="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Patents have a limited lifespan. In the United States, if all maintenance fees are timely paid, the natural expiration of a patent is generally 20 years from its earliest United States non-provisional filing date. Various extensions may be available, but the life of a patent, and the protection it affords, is limited.</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Even if patents covering our diagnostic tests, products and services are obtained, once the patent life has expired, we may be open to competition from competitive diagnostic tests, products and services. Given the amount of time required for the development, testing and regulatory review of potential new diagnostic tests, patents protecting such candidates might expire before or shortly after such candidates are commercialized. As a result, our owned and licensed patent portfolio may not provide us with sufficient rights to exclude others from commercializing diagnostic tests, products or services similar or identical to ours.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may not be able to protect our intellectual property rights throughout the world.</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Third parties may attempt to commercialize competitive diagnostic tests, products or services in foreign countries where we do not have any patents or patent applications and/or where legal recourse may be limited. This may have a significant commercial impact on our foreign business operations.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Filing, prosecuting and defending patents on our diagnostic tests, products and services in all countries throughout the world would be prohibitively expensive, and the laws of foreign countries may not protect our rights to the same extent as the laws of the United States. Consequently, we may not be able to prevent third parties from practicing our inventions in all countries outside the United States, or from selling or importing diagnostic tests or products made using our inventions in and into the United States or other jurisdictions. Competitors may use our diagnostic tests, products, services and technologies in jurisdictions where we have not obtained patent protection to develop their own diagnostic tests and, further, may export otherwise infringing diagnostic tests or products to territories where we have patent protection but enforcement is not as strong as that in the United States. These diagnostic tests and products may compete with our diagnostic tests, products or services and our patents or other intellectual property rights may not be effective or sufficient to prevent them from competing.</w:t>
      </w:r>
    </w:p>
    <w:p>
      <w:pPr>
        <w:spacing w:after="0" w:line="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diagnostic tests, products and services in violation of our intellectual property rights generally. Proceedings to enforce our intellectual property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Many countries, including India, China, and certain countries in Europe,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current or future licensors are forced to grant a license to third parties with respect to any patents relevant to our business, our competitive position may be impaired, and our business, financial condition and results of operations may be adversely affected.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Intellectual property rights do not necessarily address all potential threats.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degree of future protection afforded by our intellectual property rights is uncertain because intellectual property rights have limitations and may not adequately protect our business or permit us to maintain our competitive advantage. For example: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60</w:t>
      </w:r>
    </w:p>
    <w:p>
      <w:pPr>
        <w:sectPr>
          <w:pgSz w:w="11880" w:h="15480" w:orient="portrait"/>
          <w:cols w:equalWidth="0" w:num="1">
            <w:col w:w="10800"/>
          </w:cols>
          <w:pgMar w:left="540" w:top="750" w:right="540" w:bottom="0" w:gutter="0" w:footer="0" w:header="0"/>
          <w:type w:val="continuous"/>
        </w:sectPr>
      </w:pPr>
    </w:p>
    <w:bookmarkStart w:id="62" w:name="page63"/>
    <w:bookmarkEnd w:id="62"/>
    <w:p>
      <w:pPr>
        <w:jc w:val="both"/>
        <w:ind w:left="860" w:hanging="370"/>
        <w:spacing w:after="0" w:line="258" w:lineRule="auto"/>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be able to make diagnostic tests or products that are similar to our Nodify XL2, Nodify CDT, GeneStrat, GeneStrat NGS or VeriStrat tests or utilize similar technology that is not covered by the claims of our patents or that incorporates certain technology in our Nodify XL2, Nodify CDT, GeneStrat, GeneStrat NGS or VeriStrat tests;</w:t>
      </w:r>
    </w:p>
    <w:p>
      <w:pPr>
        <w:spacing w:after="0" w:line="81"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current or future licensors or collaborators, might not have been the first to make the inventions covered by the applicable issued patent or pending patent application that we own or license now or may own or license in the future;</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we, or our current or future licensors or collaborators, might not have been the first to file patent applications covering certain of our or their inventions;</w:t>
      </w:r>
    </w:p>
    <w:p>
      <w:pPr>
        <w:spacing w:after="0" w:line="64"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others may independently develop similar or alternative technologies or duplicate any of our technologies without infringing our intellectual property rights;</w:t>
      </w:r>
    </w:p>
    <w:p>
      <w:pPr>
        <w:spacing w:after="0" w:line="64" w:lineRule="exact"/>
        <w:rPr>
          <w:rFonts w:ascii="Arial" w:cs="Arial" w:eastAsia="Arial" w:hAnsi="Arial"/>
          <w:sz w:val="20"/>
          <w:szCs w:val="20"/>
          <w:color w:val="231F20"/>
        </w:rPr>
      </w:pPr>
    </w:p>
    <w:p>
      <w:pPr>
        <w:ind w:left="860" w:hanging="370"/>
        <w:spacing w:after="0"/>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it is possible that our current or future pending patent applications will not lead to issued patents;</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issued patents that we hold rights to may be held invalid or unenforceable, including as a result of legal challenges by our competitors or other third parties;</w:t>
      </w:r>
    </w:p>
    <w:p>
      <w:pPr>
        <w:spacing w:after="0" w:line="64" w:lineRule="exact"/>
        <w:rPr>
          <w:rFonts w:ascii="Arial" w:cs="Arial" w:eastAsia="Arial" w:hAnsi="Arial"/>
          <w:sz w:val="20"/>
          <w:szCs w:val="20"/>
          <w:color w:val="231F20"/>
        </w:rPr>
      </w:pPr>
    </w:p>
    <w:p>
      <w:pPr>
        <w:jc w:val="both"/>
        <w:ind w:left="860" w:hanging="370"/>
        <w:spacing w:after="0" w:line="258" w:lineRule="auto"/>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our competitors or other third parties might conduct research and development activities in countries where we do not have patent rights and then use the information learned from such activities to develop competitive diagnostic tests, products and services for sale in our major commercial markets;</w:t>
      </w:r>
    </w:p>
    <w:p>
      <w:pPr>
        <w:spacing w:after="0" w:line="81" w:lineRule="exact"/>
        <w:rPr>
          <w:rFonts w:ascii="Arial" w:cs="Arial" w:eastAsia="Arial" w:hAnsi="Arial"/>
          <w:sz w:val="20"/>
          <w:szCs w:val="20"/>
          <w:color w:val="231F20"/>
        </w:rPr>
      </w:pPr>
    </w:p>
    <w:p>
      <w:pPr>
        <w:ind w:left="860" w:hanging="370"/>
        <w:spacing w:after="0"/>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develop additional proprietary technologies that are patentable;</w:t>
      </w:r>
    </w:p>
    <w:p>
      <w:pPr>
        <w:spacing w:after="0" w:line="133" w:lineRule="exact"/>
        <w:rPr>
          <w:rFonts w:ascii="Arial" w:cs="Arial" w:eastAsia="Arial" w:hAnsi="Arial"/>
          <w:sz w:val="20"/>
          <w:szCs w:val="20"/>
          <w:color w:val="231F20"/>
        </w:rPr>
      </w:pPr>
    </w:p>
    <w:p>
      <w:pPr>
        <w:ind w:left="860" w:hanging="370"/>
        <w:spacing w:after="0"/>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the patents of others may harm our business; and</w:t>
      </w:r>
    </w:p>
    <w:p>
      <w:pPr>
        <w:spacing w:after="0" w:line="13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5"/>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choose not to file a patent in order to maintain certain trade secrets or know-how, and a third party may subsequently file a patent covering such intellectual property rights.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Any of the foregoing could have a material adverse effect on our business, financial condition and results of operations.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General Risk Factors</w:t>
      </w:r>
    </w:p>
    <w:p>
      <w:pPr>
        <w:spacing w:after="0" w:line="1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expect that the price of our common stock will fluctuate substantially and you may not be able to sell your shares at or above the price you paid for them.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market price of our common stock is likely to be highly volatile and may fluctuate substantially due to many factors, including:</w:t>
      </w:r>
    </w:p>
    <w:p>
      <w:pPr>
        <w:spacing w:after="0" w:line="94" w:lineRule="exact"/>
        <w:rPr>
          <w:sz w:val="20"/>
          <w:szCs w:val="20"/>
          <w:color w:val="auto"/>
        </w:rPr>
      </w:pPr>
    </w:p>
    <w:p>
      <w:pPr>
        <w:ind w:left="860" w:hanging="370"/>
        <w:spacing w:after="0"/>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volume and customer mix for our Nodify XL2, Nodify CDT, GeneStrat ddPCR, GeneStrat NGS, and VeriStrat testing;</w:t>
      </w:r>
    </w:p>
    <w:p>
      <w:pPr>
        <w:spacing w:after="0" w:line="93" w:lineRule="exact"/>
        <w:rPr>
          <w:rFonts w:ascii="Arial" w:cs="Arial" w:eastAsia="Arial" w:hAnsi="Arial"/>
          <w:sz w:val="20"/>
          <w:szCs w:val="20"/>
          <w:color w:val="231F20"/>
        </w:rPr>
      </w:pPr>
    </w:p>
    <w:p>
      <w:pPr>
        <w:ind w:left="860" w:hanging="370"/>
        <w:spacing w:after="0"/>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the introduction of new diagnostic tests or enhancements to such tests by us or others in our industry;</w:t>
      </w:r>
    </w:p>
    <w:p>
      <w:pPr>
        <w:spacing w:after="0" w:line="93" w:lineRule="exact"/>
        <w:rPr>
          <w:rFonts w:ascii="Arial" w:cs="Arial" w:eastAsia="Arial" w:hAnsi="Arial"/>
          <w:sz w:val="20"/>
          <w:szCs w:val="20"/>
          <w:color w:val="231F20"/>
        </w:rPr>
      </w:pPr>
    </w:p>
    <w:p>
      <w:pPr>
        <w:ind w:left="860" w:hanging="370"/>
        <w:spacing w:after="0"/>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disputes or other developments with respect to our or others’ intellectual property rights;</w:t>
      </w:r>
    </w:p>
    <w:p>
      <w:pPr>
        <w:spacing w:after="0" w:line="9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our ability to develop, obtain regulatory clearance or approval or certification for, and market new and enhanced diagnostic tests on a timely basis;</w:t>
      </w:r>
    </w:p>
    <w:p>
      <w:pPr>
        <w:spacing w:after="0" w:line="24" w:lineRule="exact"/>
        <w:rPr>
          <w:rFonts w:ascii="Arial" w:cs="Arial" w:eastAsia="Arial" w:hAnsi="Arial"/>
          <w:sz w:val="20"/>
          <w:szCs w:val="20"/>
          <w:color w:val="231F20"/>
        </w:rPr>
      </w:pPr>
    </w:p>
    <w:p>
      <w:pPr>
        <w:ind w:left="860" w:hanging="370"/>
        <w:spacing w:after="0"/>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product liability claims or other litigation;</w:t>
      </w:r>
    </w:p>
    <w:p>
      <w:pPr>
        <w:spacing w:after="0" w:line="93" w:lineRule="exact"/>
        <w:rPr>
          <w:rFonts w:ascii="Arial" w:cs="Arial" w:eastAsia="Arial" w:hAnsi="Arial"/>
          <w:sz w:val="20"/>
          <w:szCs w:val="20"/>
          <w:color w:val="231F20"/>
        </w:rPr>
      </w:pPr>
    </w:p>
    <w:p>
      <w:pPr>
        <w:ind w:left="860" w:hanging="370"/>
        <w:spacing w:after="0"/>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quarterly variations in our results of operations or those of others in our industry;</w:t>
      </w:r>
    </w:p>
    <w:p>
      <w:pPr>
        <w:spacing w:after="0" w:line="93" w:lineRule="exact"/>
        <w:rPr>
          <w:rFonts w:ascii="Arial" w:cs="Arial" w:eastAsia="Arial" w:hAnsi="Arial"/>
          <w:sz w:val="20"/>
          <w:szCs w:val="20"/>
          <w:color w:val="231F20"/>
        </w:rPr>
      </w:pPr>
    </w:p>
    <w:p>
      <w:pPr>
        <w:ind w:left="860" w:hanging="370"/>
        <w:spacing w:after="0"/>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media exposure of our diagnostic tests or of those of others in our industry;</w:t>
      </w:r>
    </w:p>
    <w:p>
      <w:pPr>
        <w:spacing w:after="0" w:line="93" w:lineRule="exact"/>
        <w:rPr>
          <w:rFonts w:ascii="Arial" w:cs="Arial" w:eastAsia="Arial" w:hAnsi="Arial"/>
          <w:sz w:val="20"/>
          <w:szCs w:val="20"/>
          <w:color w:val="231F20"/>
        </w:rPr>
      </w:pPr>
    </w:p>
    <w:p>
      <w:pPr>
        <w:ind w:left="860" w:hanging="370"/>
        <w:spacing w:after="0"/>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governmental regulations or in the status of our regulatory approvals or applications;</w:t>
      </w:r>
    </w:p>
    <w:p>
      <w:pPr>
        <w:spacing w:after="0" w:line="93" w:lineRule="exact"/>
        <w:rPr>
          <w:rFonts w:ascii="Arial" w:cs="Arial" w:eastAsia="Arial" w:hAnsi="Arial"/>
          <w:sz w:val="20"/>
          <w:szCs w:val="20"/>
          <w:color w:val="231F20"/>
        </w:rPr>
      </w:pPr>
    </w:p>
    <w:p>
      <w:pPr>
        <w:ind w:left="860" w:hanging="370"/>
        <w:spacing w:after="0"/>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changes in earnings estimates or recommendations by securities analysts; and</w:t>
      </w:r>
    </w:p>
    <w:p>
      <w:pPr>
        <w:spacing w:after="0" w:line="93"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6"/>
        </w:numPr>
        <w:rPr>
          <w:rFonts w:ascii="Arial" w:cs="Arial" w:eastAsia="Arial" w:hAnsi="Arial"/>
          <w:sz w:val="20"/>
          <w:szCs w:val="20"/>
          <w:color w:val="231F20"/>
        </w:rPr>
      </w:pPr>
      <w:r>
        <w:rPr>
          <w:rFonts w:ascii="Times New Roman" w:cs="Times New Roman" w:eastAsia="Times New Roman" w:hAnsi="Times New Roman"/>
          <w:sz w:val="20"/>
          <w:szCs w:val="20"/>
          <w:color w:val="231F20"/>
        </w:rPr>
        <w:t>general market conditions and other factors, including factors unrelated to our operating performance or the operating performance of our competitors.</w:t>
      </w:r>
    </w:p>
    <w:p>
      <w:pPr>
        <w:spacing w:after="0" w:line="1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In recent years, the stock markets generally have experienced extreme price and volume fluctuations that have often been unrelated or disproportionate to the operating performance of those companies. Broad market and industry factors may significantly affect the market price of our common stock, regardless of our actual operating performance, and you may not realize any return on your investment in us and may lose some or all of your investment.</w:t>
      </w:r>
    </w:p>
    <w:p>
      <w:pPr>
        <w:spacing w:after="0" w:line="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In addition, in the past, class action litigation has often been instituted against companies whose securities have experienced periods of volatility in market price. Securities litigation brought against us following volatility in our stock price, regardless of the merit or ultimate results of such litigation, could result in substantial costs, which would hurt our financial condition and operating results and divert management’s attention and resources from our business.</w:t>
      </w:r>
    </w:p>
    <w:p>
      <w:pPr>
        <w:sectPr>
          <w:pgSz w:w="11880" w:h="15480" w:orient="portrait"/>
          <w:cols w:equalWidth="0" w:num="1">
            <w:col w:w="10800"/>
          </w:cols>
          <w:pgMar w:left="540" w:top="764"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61</w:t>
      </w:r>
    </w:p>
    <w:p>
      <w:pPr>
        <w:sectPr>
          <w:pgSz w:w="11880" w:h="15480" w:orient="portrait"/>
          <w:cols w:equalWidth="0" w:num="1">
            <w:col w:w="10800"/>
          </w:cols>
          <w:pgMar w:left="540" w:top="764" w:right="540" w:bottom="0" w:gutter="0" w:footer="0" w:header="0"/>
          <w:type w:val="continuous"/>
        </w:sectPr>
      </w:pPr>
    </w:p>
    <w:bookmarkStart w:id="63" w:name="page64"/>
    <w:bookmarkEnd w:id="63"/>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There can be no assurance that our common stock will maintain compliance with the minimum bid price requirement or other applicable listing standards of The Nasdaq Stock Market LLC or another national securities exchange.</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There can be no assurance that we will be able to continue to meet The Nasdaq Global Market listing standards. We have in the past, and may in the future, be unable to comply with certain of the listing standards that we are required to meet to maintain the listing of our common shares on The Nasdaq Global Market. If we are unable to maintain compliance with all applicable listing standards, our common stock may no longer be listed on The Nasdaq Global Market or another national securities exchange and the liquidity and market price of our common stock may be adversely affected.</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On March 24, 2025, we received written notice from the Staff of Nasdaq notifying us that we no longer complied with the minimum bid price requirement for continued listing on The Nasdaq Global Market. On September 15, 2025, we effected a 1-for-20 reverse stock split and on September 26, 2025, we received a letter from the Staff notifying us that we had regained compliance with the minimum bid price requirement for continued listing on The Nasdaq Global Market, and the matter is now closed.</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If in the future we fail to meet Nasdaq’s continued listing requirements and Nasdaq delists our common stock from trading on its exchange and we are not able to list our securities on another national securities exchange, we could face significant material adverse consequences, including, without limitation, a substantial reduction in the liquidity of our common stock, which could limit our access to capital markets for any potential future fundraising.</w:t>
      </w:r>
    </w:p>
    <w:p>
      <w:pPr>
        <w:spacing w:after="0" w:line="3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Securities analysts may not publish favorable research or reports about our business or may publish no information at all, which could cause our stock price or trading volume to decline.</w:t>
      </w:r>
    </w:p>
    <w:p>
      <w:pPr>
        <w:spacing w:after="0" w:line="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trading market for our common stock is partially influenced by the research and reports that industry or financial analysts publish about us and our business. We do not control these analysts. As a small reporting company, we may be slow to attract research coverage and the analysts who publish information about our common stock will have had relatively little experience with us, which could affect their ability to accurately forecast our results and could make it more likely that we fail to meet their estimates. In the event we obtain securities or industry analyst coverage,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We are a “smaller reporting company,” and the reduced disclosure requirements applicable to smaller reporting companies may make our common stock less attractive to investors.</w:t>
      </w:r>
    </w:p>
    <w:p>
      <w:pPr>
        <w:spacing w:after="0" w:line="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shares held by non-affiliates exceeds $250 million as of the end of that year’s second fiscal quarter, or (2) our annual revenues exceeded $100 million during such completed fiscal year and the market value of our common shares held by nonaffiliates exceeds $700 million as of the end of that year’s second fiscal quarter. To the extent we take advantage of such reduced disclosure obligations, it may also make comparison of our financial statements with other public companies difficult or impossible.</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our estimates or judgments relating to our critical accounting policies are based on assumptions that change or prove to be incorrect, our operating results could fall below the expectations of securities analysts and investors, resulting in a decline in the market price of our common stock.</w:t>
      </w:r>
    </w:p>
    <w:p>
      <w:pPr>
        <w:spacing w:after="0" w:line="2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preparation of financial statements in conformity with generally accepted accounting principles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It is possible that interpretation, industry practice and guidance may evolve over time. If our assumptions change or if actual circumstances differ from our assumptions, our operating results may be adversely affected and could fall below the expectations of securities analysts and investors, resulting in a decline in the market price of our common stock.</w:t>
      </w:r>
    </w:p>
    <w:p>
      <w:pPr>
        <w:spacing w:after="0" w:line="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Our directors, officers and principal stockholders have significant voting power and may take actions that may not be in the best interests of our other stockholders.</w:t>
      </w:r>
    </w:p>
    <w:p>
      <w:pPr>
        <w:spacing w:after="0" w:line="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Our officers, directors and principal stockholders each holding more than 5% of our common stock collectively control approximately 41. 2% of our outstanding common stock as of December 31, 2025. As a result, these stockholders, if they act together, could control the management and affairs of our company and most matters requiring stockholder approval, including the election of directors and approval of significant corporate transactions. This concentration of ownership may have the effect of delaying or preventing a change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62</w:t>
      </w:r>
    </w:p>
    <w:p>
      <w:pPr>
        <w:sectPr>
          <w:pgSz w:w="11880" w:h="15480" w:orient="portrait"/>
          <w:cols w:equalWidth="0" w:num="1">
            <w:col w:w="10800"/>
          </w:cols>
          <w:pgMar w:left="540" w:top="750" w:right="540" w:bottom="0" w:gutter="0" w:footer="0" w:header="0"/>
          <w:type w:val="continuous"/>
        </w:sectPr>
      </w:pPr>
    </w:p>
    <w:bookmarkStart w:id="64" w:name="page65"/>
    <w:bookmarkEnd w:id="64"/>
    <w:p>
      <w:pPr>
        <w:jc w:val="both"/>
        <w:spacing w:after="0" w:line="277" w:lineRule="auto"/>
        <w:rPr>
          <w:sz w:val="20"/>
          <w:szCs w:val="20"/>
          <w:color w:val="auto"/>
        </w:rPr>
      </w:pPr>
      <w:r>
        <w:rPr>
          <w:rFonts w:ascii="Times New Roman" w:cs="Times New Roman" w:eastAsia="Times New Roman" w:hAnsi="Times New Roman"/>
          <w:sz w:val="20"/>
          <w:szCs w:val="20"/>
          <w:color w:val="231F20"/>
        </w:rPr>
        <w:t>of control and might adversely affect the market price of our common stock. This concentration of ownership may not be in the best interests of our other stockholders.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as a public company requires us to incur substantial costs and requires substantial management attention.</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As a public company, we have incurred and will continue to incur costs associated with corporate governance requirements that are applicable to us as a public company, including rules and regulations of the SEC, under the Sarbanes-Oxley Act, the Dodd-Frank Wall Street Reform and Consumer Protection Act of 2010, and the Securities Exchange Act of 1934, as amended (the Exchange Act), as well as the rules of Nasdaq. Compliance with these rules and regulations have significantly increased our accounting, legal and financial compliance costs and make some activities more time-consuming. These rules and regulations could make it more expensive for us to maintain directors’ and officers’ liability insurance. As a result, it may be more difficult for us to attract and retain qualified persons to serve on our Board of Directors or as executive officers. Accordingly, increases in costs incurred as a result of being a publicly traded company may adversely affect our business, financial condition and results of operations.</w:t>
      </w:r>
    </w:p>
    <w:p>
      <w:pPr>
        <w:spacing w:after="0" w:line="4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If we experience material weaknesses in the future or otherwise fail to maintain an effective system of internal controls in the future, we may not be able to accurately report our financial condition or results of operations, which may adversely affect investor confidence in us and, as a result, the value of our common stock.</w:t>
      </w:r>
    </w:p>
    <w:p>
      <w:pPr>
        <w:spacing w:after="0" w:line="2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As a result of being a public company, we are required, under Section 404 of the Sarbanes-Oxley Act to furnish a report by management on, among other things, the effectiveness of our internal control over financial reporting. This assessment includes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w:t>
      </w:r>
    </w:p>
    <w:p>
      <w:pPr>
        <w:spacing w:after="0" w:line="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During the evaluation and testing process,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spacing w:after="0" w:line="43" w:lineRule="exact"/>
        <w:rPr>
          <w:sz w:val="20"/>
          <w:szCs w:val="20"/>
          <w:color w:val="auto"/>
        </w:rPr>
      </w:pPr>
    </w:p>
    <w:p>
      <w:pPr>
        <w:ind w:left="720" w:hanging="360"/>
        <w:spacing w:after="0"/>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faulty human judgment and simple errors, omissions, or mistakes;</w:t>
      </w:r>
    </w:p>
    <w:p>
      <w:pPr>
        <w:spacing w:after="0" w:line="93" w:lineRule="exact"/>
        <w:rPr>
          <w:rFonts w:ascii="Arial" w:cs="Arial" w:eastAsia="Arial" w:hAnsi="Arial"/>
          <w:sz w:val="20"/>
          <w:szCs w:val="20"/>
          <w:color w:val="231F20"/>
        </w:rPr>
      </w:pPr>
    </w:p>
    <w:p>
      <w:pPr>
        <w:ind w:left="720" w:hanging="360"/>
        <w:spacing w:after="0"/>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fraudulent action of an individual or collusion of two or more people;</w:t>
      </w:r>
    </w:p>
    <w:p>
      <w:pPr>
        <w:spacing w:after="0" w:line="93" w:lineRule="exact"/>
        <w:rPr>
          <w:rFonts w:ascii="Arial" w:cs="Arial" w:eastAsia="Arial" w:hAnsi="Arial"/>
          <w:sz w:val="20"/>
          <w:szCs w:val="20"/>
          <w:color w:val="231F20"/>
        </w:rPr>
      </w:pPr>
    </w:p>
    <w:p>
      <w:pPr>
        <w:ind w:left="720" w:hanging="360"/>
        <w:spacing w:after="0"/>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inappropriate management override of procedures; and</w:t>
      </w:r>
    </w:p>
    <w:p>
      <w:pPr>
        <w:spacing w:after="0" w:line="93" w:lineRule="exact"/>
        <w:rPr>
          <w:rFonts w:ascii="Arial" w:cs="Arial" w:eastAsia="Arial" w:hAnsi="Arial"/>
          <w:sz w:val="20"/>
          <w:szCs w:val="20"/>
          <w:color w:val="231F20"/>
        </w:rPr>
      </w:pPr>
    </w:p>
    <w:p>
      <w:pPr>
        <w:ind w:left="720" w:hanging="360"/>
        <w:spacing w:after="0" w:line="276" w:lineRule="auto"/>
        <w:tabs>
          <w:tab w:leader="none" w:pos="720" w:val="left"/>
        </w:tabs>
        <w:numPr>
          <w:ilvl w:val="0"/>
          <w:numId w:val="37"/>
        </w:numPr>
        <w:rPr>
          <w:rFonts w:ascii="Arial" w:cs="Arial" w:eastAsia="Arial" w:hAnsi="Arial"/>
          <w:sz w:val="20"/>
          <w:szCs w:val="20"/>
          <w:color w:val="231F20"/>
        </w:rPr>
      </w:pPr>
      <w:r>
        <w:rPr>
          <w:rFonts w:ascii="Times New Roman" w:cs="Times New Roman" w:eastAsia="Times New Roman" w:hAnsi="Times New Roman"/>
          <w:sz w:val="20"/>
          <w:szCs w:val="20"/>
          <w:color w:val="231F20"/>
        </w:rPr>
        <w:t>the possibility that any enhancements to controls and procedures may still not be adequate to assure timely and accurate financial control.</w:t>
      </w:r>
    </w:p>
    <w:p>
      <w:pPr>
        <w:spacing w:after="0" w:line="1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When we cease to be a “smaller reporting company” and/or “non-accelerated filer” under the federal securities laws, our auditors may be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common stock to decline.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Our disclosure controls and procedures may not prevent or detect all errors or acts of fraud.</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We are subject to the periodic reporting requirements of the Exchange Act. We have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Provisions in our corporate charter documents and under Delaware law could make an acquisition of us more difficult and may prevent attempts by our stockholders to replace or remove our current management.</w:t>
      </w:r>
    </w:p>
    <w:p>
      <w:pPr>
        <w:spacing w:after="0" w:line="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63</w:t>
      </w:r>
    </w:p>
    <w:p>
      <w:pPr>
        <w:sectPr>
          <w:pgSz w:w="11880" w:h="15480" w:orient="portrait"/>
          <w:cols w:equalWidth="0" w:num="1">
            <w:col w:w="10800"/>
          </w:cols>
          <w:pgMar w:left="540" w:top="750" w:right="540" w:bottom="0" w:gutter="0" w:footer="0" w:header="0"/>
          <w:type w:val="continuous"/>
        </w:sectPr>
      </w:pPr>
    </w:p>
    <w:bookmarkStart w:id="65" w:name="page66"/>
    <w:bookmarkEnd w:id="65"/>
    <w:p>
      <w:pPr>
        <w:jc w:val="both"/>
        <w:spacing w:after="0" w:line="252" w:lineRule="auto"/>
        <w:rPr>
          <w:sz w:val="20"/>
          <w:szCs w:val="20"/>
          <w:color w:val="auto"/>
        </w:rPr>
      </w:pPr>
      <w:r>
        <w:rPr>
          <w:rFonts w:ascii="Times New Roman" w:cs="Times New Roman" w:eastAsia="Times New Roman" w:hAnsi="Times New Roman"/>
          <w:sz w:val="20"/>
          <w:szCs w:val="20"/>
          <w:color w:val="231F20"/>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i w:val="1"/>
          <w:iCs w:val="1"/>
          <w:color w:val="231F20"/>
        </w:rPr>
        <w:t>Our amended and restated certificate of incorporation provides that the Court of Chancery of the State of Delaware will be the exclusive forum for substantially all disputes between us and our stockholders, which could limit our stockholders’ ability to obtain a favorable judicial forum for disputes with us or our directors, officers or employees.</w:t>
      </w:r>
    </w:p>
    <w:p>
      <w:pPr>
        <w:spacing w:after="0" w:line="2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Our amended and restated certificate of incorporation specifies that, unless we consent in writing to the selection of an alternative forum, the Court of Chancery of the State of Delaware will be the sole and exclusive forum for most legal actions involving actions brought against us by stockholders. Notwithstanding the foregoing, the exclusive forum provision will not apply to any claim to enforce any liability or duty created by the Exchange Act or the Securities Act and for which the federal courts have exclusive jurisdiction. We believe this exclusive forum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 However, the provision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4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b w:val="1"/>
          <w:bCs w:val="1"/>
          <w:i w:val="1"/>
          <w:iCs w:val="1"/>
          <w:color w:val="231F20"/>
        </w:rPr>
        <w:t>Claims for indemnification by our directors and officers may reduce our available funds to satisfy successful third-party claims against us and may reduce the amount of money available to us.</w:t>
      </w:r>
    </w:p>
    <w:p>
      <w:pPr>
        <w:spacing w:after="0" w:line="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Our amended and restated articles of incorporation provide that we will indemnify our directors and officers to the fullest extent permitted by Section 145 of the Delaware General Corporate Law.</w:t>
      </w:r>
    </w:p>
    <w:p>
      <w:pPr>
        <w:spacing w:after="0" w:line="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In addition, as permitted by the Delaware General Corporate Law, our amended and restated articles of incorporation and our indemnification agreements that we have entered into with our directors and officers provide that:</w:t>
      </w:r>
    </w:p>
    <w:p>
      <w:pPr>
        <w:spacing w:after="0" w:line="24" w:lineRule="exact"/>
        <w:rPr>
          <w:sz w:val="20"/>
          <w:szCs w:val="20"/>
          <w:color w:val="auto"/>
        </w:rPr>
      </w:pPr>
    </w:p>
    <w:p>
      <w:pPr>
        <w:jc w:val="both"/>
        <w:ind w:left="860" w:hanging="370"/>
        <w:spacing w:after="0" w:line="249" w:lineRule="auto"/>
        <w:tabs>
          <w:tab w:leader="none" w:pos="86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we will indemnify our directors and officers for serving us in those capacities or for serving other business enterprises at our request, to the fullest extent permitted by applicable law. Such law provides that a corporation may indemnify such person if such person acted in good faith and in a manner such person reasonably believed to be in or not opposed to our best interests and, with respect to any criminal proceeding, had no reasonable cause to believe such person’s conduct was unlawful;</w:t>
      </w:r>
    </w:p>
    <w:p>
      <w:pPr>
        <w:spacing w:after="0" w:line="50"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in our discretion, indemnify employees and agents in those circumstances where indemnification is permitted by applicable law;</w:t>
      </w:r>
    </w:p>
    <w:p>
      <w:pPr>
        <w:spacing w:after="0" w:line="24" w:lineRule="exact"/>
        <w:rPr>
          <w:rFonts w:ascii="Arial" w:cs="Arial" w:eastAsia="Arial" w:hAnsi="Arial"/>
          <w:sz w:val="20"/>
          <w:szCs w:val="20"/>
          <w:color w:val="231F20"/>
        </w:rPr>
      </w:pPr>
    </w:p>
    <w:p>
      <w:pPr>
        <w:jc w:val="both"/>
        <w:ind w:left="860" w:hanging="370"/>
        <w:spacing w:after="0" w:line="258" w:lineRule="auto"/>
        <w:tabs>
          <w:tab w:leader="none" w:pos="86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41" w:lineRule="exact"/>
        <w:rPr>
          <w:rFonts w:ascii="Arial" w:cs="Arial" w:eastAsia="Arial" w:hAnsi="Arial"/>
          <w:sz w:val="20"/>
          <w:szCs w:val="20"/>
          <w:color w:val="231F20"/>
        </w:rPr>
      </w:pPr>
    </w:p>
    <w:p>
      <w:pPr>
        <w:jc w:val="both"/>
        <w:ind w:left="860" w:hanging="370"/>
        <w:spacing w:after="0" w:line="258" w:lineRule="auto"/>
        <w:tabs>
          <w:tab w:leader="none" w:pos="86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the rights conferred in our amended and restated articles of incorporation are not exclusive, and we are authorized to enter into indemnification agreements with our directors, officers, employees and agents and to obtain insurance to indemnify such persons; and</w:t>
      </w:r>
    </w:p>
    <w:p>
      <w:pPr>
        <w:spacing w:after="0" w:line="41" w:lineRule="exact"/>
        <w:rPr>
          <w:rFonts w:ascii="Arial" w:cs="Arial" w:eastAsia="Arial" w:hAnsi="Arial"/>
          <w:sz w:val="20"/>
          <w:szCs w:val="20"/>
          <w:color w:val="231F20"/>
        </w:rPr>
      </w:pPr>
    </w:p>
    <w:p>
      <w:pPr>
        <w:ind w:left="860" w:hanging="370"/>
        <w:spacing w:after="0" w:line="276" w:lineRule="auto"/>
        <w:tabs>
          <w:tab w:leader="none" w:pos="860" w:val="left"/>
        </w:tabs>
        <w:numPr>
          <w:ilvl w:val="0"/>
          <w:numId w:val="38"/>
        </w:numPr>
        <w:rPr>
          <w:rFonts w:ascii="Arial" w:cs="Arial" w:eastAsia="Arial" w:hAnsi="Arial"/>
          <w:sz w:val="20"/>
          <w:szCs w:val="20"/>
          <w:color w:val="231F20"/>
        </w:rPr>
      </w:pPr>
      <w:r>
        <w:rPr>
          <w:rFonts w:ascii="Times New Roman" w:cs="Times New Roman" w:eastAsia="Times New Roman" w:hAnsi="Times New Roman"/>
          <w:sz w:val="20"/>
          <w:szCs w:val="20"/>
          <w:color w:val="231F20"/>
        </w:rPr>
        <w:t>we may not retroactively amend our amended and restated articles of incorporation provisions to reduce our indemnification obligations to directors, officers, employees and agents.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We have never paid dividends on our capital stock, and we do not anticipate paying dividends in the foreseeable future.</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results of operations and other factors that our board of directors may deem relevant. As a result, capital appreciation, if any, of our common stock will be the sole source of gain for the foreseeable future.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64</w:t>
      </w:r>
    </w:p>
    <w:p>
      <w:pPr>
        <w:sectPr>
          <w:pgSz w:w="11880" w:h="15480" w:orient="portrait"/>
          <w:cols w:equalWidth="0" w:num="1">
            <w:col w:w="10800"/>
          </w:cols>
          <w:pgMar w:left="540" w:top="750" w:right="54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20"/>
          <w:szCs w:val="20"/>
          <w:b w:val="1"/>
          <w:bCs w:val="1"/>
          <w:color w:val="231F20"/>
        </w:rPr>
        <w:t>1B. Unresolved Staff Comments.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1C. Cybersecurity.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Risk Management and Strategy</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Our business depends on the secure and continuous processing of information, supported by a resilient IT infrastructure and trusted critical vendors. Cybersecurity is a fundamental pillar of our risk management framework, seamlessly integrated into our decision-making at every level. Our IT department proactively identifies, evaluates, and mitigates cybersecurity risks to ensure alignment with our business objectives and operational needs. We maintain robust security policies and procedures, including comprehensive security and data privacy training for staff, stringent physical security measures, and advanced electronic data protection. Our cybersecurity program strictly adheres to HIPAA, GDPR, and applicable SEC cybersecurity disclosure and reporting requirements, incorporating strong data access controls, privacy safeguards, password protocols, encryption, and a structured incident response process with a formal and timely materiality assessment consistent with SEC reporting obligations.</w:t>
      </w:r>
    </w:p>
    <w:p>
      <w:pPr>
        <w:spacing w:after="0" w:line="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Beyond policies, our network is fortified with a multi-layered defense strategy, including firewalls and advanced cyber-threat monitoring. We employ continuous vulnerability management and 24/7 extended detection and response (XDR) to continuously detect, analyze, and neutralize potential threats in real time. We recognize the importance of securing our extended digital ecosystem, including third-party service providers. To mitigate associated risks, we conduct rigorous security assessments before onboarding any third-party vendors, which require contractual cybersecurity and data protection obligations and perform ongoing, risk-based monitoring to ensure continuous compliance with our cybersecurity standards.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To further strengthen our security posture, we collaborate with independent external experts who conduct audits, penetration testing and threat assessments of our cybersecurity infrastructure. Through these evaluations and strategic consultations, we ensure that our security measures remain aligned with industry best practices. Our cybersecurity program is designed to safeguard the integrity, confidentiality, and availability of our critical information assets, supporting operational resilience and trust in our business.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Current Cybersecurity Risks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As of the date of this Annual Report on Form 10-K, the Company has not experienced any cybersecurity incidents that have materially affected or are reasonably likely to materially affect the Company. In the event of a cybersecurity incident, the Company is equipped with a well-defined incident response plan. This plan includes immediate actions to contain and mitigate the impact, procedures to assess materiality in a timely manner, and long-term strategies for remediation and prevention of future incidents. See "Risk Factors— We may face additional costs, loss of revenue, significant liabilities, harm to our brand, decreased use of our products or services and business disruption if there are any security or data privacy breaches or other unauthorized or improper access."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Management and Board Oversight</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management is responsible for day-to-day risk management activities. Our Board of Directors, acting directly and through its committees, is responsible for the oversight of our risk management. The Nominating and Governance Committee monitors our cybersecurity risk profile, receives quarterly updates from management on all matters related to cybersecurity, and reports to the full Board of Directors at least annually, or more often as appropriate. The Nominating and Governance Committee is composed of members with diverse expertise that allows it to oversee cybersecurity risks effectively.</w:t>
      </w:r>
    </w:p>
    <w:p>
      <w:pPr>
        <w:spacing w:after="0" w:line="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Management is involved in assessing and managing material cybersecurity risks and incidents through dialogue with our Information Security Officer, who serves as the Company’s senior cybersecurity leader. Our Information Security Officer brings expertise to this role through his in-depth knowledge and experience in technology management and cybersecurity. Our Information Security Officer, as the Company’s senior cybersecurity leader, is continually informed about the latest developments in cybersecurity. This is crucial for the effective prevention, detection, mitigation and remediation of cybersecurity incidents, and allows him to regularly inform our Chief Executive Officer and Chief Financial Officer of any and all aspects of our business related to cybersecurity and information technology.</w:t>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Chief Executive Officer, Chief Financial Officer and Information Security Officer regularly report to the Nominating and Governance Committee to ensure effective and efficient oversight of our cybersecurity threats and material risks, and to assist in proper risk management. Significant cybersecurity matters and strategic risk management decisions will be escalated from the Nominating and Governance Committee to the Board of Directors, ensuring that there is comprehensive oversight and the full Board of Directors can provide guidance on critical cybersecurity issues.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2. Properties.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Company’s corporate headquarters are in Louisville, Colorado, under a lease agreement with Centennial Valley Properties I, LLC, a Colorado limited liability company. We also lease office and laboratory space located in De Soto, Kansas, under an operating</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65</w:t>
      </w:r>
    </w:p>
    <w:p>
      <w:pPr>
        <w:sectPr>
          <w:pgSz w:w="11880" w:h="15480" w:orient="portrait"/>
          <w:cols w:equalWidth="0" w:num="1">
            <w:col w:w="10800"/>
          </w:cols>
          <w:pgMar w:left="540" w:top="746" w:right="54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20"/>
          <w:szCs w:val="20"/>
          <w:color w:val="231F20"/>
        </w:rPr>
        <w:t>lease agreement that expires in June 2030. A portion of our employees are located outside of Colorado and Kansas, working remotely.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Our properties are suitable for our current business operations.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Borders>
              <w:bottom w:val="single" w:sz="8" w:color="231F20"/>
            </w:tcBorders>
          </w:tcPr>
          <w:p>
            <w:pPr>
              <w:ind w:left="1300"/>
              <w:spacing w:after="0"/>
              <w:rPr>
                <w:sz w:val="20"/>
                <w:szCs w:val="20"/>
                <w:color w:val="auto"/>
              </w:rPr>
            </w:pPr>
            <w:r>
              <w:rPr>
                <w:rFonts w:ascii="Times New Roman" w:cs="Times New Roman" w:eastAsia="Times New Roman" w:hAnsi="Times New Roman"/>
                <w:sz w:val="20"/>
                <w:szCs w:val="20"/>
                <w:b w:val="1"/>
                <w:bCs w:val="1"/>
                <w:color w:val="231F20"/>
              </w:rPr>
              <w:t>Location</w:t>
            </w:r>
          </w:p>
        </w:tc>
        <w:tc>
          <w:tcPr>
            <w:tcW w:w="160" w:type="dxa"/>
            <w:vAlign w:val="bottom"/>
            <w:tcBorders>
              <w:bottom w:val="single" w:sz="8" w:color="E3E4E5"/>
            </w:tcBorders>
          </w:tcPr>
          <w:p>
            <w:pPr>
              <w:spacing w:after="0"/>
              <w:rPr>
                <w:sz w:val="22"/>
                <w:szCs w:val="22"/>
                <w:color w:val="auto"/>
              </w:rPr>
            </w:pPr>
          </w:p>
        </w:tc>
        <w:tc>
          <w:tcPr>
            <w:tcW w:w="3380" w:type="dxa"/>
            <w:vAlign w:val="bottom"/>
            <w:tcBorders>
              <w:bottom w:val="single" w:sz="8" w:color="231F20"/>
            </w:tcBorders>
          </w:tcPr>
          <w:p>
            <w:pPr>
              <w:ind w:left="1540"/>
              <w:spacing w:after="0"/>
              <w:rPr>
                <w:sz w:val="20"/>
                <w:szCs w:val="20"/>
                <w:color w:val="auto"/>
              </w:rPr>
            </w:pPr>
            <w:r>
              <w:rPr>
                <w:rFonts w:ascii="Times New Roman" w:cs="Times New Roman" w:eastAsia="Times New Roman" w:hAnsi="Times New Roman"/>
                <w:sz w:val="20"/>
                <w:szCs w:val="20"/>
                <w:b w:val="1"/>
                <w:bCs w:val="1"/>
                <w:color w:val="231F20"/>
              </w:rPr>
              <w:t>Use</w:t>
            </w:r>
          </w:p>
        </w:tc>
        <w:tc>
          <w:tcPr>
            <w:tcW w:w="180" w:type="dxa"/>
            <w:vAlign w:val="bottom"/>
            <w:tcBorders>
              <w:bottom w:val="single" w:sz="8" w:color="E3E4E5"/>
            </w:tcBorders>
          </w:tcPr>
          <w:p>
            <w:pPr>
              <w:spacing w:after="0"/>
              <w:rPr>
                <w:sz w:val="22"/>
                <w:szCs w:val="22"/>
                <w:color w:val="auto"/>
              </w:rPr>
            </w:pPr>
          </w:p>
        </w:tc>
        <w:tc>
          <w:tcPr>
            <w:tcW w:w="1800" w:type="dxa"/>
            <w:vAlign w:val="bottom"/>
            <w:tcBorders>
              <w:bottom w:val="single" w:sz="8" w:color="231F20"/>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231F20"/>
              </w:rPr>
              <w:t>Square Feet</w:t>
            </w:r>
          </w:p>
        </w:tc>
        <w:tc>
          <w:tcPr>
            <w:tcW w:w="180" w:type="dxa"/>
            <w:vAlign w:val="bottom"/>
            <w:tcBorders>
              <w:bottom w:val="single" w:sz="8" w:color="E3E4E5"/>
            </w:tcBorders>
          </w:tcPr>
          <w:p>
            <w:pPr>
              <w:spacing w:after="0"/>
              <w:rPr>
                <w:sz w:val="22"/>
                <w:szCs w:val="22"/>
                <w:color w:val="auto"/>
              </w:rPr>
            </w:pPr>
          </w:p>
        </w:tc>
        <w:tc>
          <w:tcPr>
            <w:tcW w:w="172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Expiration</w:t>
            </w:r>
          </w:p>
        </w:tc>
      </w:tr>
      <w:tr>
        <w:trPr>
          <w:trHeight w:val="225"/>
        </w:trPr>
        <w:tc>
          <w:tcPr>
            <w:tcW w:w="3380" w:type="dxa"/>
            <w:vAlign w:val="bottom"/>
            <w:shd w:val="clear" w:color="auto" w:fill="E3E4E5"/>
          </w:tcPr>
          <w:p>
            <w:pPr>
              <w:spacing w:after="0" w:line="225" w:lineRule="exact"/>
              <w:rPr>
                <w:sz w:val="20"/>
                <w:szCs w:val="20"/>
                <w:color w:val="auto"/>
              </w:rPr>
            </w:pPr>
            <w:r>
              <w:rPr>
                <w:rFonts w:ascii="Times New Roman" w:cs="Times New Roman" w:eastAsia="Times New Roman" w:hAnsi="Times New Roman"/>
                <w:sz w:val="20"/>
                <w:szCs w:val="20"/>
                <w:color w:val="414142"/>
              </w:rPr>
              <w:t>Louisville, Colorado</w:t>
            </w:r>
          </w:p>
        </w:tc>
        <w:tc>
          <w:tcPr>
            <w:tcW w:w="160" w:type="dxa"/>
            <w:vAlign w:val="bottom"/>
            <w:shd w:val="clear" w:color="auto" w:fill="E3E4E5"/>
          </w:tcPr>
          <w:p>
            <w:pPr>
              <w:spacing w:after="0"/>
              <w:rPr>
                <w:sz w:val="19"/>
                <w:szCs w:val="19"/>
                <w:color w:val="auto"/>
              </w:rPr>
            </w:pPr>
          </w:p>
        </w:tc>
        <w:tc>
          <w:tcPr>
            <w:tcW w:w="3380" w:type="dxa"/>
            <w:vAlign w:val="bottom"/>
            <w:shd w:val="clear" w:color="auto" w:fill="E3E4E5"/>
          </w:tcPr>
          <w:p>
            <w:pPr>
              <w:ind w:left="60"/>
              <w:spacing w:after="0" w:line="225" w:lineRule="exact"/>
              <w:rPr>
                <w:sz w:val="20"/>
                <w:szCs w:val="20"/>
                <w:color w:val="auto"/>
              </w:rPr>
            </w:pPr>
            <w:r>
              <w:rPr>
                <w:rFonts w:ascii="Times New Roman" w:cs="Times New Roman" w:eastAsia="Times New Roman" w:hAnsi="Times New Roman"/>
                <w:sz w:val="20"/>
                <w:szCs w:val="20"/>
                <w:color w:val="414142"/>
              </w:rPr>
              <w:t>Office and laboratory</w:t>
            </w:r>
          </w:p>
        </w:tc>
        <w:tc>
          <w:tcPr>
            <w:tcW w:w="180" w:type="dxa"/>
            <w:vAlign w:val="bottom"/>
            <w:shd w:val="clear" w:color="auto" w:fill="E3E4E5"/>
          </w:tcPr>
          <w:p>
            <w:pPr>
              <w:spacing w:after="0"/>
              <w:rPr>
                <w:sz w:val="19"/>
                <w:szCs w:val="19"/>
                <w:color w:val="auto"/>
              </w:rPr>
            </w:pPr>
          </w:p>
        </w:tc>
        <w:tc>
          <w:tcPr>
            <w:tcW w:w="180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79,980</w:t>
            </w:r>
          </w:p>
        </w:tc>
        <w:tc>
          <w:tcPr>
            <w:tcW w:w="180" w:type="dxa"/>
            <w:vAlign w:val="bottom"/>
            <w:shd w:val="clear" w:color="auto" w:fill="E3E4E5"/>
          </w:tcPr>
          <w:p>
            <w:pPr>
              <w:spacing w:after="0"/>
              <w:rPr>
                <w:sz w:val="19"/>
                <w:szCs w:val="19"/>
                <w:color w:val="auto"/>
              </w:rPr>
            </w:pPr>
          </w:p>
        </w:tc>
        <w:tc>
          <w:tcPr>
            <w:tcW w:w="1720" w:type="dxa"/>
            <w:vAlign w:val="bottom"/>
            <w:shd w:val="clear" w:color="auto" w:fill="E3E4E5"/>
          </w:tcPr>
          <w:p>
            <w:pPr>
              <w:jc w:val="center"/>
              <w:spacing w:after="0" w:line="225" w:lineRule="exact"/>
              <w:rPr>
                <w:sz w:val="20"/>
                <w:szCs w:val="20"/>
                <w:color w:val="auto"/>
              </w:rPr>
            </w:pPr>
            <w:r>
              <w:rPr>
                <w:rFonts w:ascii="Times New Roman" w:cs="Times New Roman" w:eastAsia="Times New Roman" w:hAnsi="Times New Roman"/>
                <w:sz w:val="20"/>
                <w:szCs w:val="20"/>
                <w:color w:val="414142"/>
              </w:rPr>
              <w:t>March 31, 2035</w:t>
            </w:r>
          </w:p>
        </w:tc>
      </w:tr>
      <w:tr>
        <w:trPr>
          <w:trHeight w:val="266"/>
        </w:trPr>
        <w:tc>
          <w:tcPr>
            <w:tcW w:w="3380" w:type="dxa"/>
            <w:vAlign w:val="bottom"/>
          </w:tcPr>
          <w:p>
            <w:pPr>
              <w:spacing w:after="0"/>
              <w:rPr>
                <w:sz w:val="20"/>
                <w:szCs w:val="20"/>
                <w:color w:val="auto"/>
              </w:rPr>
            </w:pPr>
            <w:r>
              <w:rPr>
                <w:rFonts w:ascii="Times New Roman" w:cs="Times New Roman" w:eastAsia="Times New Roman" w:hAnsi="Times New Roman"/>
                <w:sz w:val="20"/>
                <w:szCs w:val="20"/>
                <w:color w:val="231F20"/>
              </w:rPr>
              <w:t>De Soto, Kansas</w:t>
            </w:r>
          </w:p>
        </w:tc>
        <w:tc>
          <w:tcPr>
            <w:tcW w:w="160" w:type="dxa"/>
            <w:vAlign w:val="bottom"/>
          </w:tcPr>
          <w:p>
            <w:pPr>
              <w:spacing w:after="0"/>
              <w:rPr>
                <w:sz w:val="23"/>
                <w:szCs w:val="23"/>
                <w:color w:val="auto"/>
              </w:rPr>
            </w:pPr>
          </w:p>
        </w:tc>
        <w:tc>
          <w:tcPr>
            <w:tcW w:w="3380" w:type="dxa"/>
            <w:vAlign w:val="bottom"/>
          </w:tcPr>
          <w:p>
            <w:pPr>
              <w:ind w:left="60"/>
              <w:spacing w:after="0"/>
              <w:rPr>
                <w:sz w:val="20"/>
                <w:szCs w:val="20"/>
                <w:color w:val="auto"/>
              </w:rPr>
            </w:pPr>
            <w:r>
              <w:rPr>
                <w:rFonts w:ascii="Times New Roman" w:cs="Times New Roman" w:eastAsia="Times New Roman" w:hAnsi="Times New Roman"/>
                <w:sz w:val="20"/>
                <w:szCs w:val="20"/>
                <w:color w:val="231F20"/>
              </w:rPr>
              <w:t>Office and laboratory</w:t>
            </w:r>
          </w:p>
        </w:tc>
        <w:tc>
          <w:tcPr>
            <w:tcW w:w="18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10,838</w:t>
            </w:r>
          </w:p>
        </w:tc>
        <w:tc>
          <w:tcPr>
            <w:tcW w:w="180" w:type="dxa"/>
            <w:vAlign w:val="bottom"/>
          </w:tcPr>
          <w:p>
            <w:pPr>
              <w:spacing w:after="0"/>
              <w:rPr>
                <w:sz w:val="23"/>
                <w:szCs w:val="23"/>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20"/>
                <w:szCs w:val="20"/>
                <w:color w:val="231F20"/>
              </w:rPr>
              <w:t>June 30, 2030</w:t>
            </w:r>
          </w:p>
        </w:tc>
      </w:tr>
    </w:tbl>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3. Legal Proceedings.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4. Mine Safety Disclosures.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66</w:t>
      </w:r>
    </w:p>
    <w:p>
      <w:pPr>
        <w:sectPr>
          <w:pgSz w:w="11880" w:h="15480" w:orient="portrait"/>
          <w:cols w:equalWidth="0" w:num="1">
            <w:col w:w="10800"/>
          </w:cols>
          <w:pgMar w:left="540" w:top="750" w:right="540" w:bottom="0" w:gutter="0" w:footer="0" w:header="0"/>
          <w:type w:val="continuous"/>
        </w:sectPr>
      </w:pPr>
    </w:p>
    <w:bookmarkStart w:id="68" w:name="page69"/>
    <w:bookmarkEnd w:id="68"/>
    <w:p>
      <w:pPr>
        <w:jc w:val="center"/>
        <w:spacing w:after="0"/>
        <w:rPr>
          <w:sz w:val="20"/>
          <w:szCs w:val="20"/>
          <w:color w:val="auto"/>
        </w:rPr>
      </w:pPr>
      <w:r>
        <w:rPr>
          <w:rFonts w:ascii="Times New Roman" w:cs="Times New Roman" w:eastAsia="Times New Roman" w:hAnsi="Times New Roman"/>
          <w:sz w:val="20"/>
          <w:szCs w:val="20"/>
          <w:b w:val="1"/>
          <w:bCs w:val="1"/>
          <w:color w:val="231F20"/>
        </w:rPr>
        <w:t>PART II</w:t>
      </w:r>
    </w:p>
    <w:p>
      <w:pPr>
        <w:spacing w:after="0" w:line="120" w:lineRule="exact"/>
        <w:rPr>
          <w:sz w:val="20"/>
          <w:szCs w:val="20"/>
          <w:color w:val="auto"/>
        </w:rPr>
      </w:pPr>
    </w:p>
    <w:p>
      <w:pPr>
        <w:ind w:right="440"/>
        <w:spacing w:after="0" w:line="367" w:lineRule="auto"/>
        <w:rPr>
          <w:sz w:val="20"/>
          <w:szCs w:val="20"/>
          <w:color w:val="auto"/>
        </w:rPr>
      </w:pPr>
      <w:r>
        <w:rPr>
          <w:rFonts w:ascii="Times New Roman" w:cs="Times New Roman" w:eastAsia="Times New Roman" w:hAnsi="Times New Roman"/>
          <w:sz w:val="20"/>
          <w:szCs w:val="20"/>
          <w:b w:val="1"/>
          <w:bCs w:val="1"/>
          <w:color w:val="231F20"/>
        </w:rPr>
        <w:t>Item 5. Market for Registrant’s Common Equity, Related Stockholder Matters and Issuer Purchases of Equity Securities. Market Information</w:t>
      </w:r>
    </w:p>
    <w:p>
      <w:pPr>
        <w:spacing w:after="0" w:line="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Our common stock is traded on The Nasdaq Global Market under the symbol “BDSX”. The high and low closing prices for our common stock on The Nasdaq Global Market from January 1, 2025 to December 31, 2025 were $29.80 and $4.40,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On September 15, 2025, the Company effected a 1-for-20 reverse stock split.</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Holders of our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February 20, 2026, there were approximately 228 holders of our common stock.</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Dividend Policy</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have never declared or paid dividends on our common stock and do not expect to pay dividends on our common stock for the foreseeable future. We anticipate that all of our liquidity in the foreseeable future will be used for the operation and growth of our business. Any future determination to declare dividends will be subject to the discretion of our Board of Directors and will depend on various factors, including applicable laws, our results of operations, financial condition, future prospects, and any other factors deemed relevant by our Board of Directors. In addition, the terms of our term loan restrict our ability to pay dividends on our common stock, and we may also enter into credit agreements or other borrowing arrangements in the future that will further restrict our ability to declare or pay dividends on our common stock.</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Sales of Unregistered Securities and Use of Proceeds</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On April 5, 2024, we entered into the Securities Purchase Agreements, pursuant to which we sold 760,857 shares of our Series A Preferred Stock, which, subject to stockholder approval and certain beneficial ownership limitations set by each holder pursuant to the Series A Certificate of Designation, would automatically convert into 40 shares of Common Stock for each share of Series A Preferred Stock, for an aggregate of up to 30,434,280 shares of our common stock and an aggregate purchase price of $35.0 million. The Private Placement Preferred Shares were offered and sold in transactions exempt from registration under the Securities Act, in reliance on Section 4(a)(2) thereof. Each of the investors represented that it was an “accredited investor,” as defined in Regulation D, and acquired the securities for investment only and not with a view towards, or for resale in connection with, the public sale or distribution thereof. The Private Placement Preferred Shares have not been registered under the Securities Act and such securities may not be offered or sold in the United States absent registration or an exemption from registration under the Securities Act and any applicable state securities laws.</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Concurrent Private Placement Shares being received at the Company’s 2024 annual meeting of stockholders.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Company used the proceeds from the Concurrent Private Placement for commercial expansion of sales, supporting its product pipeline, research and development and for general corporate purposes (see – Item 8. "Financial Statements and Supplementary Data").</w:t>
      </w:r>
    </w:p>
    <w:p>
      <w:pPr>
        <w:spacing w:after="0" w:line="6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30,434,280 shares of Common Stock in exchange for all Series A Preferred Stock.</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Company used the proceeds for the commercial expansion of sales, research and development, and for general corporate purposes (see – Item 8. "Financial Statements and Supplementary Data").</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Purchases of Equity Securities by the Issuer and Affiliated Purchasers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6. [Reserved]</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67</w:t>
      </w:r>
    </w:p>
    <w:p>
      <w:pPr>
        <w:sectPr>
          <w:pgSz w:w="11880" w:h="15480" w:orient="portrait"/>
          <w:cols w:equalWidth="0" w:num="1">
            <w:col w:w="10800"/>
          </w:cols>
          <w:pgMar w:left="540" w:top="746" w:right="54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20"/>
          <w:szCs w:val="20"/>
          <w:b w:val="1"/>
          <w:bCs w:val="1"/>
          <w:color w:val="231F20"/>
        </w:rPr>
        <w:t>Item 7. Management’s Discussion and Analysis of Financial Condition and Results of Operations.</w:t>
      </w:r>
    </w:p>
    <w:p>
      <w:pPr>
        <w:spacing w:after="0" w:line="12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231F20"/>
        </w:rPr>
        <w:t>Biodesix, Inc. is referred to throughout this Annual Report on Form 10-K for the period ended December 31, 2025 (Form 10-K) as “we”, “us”, “our” or the “Company.”</w:t>
      </w:r>
    </w:p>
    <w:p>
      <w:pPr>
        <w:spacing w:after="0" w:line="5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231F20"/>
        </w:rPr>
        <w:t>The following discussion of our financial condition and results of operations should be read together with our audited financial statements and related notes and other financial information included elsewhere in this Annual Report on Form 10-K.</w:t>
      </w:r>
    </w:p>
    <w:p>
      <w:pPr>
        <w:spacing w:after="0" w:line="5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231F20"/>
        </w:rPr>
        <w:t>In addition to historical financial information, this discussion and other parts of this report contain forward -looking statements within the meaning of Section 27A of the Securities Act of 1933, as amended, and Section 21E of the Securities Exchange Act of 1934, as amended, based upon current expectations that involve risks and uncertainties. Our actual results could differ materially from those anticipated in these forward-looking statements as a result of various factors, including those set forth in the section titled “Risk Factors” under Part I, Item 1A above. Forward-looking statements are not guarantees of future performance and are subject to risks and uncertainties that could cause actual results and events to differ from those anticipated.</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231F20"/>
        </w:rPr>
        <w:t>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like all statements in this report, speak only as of their date, and we undertake no obligation to update or revise these statements in light of future developments. These statements are inherently uncertain, and investors are cautioned not to unduly rely upon these statements.</w:t>
      </w:r>
    </w:p>
    <w:p>
      <w:pPr>
        <w:spacing w:after="0" w:line="7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following Management’s Discussion and Analysis of Financial Condition and Results of Operations (MD&amp;A), is provided to supplement the audited financial statements and the related notes in Part II—Item 8 of this Annual Report on Form 10-K. We intend for this discussion to provide you with information that will assist you in understanding our financial statements, the changes in key items in those financial statements from year to year and the primary factors that accounted for those changes. Data for the years ended December 31, 2025 and 2024 has been derived from our audited financial statements included in this Annual Report on Form 10-K.</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Overview</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are a leading diagnostic solutions company, and our mission is to transform patient care and improve outcomes through personalized diagnostics that are timely, accessible, and address immediate clinical needs. We envision a world where patient disease is conquered through the guidance of personalized diagnostics.</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At Biodesix, we have built a team with deep experience in diagnostics including commercialization, reimbursement, regulatory, medical affairs, research and development, technology, and operations to provide needed products and services to address critical clinical questions and help improve patient care. We believe that establishing a new standard of care utilizing personalized diagnostics requires an extensive understanding of clinical needs, scientific expertise to develop tests using the optimal technology for each clinical question, development of clinical evidence to demonstrate benefits of the testing, a scalable operational infrastructure, and an established commercial channel to drive market adoption and payer coverage.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employ multiple technologies, including genomics, proteomics, and radiomics, combined with artificial intelligence (AI), to discover, develop, and commercialize innovative diagnostic tests for physicians, biopharmaceutical, life science, and diagnostics companies to help improve patient care.</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Biodesix Diagnostic Tests support clinical decisions to expedite personalized care and improve outcomes for patients with lung disease. We believe our diagnostic tests help healthcare providers meaningfully improve lung disease diagnosis, treatment, and monitoring as well as lower the overall healthcare cost by reducing the use of ineffective and unnecessary treatments and procedures. We currently offer two tests (Nodify Lung® tests) that assess the risk of cancer in lung nodules and three tests (IQLung® tests) that provide treatment guidance after a lung cancer diagnosis.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0"/>
          <w:szCs w:val="20"/>
          <w:i w:val="1"/>
          <w:iCs w:val="1"/>
          <w:u w:val="single" w:color="auto"/>
          <w:color w:val="231F20"/>
        </w:rPr>
        <w:t>Diagnosis - Nodule Management</w:t>
      </w:r>
    </w:p>
    <w:p>
      <w:pPr>
        <w:spacing w:after="0" w:line="132" w:lineRule="exact"/>
        <w:rPr>
          <w:sz w:val="20"/>
          <w:szCs w:val="20"/>
          <w:color w:val="auto"/>
        </w:rPr>
      </w:pPr>
    </w:p>
    <w:p>
      <w:pPr>
        <w:jc w:val="both"/>
        <w:ind w:left="980" w:hanging="490"/>
        <w:spacing w:after="0" w:line="244" w:lineRule="auto"/>
        <w:tabs>
          <w:tab w:leader="none" w:pos="980" w:val="left"/>
        </w:tabs>
        <w:numPr>
          <w:ilvl w:val="0"/>
          <w:numId w:val="3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Nodify CDT</w:t>
      </w:r>
      <w:r>
        <w:rPr>
          <w:rFonts w:ascii="Times New Roman" w:cs="Times New Roman" w:eastAsia="Times New Roman" w:hAnsi="Times New Roman"/>
          <w:sz w:val="20"/>
          <w:szCs w:val="20"/>
          <w:color w:val="231F20"/>
        </w:rPr>
        <w:t>® and</w:t>
      </w:r>
      <w:r>
        <w:rPr>
          <w:rFonts w:ascii="Times New Roman" w:cs="Times New Roman" w:eastAsia="Times New Roman" w:hAnsi="Times New Roman"/>
          <w:sz w:val="20"/>
          <w:szCs w:val="20"/>
          <w:i w:val="1"/>
          <w:iCs w:val="1"/>
          <w:color w:val="231F20"/>
        </w:rPr>
        <w:t xml:space="preserve"> Nodify XL2</w:t>
      </w:r>
      <w:r>
        <w:rPr>
          <w:rFonts w:ascii="Times New Roman" w:cs="Times New Roman" w:eastAsia="Times New Roman" w:hAnsi="Times New Roman"/>
          <w:sz w:val="20"/>
          <w:szCs w:val="20"/>
          <w:color w:val="231F20"/>
        </w:rPr>
        <w:t>® tests, marketed as Nodify Lung® Nodule Risk Assessment, assess a suspicious lung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nodule's risk of lung cancer to help identify the most appropriate treatment pathway. The Nodify CDT and XL2 tests have an established average turnaround time of one and five business days, respectively, from receipt of the blood sample, providing physicians with timely results to guide diagnostic planning. The Nodify CDT test is a blood-based test that detects the presence of seven autoantibodies associated with the presence of tumors. Elevated levels of the autoantibodies in patients with lung nodules indicate an increased risk of lung cancer to help identify patients that may benefit from timely intervention. The Nodify XL2 test is a blood-based proteomic test that evaluates the likelihood that a lung nodule is benign to help identify patients that may benefit from surveillance imaging. We believe we are </w:t>
      </w:r>
      <w:r>
        <w:rPr>
          <w:rFonts w:ascii="Times New Roman" w:cs="Times New Roman" w:eastAsia="Times New Roman" w:hAnsi="Times New Roman"/>
          <w:sz w:val="20"/>
          <w:szCs w:val="20"/>
          <w:b w:val="1"/>
          <w:bCs w:val="1"/>
          <w:i w:val="1"/>
          <w:iCs w:val="1"/>
          <w:color w:val="231F20"/>
        </w:rPr>
        <w:t>the only company</w:t>
      </w:r>
      <w:r>
        <w:rPr>
          <w:rFonts w:ascii="Times New Roman" w:cs="Times New Roman" w:eastAsia="Times New Roman" w:hAnsi="Times New Roman"/>
          <w:sz w:val="20"/>
          <w:szCs w:val="20"/>
          <w:color w:val="231F20"/>
        </w:rPr>
        <w:t xml:space="preserve"> to offer two Medicare/Medicaid-covered commercial blood-based tests to help physicians classify risk of malignancy in patients with suspicious lung nodules.</w:t>
      </w:r>
    </w:p>
    <w:p>
      <w:pPr>
        <w:sectPr>
          <w:pgSz w:w="11880" w:h="15480" w:orient="portrait"/>
          <w:cols w:equalWidth="0" w:num="1">
            <w:col w:w="10800"/>
          </w:cols>
          <w:pgMar w:left="540" w:top="746" w:right="540" w:bottom="0" w:gutter="0" w:footer="0" w:header="0"/>
        </w:sect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68</w:t>
      </w:r>
    </w:p>
    <w:p>
      <w:pPr>
        <w:sectPr>
          <w:pgSz w:w="11880" w:h="15480" w:orient="portrait"/>
          <w:cols w:equalWidth="0" w:num="1">
            <w:col w:w="10800"/>
          </w:cols>
          <w:pgMar w:left="540" w:top="746" w:right="540" w:bottom="0" w:gutter="0" w:footer="0" w:header="0"/>
          <w:type w:val="continuous"/>
        </w:sectPr>
      </w:pPr>
    </w:p>
    <w:bookmarkStart w:id="70" w:name="page71"/>
    <w:bookmarkEnd w:id="70"/>
    <w:p>
      <w:pPr>
        <w:ind w:left="480"/>
        <w:spacing w:after="0"/>
        <w:rPr>
          <w:sz w:val="20"/>
          <w:szCs w:val="20"/>
          <w:color w:val="auto"/>
        </w:rPr>
      </w:pPr>
      <w:r>
        <w:rPr>
          <w:rFonts w:ascii="Times New Roman" w:cs="Times New Roman" w:eastAsia="Times New Roman" w:hAnsi="Times New Roman"/>
          <w:sz w:val="20"/>
          <w:szCs w:val="20"/>
          <w:i w:val="1"/>
          <w:iCs w:val="1"/>
          <w:u w:val="single" w:color="auto"/>
          <w:color w:val="231F20"/>
        </w:rPr>
        <w:t>Lung Cancer Treatment &amp; Monitoring</w:t>
      </w:r>
    </w:p>
    <w:p>
      <w:pPr>
        <w:spacing w:after="0" w:line="132" w:lineRule="exact"/>
        <w:rPr>
          <w:sz w:val="20"/>
          <w:szCs w:val="20"/>
          <w:color w:val="auto"/>
        </w:rPr>
      </w:pPr>
    </w:p>
    <w:p>
      <w:pPr>
        <w:jc w:val="both"/>
        <w:ind w:left="840" w:hanging="350"/>
        <w:spacing w:after="0" w:line="243" w:lineRule="auto"/>
        <w:tabs>
          <w:tab w:leader="none" w:pos="840" w:val="left"/>
        </w:tabs>
        <w:numPr>
          <w:ilvl w:val="0"/>
          <w:numId w:val="40"/>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GeneStrat</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ddPCR, GeneStrat NGS</w:t>
      </w:r>
      <w:r>
        <w:rPr>
          <w:rFonts w:ascii="Times New Roman" w:cs="Times New Roman" w:eastAsia="Times New Roman" w:hAnsi="Times New Roman"/>
          <w:sz w:val="20"/>
          <w:szCs w:val="20"/>
          <w:color w:val="231F20"/>
        </w:rPr>
        <w:t>® and</w:t>
      </w:r>
      <w:r>
        <w:rPr>
          <w:rFonts w:ascii="Times New Roman" w:cs="Times New Roman" w:eastAsia="Times New Roman" w:hAnsi="Times New Roman"/>
          <w:sz w:val="20"/>
          <w:szCs w:val="20"/>
          <w:i w:val="1"/>
          <w:iCs w:val="1"/>
          <w:color w:val="231F20"/>
        </w:rPr>
        <w:t xml:space="preserve"> VeriStrat</w:t>
      </w:r>
      <w:r>
        <w:rPr>
          <w:rFonts w:ascii="Times New Roman" w:cs="Times New Roman" w:eastAsia="Times New Roman" w:hAnsi="Times New Roman"/>
          <w:sz w:val="20"/>
          <w:szCs w:val="20"/>
          <w:color w:val="231F20"/>
        </w:rPr>
        <w:t>® tests, marketed as part of our IQLung® testing strategy, are used</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following diagnosis of lung cancer to detect the presence of mutations in the tumor and the state of the patient’s immune system to help guide treatment decisions. The GeneStrat ddPCR tumor genomic profiling test and the VeriStrat immune profiling test have an established average turnaround time of two business days from receipt of the blood sample, and the GeneStrat NGS test has an established average turnaround time of three business days from receipt of the blood sample, providing physicians with timely results to facilitate treatment decisions. The GeneStrat ddPCR test evaluates the presence of actionable mutations in lung cancer. The test is covered independent of stage and can be used multiple times per patient to monitor changes in mutation status. The GeneStrat NGS test is a broad 52 gene panel, including guideline recommended mutations that help identify advanced stage patients eligible for targeted therapy or clinical trial enrollment. The VeriStrat test is a blood-based proteomic test that provides a personalized view of each patient’s immune response to their lung cancer.</w:t>
      </w:r>
    </w:p>
    <w:p>
      <w:pPr>
        <w:spacing w:after="0" w:line="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Biodesix Development Services enable the world’s leading biopharmaceutical, life sciences, and research institutions with scientific, technological, and operational capabilities that fuel the development of diagnostic tests, tools, and therapeutics. We provide development services to enable therapeutic clinical trials, the validation of life sciences tools and diagnostics, and the discovery, development, and commercialization of diagnostics. Biodesix Development Services have been utilized by over 65 industry clients and academic partners.</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continuously revisit our technology strategy and roadmap to integrate new technologies into our evolving offering, which ultimately support the addition of new service and product revenue offerings. We believe that no single technology can interrogate the complexity of the human disease state to help solve all clinical questions. For that reason, we employ a multi-omic approach to solving diagnostic challenges.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offer end-to-end diagnostic solutions, including translational research, initial biomarker discovery, assay design, development, and validation, testing of clinical trial samples, regulatory, reimbursement, commercialization, and logistical support services. We offer our existing on-market tests, a suite of other research tests and the capability to custom design and develop novel tests for use by our customers.</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While our Development Services revenue continues to grow, it is important to note that we benefit from these partnerships in ways that expand beyond revenue. We are continuously expanding our knowledge and biological understanding of multiple diseases and the rapidly evolving treatment and regulatory approval landscape.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Factors Affecting Our Performance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believe there are several important factors that have impacted our operating performance and results of operations, including:</w:t>
      </w:r>
    </w:p>
    <w:p>
      <w:pPr>
        <w:spacing w:after="0" w:line="130" w:lineRule="exact"/>
        <w:rPr>
          <w:sz w:val="20"/>
          <w:szCs w:val="20"/>
          <w:color w:val="auto"/>
        </w:rPr>
      </w:pPr>
    </w:p>
    <w:p>
      <w:pPr>
        <w:jc w:val="both"/>
        <w:ind w:left="860" w:hanging="370"/>
        <w:spacing w:after="0" w:line="244" w:lineRule="auto"/>
        <w:tabs>
          <w:tab w:leader="none" w:pos="86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Testing volume and customer mix. </w:t>
      </w:r>
      <w:r>
        <w:rPr>
          <w:rFonts w:ascii="Times New Roman" w:cs="Times New Roman" w:eastAsia="Times New Roman" w:hAnsi="Times New Roman"/>
          <w:sz w:val="20"/>
          <w:szCs w:val="20"/>
          <w:color w:val="231F20"/>
        </w:rPr>
        <w:t>Our revenues and costs are affected by the volume of testing and mix of customers</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from period to period. We evaluate both the volume of our commercial tests, or the number of tests that we perform for patients on behalf of clinicians, as well as tests for biopharmaceutical companies. Our performance depends on our ability to retain and broaden adoption with existing customers, as well as attract new customers. We believe that the test volume we receive from clinicians and biopharmaceutical companies are indicators of growth in each of these business lines. Customer mix stemming from our two business lines has the potential to significantly impact our results of operations, as the average selling price for biopharmaceutical sample testing is currently significantly higher than our average selling price for clinical tests since our tests are not covered by all clinical patients’ insurance. We evaluate our average selling price for tests that are covered by Medicare, Medicare Advantage and commercial payers to understand the trends in reimbursement and apply those trends to our revenue recognition policies.</w:t>
      </w:r>
    </w:p>
    <w:p>
      <w:pPr>
        <w:spacing w:after="0" w:line="95" w:lineRule="exact"/>
        <w:rPr>
          <w:rFonts w:ascii="Arial" w:cs="Arial" w:eastAsia="Arial" w:hAnsi="Arial"/>
          <w:sz w:val="20"/>
          <w:szCs w:val="20"/>
          <w:color w:val="231F20"/>
        </w:rPr>
      </w:pPr>
    </w:p>
    <w:p>
      <w:pPr>
        <w:jc w:val="both"/>
        <w:ind w:left="860" w:hanging="370"/>
        <w:spacing w:after="0" w:line="248" w:lineRule="auto"/>
        <w:tabs>
          <w:tab w:leader="none" w:pos="860" w:val="left"/>
        </w:tabs>
        <w:numPr>
          <w:ilvl w:val="0"/>
          <w:numId w:val="41"/>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Reimbursement for clinical diagnostic testing. </w:t>
      </w:r>
      <w:r>
        <w:rPr>
          <w:rFonts w:ascii="Times New Roman" w:cs="Times New Roman" w:eastAsia="Times New Roman" w:hAnsi="Times New Roman"/>
          <w:sz w:val="20"/>
          <w:szCs w:val="20"/>
          <w:color w:val="231F20"/>
        </w:rPr>
        <w:t>Our revenue depends on achieving broad coverage and reimbursement for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our tests from third-party payers, including both commercial and government payers. All five Biodesix blood-based lung diagnostic tests within Nodify Lung Nodule Risk Assessment testing and IQLung strategy for lung cancer patients are covered by Medicare. Payment from third-party payers differs depending on whether we have entered into a contract with the payers as a “participating provider” or do not have a contract and are considered a “non-participating provider.” Payers will often reimburse non-participating providers, if at all, at a lower rate than participating providers.</w:t>
      </w:r>
    </w:p>
    <w:p>
      <w:pPr>
        <w:spacing w:after="0" w:line="77" w:lineRule="exact"/>
        <w:rPr>
          <w:rFonts w:ascii="Arial" w:cs="Arial" w:eastAsia="Arial" w:hAnsi="Arial"/>
          <w:sz w:val="20"/>
          <w:szCs w:val="20"/>
          <w:color w:val="231F20"/>
        </w:rPr>
      </w:pPr>
    </w:p>
    <w:p>
      <w:pPr>
        <w:jc w:val="both"/>
        <w:ind w:left="860"/>
        <w:spacing w:after="0" w:line="246"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Historically, we have experienced situations where commercial payers proactively reduced the amounts they were willing to reimburse for our tests, and in other situations, commercial payers have determined that the amounts they previously paid were too high and have sought to recover those perceived excess payments by deducting such amounts from payments otherwise being made. When we contract to serve as a participating provider, reimbursements are made pursuant to a negotiated fee schedule and are limited to only covered indications. Becoming a participating provider generally results in higher reimbursement for covered indications and lack of reimbursement for non-covered indications. As a result, the impact of becoming a participating provider with a specific payer will vary. If we are not able to obtain or maintain</w:t>
      </w:r>
    </w:p>
    <w:p>
      <w:pPr>
        <w:sectPr>
          <w:pgSz w:w="11880" w:h="15480" w:orient="portrait"/>
          <w:cols w:equalWidth="0" w:num="1">
            <w:col w:w="10800"/>
          </w:cols>
          <w:pgMar w:left="540" w:top="752" w:right="540" w:bottom="0" w:gutter="0" w:footer="0" w:header="0"/>
        </w:sect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69</w:t>
      </w:r>
    </w:p>
    <w:p>
      <w:pPr>
        <w:sectPr>
          <w:pgSz w:w="11880" w:h="15480" w:orient="portrait"/>
          <w:cols w:equalWidth="0" w:num="1">
            <w:col w:w="10800"/>
          </w:cols>
          <w:pgMar w:left="540" w:top="752" w:right="540" w:bottom="0" w:gutter="0" w:footer="0" w:header="0"/>
          <w:type w:val="continuous"/>
        </w:sectPr>
      </w:pPr>
    </w:p>
    <w:bookmarkStart w:id="71" w:name="page72"/>
    <w:bookmarkEnd w:id="71"/>
    <w:p>
      <w:pPr>
        <w:jc w:val="both"/>
        <w:ind w:left="370"/>
        <w:spacing w:after="0" w:line="258" w:lineRule="auto"/>
        <w:rPr>
          <w:sz w:val="20"/>
          <w:szCs w:val="20"/>
          <w:color w:val="auto"/>
        </w:rPr>
      </w:pPr>
      <w:r>
        <w:rPr>
          <w:rFonts w:ascii="Times New Roman" w:cs="Times New Roman" w:eastAsia="Times New Roman" w:hAnsi="Times New Roman"/>
          <w:sz w:val="20"/>
          <w:szCs w:val="20"/>
          <w:color w:val="231F20"/>
        </w:rPr>
        <w:t>coverage and adequate reimbursement from third-party payers, we may not be able to effectively increase our testing volume and revenue as expected. Additionally, retrospective reimbursement adjustments can negatively impact our revenue and cause our financial results to fluctuate.</w:t>
      </w:r>
    </w:p>
    <w:p>
      <w:pPr>
        <w:spacing w:after="0" w:line="68" w:lineRule="exact"/>
        <w:rPr>
          <w:sz w:val="20"/>
          <w:szCs w:val="20"/>
          <w:color w:val="auto"/>
        </w:rPr>
      </w:pPr>
    </w:p>
    <w:p>
      <w:pPr>
        <w:jc w:val="both"/>
        <w:ind w:left="350"/>
        <w:spacing w:after="0" w:line="249" w:lineRule="auto"/>
        <w:rPr>
          <w:sz w:val="20"/>
          <w:szCs w:val="20"/>
          <w:color w:val="auto"/>
        </w:rPr>
      </w:pPr>
      <w:r>
        <w:rPr>
          <w:rFonts w:ascii="Times New Roman" w:cs="Times New Roman" w:eastAsia="Times New Roman" w:hAnsi="Times New Roman"/>
          <w:sz w:val="20"/>
          <w:szCs w:val="20"/>
          <w:color w:val="231F20"/>
        </w:rPr>
        <w:t>In addition, payers who were previously either not covering or paying a reduced rate for the tests may decide in the future to start or restart reimbursing for one or more of our tests. In the three months ending September 30, 2025, a major third party commercial payer who had previously stopped reimbursing us for certain of our tests began reimbursing claims for use of the tests, which contributed to an increase in average revenue per test in the quarter. While we currently expect this trend to continue, there is no guarantee of future reimbursement performance from this particular payer or any other payer.</w:t>
      </w:r>
    </w:p>
    <w:p>
      <w:pPr>
        <w:spacing w:after="0" w:line="87" w:lineRule="exact"/>
        <w:rPr>
          <w:sz w:val="20"/>
          <w:szCs w:val="20"/>
          <w:color w:val="auto"/>
        </w:rPr>
      </w:pPr>
    </w:p>
    <w:p>
      <w:pPr>
        <w:jc w:val="both"/>
        <w:ind w:left="370" w:hanging="370"/>
        <w:spacing w:after="0" w:line="248" w:lineRule="auto"/>
        <w:tabs>
          <w:tab w:leader="none" w:pos="37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Investment in clinical studies and product innovation to support growth. </w:t>
      </w:r>
      <w:r>
        <w:rPr>
          <w:rFonts w:ascii="Times New Roman" w:cs="Times New Roman" w:eastAsia="Times New Roman" w:hAnsi="Times New Roman"/>
          <w:sz w:val="20"/>
          <w:szCs w:val="20"/>
          <w:color w:val="231F20"/>
        </w:rPr>
        <w:t>A significant aspect of our business is our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investment in research and development, including the development of new products and our investments in clinical studies for our on-market and pipeline products. Our studies focus on generating evidence to support expanded payer coverage, commercial adoption, and regulatory approvals. Current efforts are focused primarily on clinical utility as well as understanding the economic impact of our tests in assisting with decisions related to patient management and the potential impact of our tests in reducing overall healthcare costs.</w:t>
      </w:r>
    </w:p>
    <w:p>
      <w:pPr>
        <w:spacing w:after="0" w:line="77" w:lineRule="exact"/>
        <w:rPr>
          <w:rFonts w:ascii="Arial" w:cs="Arial" w:eastAsia="Arial" w:hAnsi="Arial"/>
          <w:sz w:val="20"/>
          <w:szCs w:val="20"/>
          <w:color w:val="231F20"/>
        </w:rPr>
      </w:pPr>
    </w:p>
    <w:p>
      <w:pPr>
        <w:jc w:val="both"/>
        <w:ind w:left="370"/>
        <w:spacing w:after="0" w:line="252"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The ongoing INSIGHT study was designed to expand our clinical understanding of the predictive and prognostic value of the VeriStrat test. On June 27, 2023, we completed enrollment of 5,000 patients with non-small cell lung cancer. All study participants currently enrolled in the study are expected to complete study follow-up by the end of 2026. The participant data will be monitored, and sites will be closed accordingly throughout 2026.</w:t>
      </w:r>
    </w:p>
    <w:p>
      <w:pPr>
        <w:spacing w:after="0" w:line="74" w:lineRule="exact"/>
        <w:rPr>
          <w:rFonts w:ascii="Arial" w:cs="Arial" w:eastAsia="Arial" w:hAnsi="Arial"/>
          <w:sz w:val="20"/>
          <w:szCs w:val="20"/>
          <w:color w:val="231F20"/>
        </w:rPr>
      </w:pPr>
    </w:p>
    <w:p>
      <w:pPr>
        <w:jc w:val="both"/>
        <w:ind w:left="370"/>
        <w:spacing w:after="0" w:line="258"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The ALTITUDE study is a randomized control study, launched during the fourth quarter 2020, seeking to further demonstrate the utility of the Nodify CDT and XL2 tests. Patient enrollment requirements were reached in July 2025. All study participants are in two-year follow-up.</w:t>
      </w:r>
    </w:p>
    <w:p>
      <w:pPr>
        <w:spacing w:after="0" w:line="68" w:lineRule="exact"/>
        <w:rPr>
          <w:rFonts w:ascii="Arial" w:cs="Arial" w:eastAsia="Arial" w:hAnsi="Arial"/>
          <w:sz w:val="20"/>
          <w:szCs w:val="20"/>
          <w:color w:val="231F20"/>
        </w:rPr>
      </w:pPr>
    </w:p>
    <w:p>
      <w:pPr>
        <w:jc w:val="both"/>
        <w:ind w:left="370"/>
        <w:spacing w:after="0" w:line="246"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On October 8, 2024, at the CHEST Annual Meeting, the Company presented the experience of healthcare providers using the Nodify Lung Nodule Risk Assessment in over 35,000 patients consecutively tested in a real-world clinical setting. The Company also announced a new clinical study, CLARIFY, that will collect patient outcomes and other clinical information on a subset of the patients featured in the CHEST presentation. CLARIFY is designed to confirm performance of the Nodify CDT and Nodify XL2 tests in diverse patient subgroups through a retrospective chart review of up to 4,000 patients that were tested in a real-world clinical setting. The study's intent is to expand the extensive evidence characterizing the validation and utility of Nodify Lung testing. Through December 31, 2025, the study has accrued over 1,500 patients.</w:t>
      </w:r>
    </w:p>
    <w:p>
      <w:pPr>
        <w:spacing w:after="0" w:line="79" w:lineRule="exact"/>
        <w:rPr>
          <w:rFonts w:ascii="Arial" w:cs="Arial" w:eastAsia="Arial" w:hAnsi="Arial"/>
          <w:sz w:val="20"/>
          <w:szCs w:val="20"/>
          <w:color w:val="231F20"/>
        </w:rPr>
      </w:pPr>
    </w:p>
    <w:p>
      <w:pPr>
        <w:jc w:val="both"/>
        <w:ind w:left="370"/>
        <w:spacing w:after="0" w:line="243" w:lineRule="auto"/>
        <w:rPr>
          <w:rFonts w:ascii="Arial" w:cs="Arial" w:eastAsia="Arial" w:hAnsi="Arial"/>
          <w:sz w:val="20"/>
          <w:szCs w:val="20"/>
          <w:color w:val="231F20"/>
        </w:rPr>
      </w:pPr>
      <w:r>
        <w:rPr>
          <w:rFonts w:ascii="Times New Roman" w:cs="Times New Roman" w:eastAsia="Times New Roman" w:hAnsi="Times New Roman"/>
          <w:sz w:val="20"/>
          <w:szCs w:val="20"/>
          <w:color w:val="231F20"/>
        </w:rPr>
        <w:t>Our clinical research has resulted in over 90 peer-reviewed publications for our tests. In addition to clinical studies, we are collaborating with investigators from multiple academic cancer centers. On June 3, 2022, we announced the intent to develop a new novel molecular minimal residual disease (MRD) test as a part of a master sponsored research agreement (MSRA) with Memorial Sloan Kettering Cancer Center (MSK). In addition, the MSRA between MSK and the Company also includes the potential future development of other diagnostic tests aimed at improving the treatment of cancer. On March 25, 2024, we announced a new master collaborative research agreement (MCRA) with MSK under which the teams will collaborate on a development plan for diagnostic tests aimed at improving the treatment of cancer. Biodesix will utilize its array of genomics, proteomics, and data mining capabilities with the aim of developing and commercializing oncology biomarker assays in collaboration with MSK. Bio-Rad will provide its industry-leading digital PCR assay technology in support of this important work. We believe these studies and collaborative arrangements are critical to gaining physician adoption and driving favorable coverage decisions by payers and expect our investments in research and development to increase. Further, we also expect to increase our research and development expenses to fund further innovation and develop new clinically relevant tests.</w:t>
      </w:r>
    </w:p>
    <w:p>
      <w:pPr>
        <w:spacing w:after="0" w:line="94" w:lineRule="exact"/>
        <w:rPr>
          <w:rFonts w:ascii="Arial" w:cs="Arial" w:eastAsia="Arial" w:hAnsi="Arial"/>
          <w:sz w:val="20"/>
          <w:szCs w:val="20"/>
          <w:color w:val="231F20"/>
        </w:rPr>
      </w:pPr>
    </w:p>
    <w:p>
      <w:pPr>
        <w:jc w:val="both"/>
        <w:ind w:left="370" w:hanging="370"/>
        <w:spacing w:after="0" w:line="244" w:lineRule="auto"/>
        <w:tabs>
          <w:tab w:leader="none" w:pos="37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Ability to attract new Development Services including biopharmaceutical customers and maintain and expand relationships with existing customers. </w:t>
      </w:r>
      <w:r>
        <w:rPr>
          <w:rFonts w:ascii="Times New Roman" w:cs="Times New Roman" w:eastAsia="Times New Roman" w:hAnsi="Times New Roman"/>
          <w:sz w:val="20"/>
          <w:szCs w:val="20"/>
          <w:color w:val="231F20"/>
        </w:rPr>
        <w:t>Our business development team promotes the broad utility of our products for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biopharmaceutical companies in the United States and internationally. Our revenue, business opportunities and growth depend in part on our ability to attract new Development Services including biopharmaceutical customers and to maintain and expand relationships with existing biopharmaceutical customers. We expect to increase our sales and marketing expenses in furtherance of this as we continue to develop these relationships, and we expect to support a growing number of investigations and clinical trials. If our relationships expand, we believe we may have opportunities to offer our platform for companion diagnostic development, novel target discovery and validation efforts, and to grow into other commercial opportunities. For example, we believe our multi-omic data including genomic and proteomic data, in combination with clinical outcomes or claims data, has revenue-generating potential, including for novel target identification and companion diagnostic discovery and development.</w:t>
      </w:r>
    </w:p>
    <w:p>
      <w:pPr>
        <w:spacing w:after="0" w:line="91" w:lineRule="exact"/>
        <w:rPr>
          <w:rFonts w:ascii="Arial" w:cs="Arial" w:eastAsia="Arial" w:hAnsi="Arial"/>
          <w:sz w:val="20"/>
          <w:szCs w:val="20"/>
          <w:color w:val="231F20"/>
        </w:rPr>
      </w:pPr>
    </w:p>
    <w:p>
      <w:pPr>
        <w:jc w:val="both"/>
        <w:ind w:left="370" w:hanging="370"/>
        <w:spacing w:after="0" w:line="260" w:lineRule="auto"/>
        <w:tabs>
          <w:tab w:leader="none" w:pos="370" w:val="left"/>
        </w:tabs>
        <w:numPr>
          <w:ilvl w:val="0"/>
          <w:numId w:val="42"/>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 xml:space="preserve">Motivating and expanding our field sales force and customer support team. </w:t>
      </w:r>
      <w:r>
        <w:rPr>
          <w:rFonts w:ascii="Times New Roman" w:cs="Times New Roman" w:eastAsia="Times New Roman" w:hAnsi="Times New Roman"/>
          <w:sz w:val="20"/>
          <w:szCs w:val="20"/>
          <w:color w:val="231F20"/>
        </w:rPr>
        <w:t>Our field sales force is the primary point of</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contact in the clinical setting. These representatives of the Company must cover expansive geographic regions which limits their time for interaction and education of our products in the clinical setting. We plan to continue investing in the field</w:t>
      </w:r>
    </w:p>
    <w:p>
      <w:pPr>
        <w:sectPr>
          <w:pgSz w:w="11880" w:h="15480" w:orient="portrait"/>
          <w:cols w:equalWidth="0" w:num="1">
            <w:col w:w="10310"/>
          </w:cols>
          <w:pgMar w:left="1030" w:top="750" w:right="540" w:bottom="0" w:gutter="0" w:footer="0" w:header="0"/>
        </w:sectPr>
      </w:pPr>
    </w:p>
    <w:p>
      <w:pPr>
        <w:spacing w:after="0" w:line="232" w:lineRule="exact"/>
        <w:rPr>
          <w:sz w:val="20"/>
          <w:szCs w:val="20"/>
          <w:color w:val="auto"/>
        </w:rPr>
      </w:pPr>
    </w:p>
    <w:p>
      <w:pPr>
        <w:jc w:val="center"/>
        <w:ind w:right="490"/>
        <w:spacing w:after="0"/>
        <w:rPr>
          <w:sz w:val="20"/>
          <w:szCs w:val="20"/>
          <w:color w:val="auto"/>
        </w:rPr>
      </w:pPr>
      <w:r>
        <w:rPr>
          <w:rFonts w:ascii="Times New Roman" w:cs="Times New Roman" w:eastAsia="Times New Roman" w:hAnsi="Times New Roman"/>
          <w:sz w:val="20"/>
          <w:szCs w:val="20"/>
          <w:color w:val="231F20"/>
        </w:rPr>
        <w:t>70</w:t>
      </w:r>
    </w:p>
    <w:p>
      <w:pPr>
        <w:sectPr>
          <w:pgSz w:w="11880" w:h="15480" w:orient="portrait"/>
          <w:cols w:equalWidth="0" w:num="1">
            <w:col w:w="10310"/>
          </w:cols>
          <w:pgMar w:left="1030" w:top="750" w:right="540" w:bottom="0" w:gutter="0" w:footer="0" w:header="0"/>
          <w:type w:val="continuous"/>
        </w:sectPr>
      </w:pPr>
    </w:p>
    <w:bookmarkStart w:id="72" w:name="page73"/>
    <w:bookmarkEnd w:id="72"/>
    <w:p>
      <w:pPr>
        <w:jc w:val="both"/>
        <w:ind w:left="860"/>
        <w:spacing w:after="0" w:line="258" w:lineRule="auto"/>
        <w:rPr>
          <w:sz w:val="20"/>
          <w:szCs w:val="20"/>
          <w:color w:val="auto"/>
        </w:rPr>
      </w:pPr>
      <w:r>
        <w:rPr>
          <w:rFonts w:ascii="Times New Roman" w:cs="Times New Roman" w:eastAsia="Times New Roman" w:hAnsi="Times New Roman"/>
          <w:sz w:val="20"/>
          <w:szCs w:val="20"/>
          <w:color w:val="231F20"/>
        </w:rPr>
        <w:t>sales force through select expansion and provide them with tools that maximize their education and selling efforts in order to achieve greater returns. Additionally, we plan to invest in the marketing and customer support teams to continue to provide the field sales force with the resources to be successful.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While each of these areas present significant opportunities for us, they also pose significant risks and challenges that we must address.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Part I, Item 1A. “Risk Factors” for more information.</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Fourth Quarter and Full Year 2025 Financial and Operational Highlights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were significant developments affecting our business, capital structure and liquidity during the year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December 31, 2025 as compared to the same period in 2024 unless otherwise noted:</w:t>
      </w:r>
    </w:p>
    <w:p>
      <w:pPr>
        <w:spacing w:after="0" w:line="106" w:lineRule="exact"/>
        <w:rPr>
          <w:sz w:val="20"/>
          <w:szCs w:val="20"/>
          <w:color w:val="auto"/>
        </w:rPr>
      </w:pPr>
    </w:p>
    <w:p>
      <w:pPr>
        <w:ind w:left="600" w:hanging="341"/>
        <w:spacing w:after="0" w:line="276" w:lineRule="auto"/>
        <w:tabs>
          <w:tab w:leader="none" w:pos="600" w:val="left"/>
        </w:tabs>
        <w:numPr>
          <w:ilvl w:val="0"/>
          <w:numId w:val="43"/>
        </w:numPr>
        <w:rPr>
          <w:rFonts w:ascii="Arial" w:cs="Arial" w:eastAsia="Arial" w:hAnsi="Arial"/>
          <w:sz w:val="20"/>
          <w:szCs w:val="20"/>
          <w:color w:val="231F20"/>
        </w:rPr>
      </w:pPr>
      <w:r>
        <w:rPr>
          <w:rFonts w:ascii="Times New Roman" w:cs="Times New Roman" w:eastAsia="Times New Roman" w:hAnsi="Times New Roman"/>
          <w:sz w:val="20"/>
          <w:szCs w:val="20"/>
          <w:color w:val="231F20"/>
        </w:rPr>
        <w:t>Diagnostic Tests core organic revenue, excluding collection on claims older than one year, was $24.1 million in Q4, growth of 40% over the prior year comparable period, driven by test volume growth of 23% and increased average revenue per test;</w:t>
      </w:r>
    </w:p>
    <w:p>
      <w:pPr>
        <w:spacing w:after="0" w:line="52" w:lineRule="exact"/>
        <w:rPr>
          <w:sz w:val="20"/>
          <w:szCs w:val="20"/>
          <w:color w:val="auto"/>
        </w:rPr>
      </w:pPr>
    </w:p>
    <w:p>
      <w:pPr>
        <w:jc w:val="both"/>
        <w:ind w:left="1460" w:hanging="481"/>
        <w:spacing w:after="0" w:line="248" w:lineRule="auto"/>
        <w:tabs>
          <w:tab w:leader="none" w:pos="1460" w:val="left"/>
        </w:tabs>
        <w:numPr>
          <w:ilvl w:val="1"/>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Diagnostic Test revenue of $25.1 million and $79.2 million for the fourth quarter and fiscal 2025, respectively, an increase of 46% and 22% over the prior year comparable periods. Test volumes were 18,000 and 62,600 for the fourth quarter and fiscal 2025, respectively, an increase of 23% and 15% over the prior year comparable periods. The increase in average revenue per test was driven by additional payer coverage, improvements in revenue cycle management, and approximately $1.0 million in collections from claims older than one year;</w:t>
      </w:r>
    </w:p>
    <w:p>
      <w:pPr>
        <w:spacing w:after="0" w:line="94" w:lineRule="exact"/>
        <w:rPr>
          <w:rFonts w:ascii="Times New Roman" w:cs="Times New Roman" w:eastAsia="Times New Roman" w:hAnsi="Times New Roman"/>
          <w:sz w:val="20"/>
          <w:szCs w:val="20"/>
          <w:color w:val="231F20"/>
        </w:rPr>
      </w:pPr>
    </w:p>
    <w:p>
      <w:pPr>
        <w:jc w:val="both"/>
        <w:ind w:left="600" w:hanging="341"/>
        <w:spacing w:after="0" w:line="258" w:lineRule="auto"/>
        <w:tabs>
          <w:tab w:leader="none" w:pos="6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Development Services revenue of $3.6 million and $9.3 million for the fourth quarter and fiscal 2025, respectively, an increase of 12% and 41% over the respective prior year comparable periods, a result of both delivering against the Company’s book of contracted business and securing new agreements;</w:t>
      </w:r>
    </w:p>
    <w:p>
      <w:pPr>
        <w:spacing w:after="0" w:line="81" w:lineRule="exact"/>
        <w:rPr>
          <w:rFonts w:ascii="Arial" w:cs="Arial" w:eastAsia="Arial" w:hAnsi="Arial"/>
          <w:sz w:val="20"/>
          <w:szCs w:val="20"/>
          <w:color w:val="231F20"/>
        </w:rPr>
      </w:pPr>
    </w:p>
    <w:p>
      <w:pPr>
        <w:ind w:left="600" w:right="100" w:hanging="341"/>
        <w:spacing w:after="0" w:line="276" w:lineRule="auto"/>
        <w:tabs>
          <w:tab w:leader="none" w:pos="6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Total revenue of $28.8 million in Q4 and $88.5 million in FY2025, an increase of 41% and 24% over the respective prior year comparable periods, with gross margin expanding 400bps to 83% in Q4 and 300bps to 81% for the full year;</w:t>
      </w:r>
    </w:p>
    <w:p>
      <w:pPr>
        <w:spacing w:after="0" w:line="52" w:lineRule="exact"/>
        <w:rPr>
          <w:rFonts w:ascii="Arial" w:cs="Arial" w:eastAsia="Arial" w:hAnsi="Arial"/>
          <w:sz w:val="20"/>
          <w:szCs w:val="20"/>
          <w:color w:val="231F20"/>
        </w:rPr>
      </w:pPr>
    </w:p>
    <w:p>
      <w:pPr>
        <w:ind w:left="1460" w:right="240" w:hanging="481"/>
        <w:spacing w:after="0" w:line="275" w:lineRule="auto"/>
        <w:tabs>
          <w:tab w:leader="none" w:pos="1460" w:val="left"/>
        </w:tabs>
        <w:numPr>
          <w:ilvl w:val="1"/>
          <w:numId w:val="44"/>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i w:val="1"/>
          <w:iCs w:val="1"/>
          <w:color w:val="231F20"/>
        </w:rPr>
        <w:t>Improvements in gross margin percentage were driven by growth in Diagnostic testing, improvements in average revenue per test, and optimization of testing workflows that resulted in decreases in costs per test;</w:t>
      </w:r>
    </w:p>
    <w:p>
      <w:pPr>
        <w:spacing w:after="0" w:line="65" w:lineRule="exact"/>
        <w:rPr>
          <w:rFonts w:ascii="Times New Roman" w:cs="Times New Roman" w:eastAsia="Times New Roman" w:hAnsi="Times New Roman"/>
          <w:sz w:val="20"/>
          <w:szCs w:val="20"/>
          <w:color w:val="231F20"/>
        </w:rPr>
      </w:pPr>
    </w:p>
    <w:p>
      <w:pPr>
        <w:jc w:val="both"/>
        <w:ind w:left="600" w:hanging="341"/>
        <w:spacing w:after="0" w:line="249" w:lineRule="auto"/>
        <w:tabs>
          <w:tab w:leader="none" w:pos="600" w:val="left"/>
        </w:tabs>
        <w:numPr>
          <w:ilvl w:val="0"/>
          <w:numId w:val="44"/>
        </w:numPr>
        <w:rPr>
          <w:rFonts w:ascii="Arial" w:cs="Arial" w:eastAsia="Arial" w:hAnsi="Arial"/>
          <w:sz w:val="20"/>
          <w:szCs w:val="20"/>
          <w:color w:val="231F20"/>
        </w:rPr>
      </w:pPr>
      <w:r>
        <w:rPr>
          <w:rFonts w:ascii="Times New Roman" w:cs="Times New Roman" w:eastAsia="Times New Roman" w:hAnsi="Times New Roman"/>
          <w:sz w:val="20"/>
          <w:szCs w:val="20"/>
          <w:color w:val="231F20"/>
        </w:rPr>
        <w:t>Operating expenses (excluding direct costs and expenses) of $25.8 million and $99.7 million for the fourth quarter and fiscal 2025, an increase of 14% and 10% over the respective prior year comparable periods. Sales, marketing, and general administrative investment increased 14% in Q4 to support the 41% revenue growth delivered in the quarter. The Company expects continued operating leverage as our expanded sales team advances along the productivity curve and converts growing experience into sustained performance;</w:t>
      </w:r>
    </w:p>
    <w:p>
      <w:pPr>
        <w:spacing w:after="0" w:line="92" w:lineRule="exact"/>
        <w:rPr>
          <w:sz w:val="20"/>
          <w:szCs w:val="20"/>
          <w:color w:val="auto"/>
        </w:rPr>
      </w:pPr>
    </w:p>
    <w:p>
      <w:pPr>
        <w:ind w:left="1460" w:hanging="481"/>
        <w:spacing w:after="0" w:line="274" w:lineRule="auto"/>
        <w:tabs>
          <w:tab w:leader="none" w:pos="1460" w:val="left"/>
        </w:tabs>
        <w:numPr>
          <w:ilvl w:val="1"/>
          <w:numId w:val="4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Includes non-cash stock compensation expense of $1.1 million and $4.1 million during the fourth quarter and fiscal 2025, a decrease of 15% and 38% over the respective prior year comparable periods;</w:t>
      </w:r>
    </w:p>
    <w:p>
      <w:pPr>
        <w:spacing w:after="0" w:line="66" w:lineRule="exact"/>
        <w:rPr>
          <w:rFonts w:ascii="Arial" w:cs="Arial" w:eastAsia="Arial" w:hAnsi="Arial"/>
          <w:sz w:val="20"/>
          <w:szCs w:val="20"/>
          <w:color w:val="231F20"/>
        </w:rPr>
      </w:pPr>
    </w:p>
    <w:p>
      <w:pPr>
        <w:ind w:left="600" w:hanging="341"/>
        <w:spacing w:after="0" w:line="276" w:lineRule="auto"/>
        <w:tabs>
          <w:tab w:leader="none" w:pos="6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Net loss of $4.0 million and $35.3 million for the fourth quarter and fiscal 2025, an improvement of 52% and 18% over the respective prior year comparable periods;</w:t>
      </w:r>
    </w:p>
    <w:p>
      <w:pPr>
        <w:spacing w:after="0" w:line="64" w:lineRule="exact"/>
        <w:rPr>
          <w:rFonts w:ascii="Arial" w:cs="Arial" w:eastAsia="Arial" w:hAnsi="Arial"/>
          <w:sz w:val="20"/>
          <w:szCs w:val="20"/>
          <w:color w:val="231F20"/>
        </w:rPr>
      </w:pPr>
    </w:p>
    <w:p>
      <w:pPr>
        <w:ind w:left="600" w:hanging="341"/>
        <w:spacing w:after="0"/>
        <w:tabs>
          <w:tab w:leader="none" w:pos="600" w:val="left"/>
        </w:tabs>
        <w:numPr>
          <w:ilvl w:val="0"/>
          <w:numId w:val="45"/>
        </w:numPr>
        <w:rPr>
          <w:rFonts w:ascii="Arial" w:cs="Arial" w:eastAsia="Arial" w:hAnsi="Arial"/>
          <w:sz w:val="20"/>
          <w:szCs w:val="20"/>
          <w:color w:val="231F20"/>
        </w:rPr>
      </w:pPr>
      <w:r>
        <w:rPr>
          <w:rFonts w:ascii="Times New Roman" w:cs="Times New Roman" w:eastAsia="Times New Roman" w:hAnsi="Times New Roman"/>
          <w:sz w:val="20"/>
          <w:szCs w:val="20"/>
          <w:color w:val="231F20"/>
        </w:rPr>
        <w:t>Pro forma cash and cash equivalents of $33.7 million (including subsequent ATM proceeds);</w:t>
      </w:r>
    </w:p>
    <w:p>
      <w:pPr>
        <w:spacing w:after="0" w:line="135" w:lineRule="exact"/>
        <w:rPr>
          <w:rFonts w:ascii="Arial" w:cs="Arial" w:eastAsia="Arial" w:hAnsi="Arial"/>
          <w:sz w:val="20"/>
          <w:szCs w:val="20"/>
          <w:color w:val="231F20"/>
        </w:rPr>
      </w:pPr>
    </w:p>
    <w:p>
      <w:pPr>
        <w:jc w:val="both"/>
        <w:ind w:left="1460" w:hanging="481"/>
        <w:spacing w:after="0" w:line="257" w:lineRule="auto"/>
        <w:tabs>
          <w:tab w:leader="none" w:pos="1460" w:val="left"/>
        </w:tabs>
        <w:numPr>
          <w:ilvl w:val="1"/>
          <w:numId w:val="4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Cash and cash equivalents of $19.0 million as of December 31, 2025 was inclusive of $2.3 million in at-the-market proceeds, and subsequent to the end of the quarter, the Company raised and additional $14.7 million to support continued growth investment;</w:t>
      </w:r>
    </w:p>
    <w:p>
      <w:pPr>
        <w:spacing w:after="0" w:line="84" w:lineRule="exact"/>
        <w:rPr>
          <w:rFonts w:ascii="Arial" w:cs="Arial" w:eastAsia="Arial" w:hAnsi="Arial"/>
          <w:sz w:val="20"/>
          <w:szCs w:val="20"/>
          <w:color w:val="231F20"/>
        </w:rPr>
      </w:pPr>
    </w:p>
    <w:p>
      <w:pPr>
        <w:jc w:val="both"/>
        <w:ind w:left="1460" w:hanging="481"/>
        <w:spacing w:after="0" w:line="257" w:lineRule="auto"/>
        <w:tabs>
          <w:tab w:leader="none" w:pos="1460" w:val="left"/>
        </w:tabs>
        <w:numPr>
          <w:ilvl w:val="1"/>
          <w:numId w:val="45"/>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Subsequent to the end of the quarter, the Company amended the Senior Secured Term Loan with Perceptive Advisors to extend the maturity date and interest only period to November 2028. The extension and additional cash strengthens the balance sheet and provides increased financial flexibility.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Components of Operating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Diagnostic Tests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Diagnostic Tests revenue is generated from delivery of results from our diagnostic tests. In the United States, we performed tests as both an in-network and out-of-network service provider depending on the test performed and the contracted status of the insurer. We consider diagnostic testing to be completed upon the delivery of test results to our customer, either the prescribing physician or healthcare provider or third-party to which we contracted for services to be performed, which is considered the performance obligation. The fees for such services are billed either to a third party such as Medicare, medical facilities, commercial insurance</w:t>
      </w:r>
    </w:p>
    <w:p>
      <w:pPr>
        <w:sectPr>
          <w:pgSz w:w="11880" w:h="15480" w:orient="portrait"/>
          <w:cols w:equalWidth="0" w:num="1">
            <w:col w:w="10800"/>
          </w:cols>
          <w:pgMar w:left="540" w:top="750" w:right="540" w:bottom="0" w:gutter="0" w:footer="0" w:header="0"/>
        </w:sect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71</w:t>
      </w:r>
    </w:p>
    <w:p>
      <w:pPr>
        <w:sectPr>
          <w:pgSz w:w="11880" w:h="15480" w:orient="portrait"/>
          <w:cols w:equalWidth="0" w:num="1">
            <w:col w:w="10800"/>
          </w:cols>
          <w:pgMar w:left="540" w:top="750" w:right="540" w:bottom="0" w:gutter="0" w:footer="0" w:header="0"/>
          <w:type w:val="continuous"/>
        </w:sectPr>
      </w:pPr>
    </w:p>
    <w:bookmarkStart w:id="73" w:name="page74"/>
    <w:bookmarkEnd w:id="73"/>
    <w:p>
      <w:pPr>
        <w:jc w:val="both"/>
        <w:spacing w:after="0" w:line="277" w:lineRule="auto"/>
        <w:rPr>
          <w:sz w:val="20"/>
          <w:szCs w:val="20"/>
          <w:color w:val="auto"/>
        </w:rPr>
      </w:pPr>
      <w:r>
        <w:rPr>
          <w:rFonts w:ascii="Times New Roman" w:cs="Times New Roman" w:eastAsia="Times New Roman" w:hAnsi="Times New Roman"/>
          <w:sz w:val="20"/>
          <w:szCs w:val="20"/>
          <w:color w:val="231F20"/>
        </w:rPr>
        <w:t>payers, or to the patient. We determine the transaction price related to our contracts by considering the nature of the payer, test type, the historical amount of time until payment by a payer and historical price concessions granted to groups of customers.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Development Services</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Development Services revenue is generated from the delivery of our on- market tests, pipeline tests, custom diagnostic testing, and other scientific services from contracts and business agreements with other diagnostic and life sciences tool customers for a purpose as defined by the individual customer. The performance obligations and related revenue for these sales is defined by a written agreement between us and our customer. These services are generally completed upon the delivery of testing results, or other contractually defined milestone(s), to the customer, which is considered the performance obligation. Customers for these services are typically mid-size to large pharmaceutical companies where collectability is reasonably assured and therefore revenue is accrued upon completion of the performance obligations. Revenue derived from services is often unpredictable and can cause significant swings in our overall net revenue line from quarter to quarter.</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Direct costs and expenses</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Cost of diagnostic testing generally consists of cost of materials, direct labor, including bonuses, employee benefits, share-based compensation, equipment and infrastructure expenses associated with acquiring and processing test samples, including sample accessioning, test performance, quality control analyses, charges to collect and transport samples; curation of test results for physicians; and in some cases, license or royalty fees due to third parties. Costs associated with performing our tests are recorded as the tests are processed regardless of whether revenue was recognized with respect to the tests. Infrastructure expenses include allocated depreciation of laboratory equipment, rent costs, amortization of leasehold improvements and information technology costs. 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While we do not believe the technologies underlying these licenses are necessary to permit us to provide our tests, we do believe these technologies are potentially valuable and of possible strategic importance to us or our competitors. Under these license agreements, we are obligated to pay aggregate royalties ranging from 1% to 8% of sales in which the patents or know-how are used in the product or service sold, sometimes subject to minimum annual royalties or fees in certain agreements.</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We expect the aggregate cost of diagnostic testing to increase in line with the increase in the number of tests we perform, but the cost per test to decrease modestly over time due to the efficiencies we may gain as test volume increases, and from automation and other cost reductions. Cost of services includes costs incurred for the performance of development services requested by our customers. Costs of development services will vary depending on the nature, timing and scope of customer projects.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1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Research and development expenses consist of costs incurred to develop technology and include salaries, share-based compensation and benefits, reagents and supplies used in research and development laboratory work, clinical trials infrastructure expenses, including allocated facility occupancy and information technology costs, contract services, quality and regulatory support, other outside costs and costs to develop our technology capabilities. Research and development expenses account for a significant portion of our operating expenses and consist primarily of external and internal costs incurred in connection with the discovery and development of our product candidates.</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External expenses include: (i) payments to third parties in connection with the clinical development of our product candidates, including contract research organizations and consultants; (ii) the cost of manufacturing products for use in our preclinical studies and clinical trials, including payments to contract manufacturing organizations (CMOs) and consultants; (iii) scientific development services, consulting research fees and for sponsored research arrangements with third parties; (iv) laboratory supplies; and (v) allocated facilities, depreciation and other expenses, which include direct or allocated expenses for IT, rent and maintenance of facilities. External expenses are recognized based on an evaluation of the progress to completion of specific tasks using information provided to us by our service providers or our estimate of the level of service that has been performed at each reporting date. We track external costs by the stage of program, clinical or preclinical.</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Internal expenses include employee-related costs, including salaries, share-based compensation and related benefits for employees engaged in research and development functions. We do not track internal costs by product candidate because these costs are deployed across multiple programs and, as such, are not separately classified.</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Research and development costs are expensed as incurred. Payments made prior to the receipt of goods or services to be used in research and development are deferred and recognized as expense in the period in which the related goods are received or services are rendered. Costs to develop our technology capabilities are recorded as research and development.</w:t>
      </w:r>
    </w:p>
    <w:p>
      <w:pPr>
        <w:spacing w:after="0" w:line="6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We expect our research and development expenses to increase as we continue to innovate and develop additional products and expand our data management resources. As our services revenue grows, an increasing portion of research and development dollars are</w:t>
      </w:r>
    </w:p>
    <w:p>
      <w:pPr>
        <w:sectPr>
          <w:pgSz w:w="11880" w:h="15480" w:orient="portrait"/>
          <w:cols w:equalWidth="0" w:num="1">
            <w:col w:w="10800"/>
          </w:cols>
          <w:pgMar w:left="540" w:top="750" w:right="540" w:bottom="0" w:gutter="0" w:footer="0" w:header="0"/>
        </w:sect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72</w:t>
      </w:r>
    </w:p>
    <w:p>
      <w:pPr>
        <w:sectPr>
          <w:pgSz w:w="11880" w:h="15480" w:orient="portrait"/>
          <w:cols w:equalWidth="0" w:num="1">
            <w:col w:w="10800"/>
          </w:cols>
          <w:pgMar w:left="540" w:top="750" w:right="540" w:bottom="0" w:gutter="0" w:footer="0" w:header="0"/>
          <w:type w:val="continuous"/>
        </w:sectPr>
      </w:pPr>
    </w:p>
    <w:bookmarkStart w:id="74" w:name="page75"/>
    <w:bookmarkEnd w:id="74"/>
    <w:p>
      <w:pPr>
        <w:jc w:val="both"/>
        <w:spacing w:after="0" w:line="258" w:lineRule="auto"/>
        <w:rPr>
          <w:sz w:val="20"/>
          <w:szCs w:val="20"/>
          <w:color w:val="auto"/>
        </w:rPr>
      </w:pPr>
      <w:r>
        <w:rPr>
          <w:rFonts w:ascii="Times New Roman" w:cs="Times New Roman" w:eastAsia="Times New Roman" w:hAnsi="Times New Roman"/>
          <w:sz w:val="20"/>
          <w:szCs w:val="20"/>
          <w:color w:val="231F20"/>
        </w:rPr>
        <w:t>expected to be allocated to cost of services for biopharmaceutical service contracts. This expense, though expected to increase in dollars, is expected to decrease as a percentage of revenue in the long term, though it may fluctuate as a percentage of our revenues from period to period due to the timing and extent of these expenses.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Sales, marketing, general and administrative</w:t>
      </w:r>
    </w:p>
    <w:p>
      <w:pPr>
        <w:spacing w:after="0" w:line="1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Our sales and marketing expenses are expensed as incurred and include costs associated with our sales organization, including our direct sales force and sales management, client services, marketing, public relations, communications and reimbursement, as well as business development personnel who are focused on projects with our biopharmaceutical customers. These expenses consist primarily of salaries, commissions, bonuses, employee benefits, share-based compensation, and travel, as well as marketing and educational activities, and allocated overhead expenses. We expect our sales and marketing expenses to increase in dollars as we expand our sales force, increase our presence within the United States, and increase our marketing activities to drive further awareness and adoption of our tests and our future products and services. These expenses, though expected to increase in dollars, are expected to decrease as a percentage of revenue in the long term, though they may fluctuate as a percentage of our revenues from period to period due to the timing and nature of these expenses.</w:t>
      </w:r>
    </w:p>
    <w:p>
      <w:pPr>
        <w:spacing w:after="0" w:line="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Our general and administrative expenses include costs for our executive, accounting, finance, legal and human resources functions. These expenses consist principally of salaries, bonuses, employee benefits, share-based compensation, and travel, as well as professional services fees such as consulting, audit, tax and legal fees, and general corporate costs and allocated overhead expenses. We expect that our general and administrative expenses will continue to increase in dollars, primarily due to increased headcount and costs associated with operating as a public company, including expenses related to legal, accounting, regulatory, maintaining compliance with exchange listing and requirements of the SEC, director and officer insurance premiums and investor relations. These expenses, though expected to increase in dollars, are expected to decrease as a percentage of revenue in the long term, though they may fluctuate as a percentage from period to period due to the timing and extent of these expenses.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Non-Operating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Expense and Interest Income</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For the year ended December 31, 2025, interest expense primarily consists of cash and non-cash interest from the Perceptive Term Loan Facility. For the year ended December 31, 2024, interest expense consists of cash and non-cash interest from the Perceptive Term Loan Facility, contingent consideration, and changes in the fair value of our contingent consideration associated with the passage of time subsequent to the achievement of the gross margin target in the second quarter 2021. Interest income, which is included in ‘Other income, net’ in the statements of operations consists of income earned on our cash and cash equivalents.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Results of Operations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following table sets forth the significant components of our results of operations for the periods presented (in thousands, except percentages):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6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gridSpan w:val="6"/>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w w:val="98"/>
              </w:rPr>
              <w:t>Year Ended December 31,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20" w:type="dxa"/>
            <w:vAlign w:val="bottom"/>
            <w:gridSpan w:val="3"/>
          </w:tcPr>
          <w:p>
            <w:pPr>
              <w:ind w:left="540"/>
              <w:spacing w:after="0"/>
              <w:rPr>
                <w:sz w:val="20"/>
                <w:szCs w:val="20"/>
                <w:color w:val="auto"/>
              </w:rPr>
            </w:pPr>
            <w:r>
              <w:rPr>
                <w:rFonts w:ascii="Times New Roman" w:cs="Times New Roman" w:eastAsia="Times New Roman" w:hAnsi="Times New Roman"/>
                <w:sz w:val="20"/>
                <w:szCs w:val="20"/>
                <w:b w:val="1"/>
                <w:bCs w:val="1"/>
                <w:color w:val="231F20"/>
              </w:rPr>
              <w:t>Change</w:t>
            </w: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4620" w:type="dxa"/>
            <w:vAlign w:val="bottom"/>
            <w:tcBorders>
              <w:bottom w:val="single" w:sz="8" w:color="E3E4E5"/>
            </w:tcBorders>
          </w:tcPr>
          <w:p>
            <w:pPr>
              <w:spacing w:after="0"/>
              <w:rPr>
                <w:sz w:val="19"/>
                <w:szCs w:val="19"/>
                <w:color w:val="auto"/>
              </w:rPr>
            </w:pPr>
          </w:p>
        </w:tc>
        <w:tc>
          <w:tcPr>
            <w:tcW w:w="860" w:type="dxa"/>
            <w:vAlign w:val="bottom"/>
            <w:tcBorders>
              <w:bottom w:val="single" w:sz="8" w:color="E3E4E5"/>
            </w:tcBorders>
          </w:tcPr>
          <w:p>
            <w:pPr>
              <w:spacing w:after="0"/>
              <w:rPr>
                <w:sz w:val="19"/>
                <w:szCs w:val="19"/>
                <w:color w:val="auto"/>
              </w:rPr>
            </w:pPr>
          </w:p>
        </w:tc>
        <w:tc>
          <w:tcPr>
            <w:tcW w:w="120" w:type="dxa"/>
            <w:vAlign w:val="bottom"/>
            <w:tcBorders>
              <w:top w:val="single" w:sz="8" w:color="231F20"/>
              <w:bottom w:val="single" w:sz="8" w:color="231F20"/>
            </w:tcBorders>
          </w:tcPr>
          <w:p>
            <w:pPr>
              <w:spacing w:after="0"/>
              <w:rPr>
                <w:sz w:val="19"/>
                <w:szCs w:val="19"/>
                <w:color w:val="auto"/>
              </w:rPr>
            </w:pPr>
          </w:p>
        </w:tc>
        <w:tc>
          <w:tcPr>
            <w:tcW w:w="1000" w:type="dxa"/>
            <w:vAlign w:val="bottom"/>
            <w:tcBorders>
              <w:top w:val="single" w:sz="8" w:color="231F20"/>
              <w:bottom w:val="single" w:sz="8" w:color="231F20"/>
            </w:tcBorders>
          </w:tcPr>
          <w:p>
            <w:pPr>
              <w:jc w:val="right"/>
              <w:ind w:right="260"/>
              <w:spacing w:after="0" w:line="225" w:lineRule="exact"/>
              <w:rPr>
                <w:sz w:val="20"/>
                <w:szCs w:val="20"/>
                <w:color w:val="auto"/>
              </w:rPr>
            </w:pPr>
            <w:r>
              <w:rPr>
                <w:rFonts w:ascii="Times New Roman" w:cs="Times New Roman" w:eastAsia="Times New Roman" w:hAnsi="Times New Roman"/>
                <w:sz w:val="20"/>
                <w:szCs w:val="20"/>
                <w:b w:val="1"/>
                <w:bCs w:val="1"/>
                <w:color w:val="231F20"/>
              </w:rPr>
              <w:t>2025</w:t>
            </w:r>
          </w:p>
        </w:tc>
        <w:tc>
          <w:tcPr>
            <w:tcW w:w="160" w:type="dxa"/>
            <w:vAlign w:val="bottom"/>
            <w:tcBorders>
              <w:top w:val="single" w:sz="8" w:color="231F20"/>
              <w:bottom w:val="single" w:sz="8" w:color="E3E4E5"/>
            </w:tcBorders>
          </w:tcPr>
          <w:p>
            <w:pPr>
              <w:spacing w:after="0"/>
              <w:rPr>
                <w:sz w:val="19"/>
                <w:szCs w:val="19"/>
                <w:color w:val="auto"/>
              </w:rPr>
            </w:pPr>
          </w:p>
        </w:tc>
        <w:tc>
          <w:tcPr>
            <w:tcW w:w="80" w:type="dxa"/>
            <w:vAlign w:val="bottom"/>
            <w:tcBorders>
              <w:top w:val="single" w:sz="8" w:color="231F20"/>
              <w:bottom w:val="single" w:sz="8" w:color="E3E4E5"/>
            </w:tcBorders>
          </w:tcPr>
          <w:p>
            <w:pPr>
              <w:spacing w:after="0"/>
              <w:rPr>
                <w:sz w:val="19"/>
                <w:szCs w:val="19"/>
                <w:color w:val="auto"/>
              </w:rPr>
            </w:pPr>
          </w:p>
        </w:tc>
        <w:tc>
          <w:tcPr>
            <w:tcW w:w="220" w:type="dxa"/>
            <w:vAlign w:val="bottom"/>
            <w:tcBorders>
              <w:top w:val="single" w:sz="8" w:color="231F20"/>
              <w:bottom w:val="single" w:sz="8" w:color="231F20"/>
            </w:tcBorders>
          </w:tcPr>
          <w:p>
            <w:pPr>
              <w:spacing w:after="0"/>
              <w:rPr>
                <w:sz w:val="19"/>
                <w:szCs w:val="19"/>
                <w:color w:val="auto"/>
              </w:rPr>
            </w:pPr>
          </w:p>
        </w:tc>
        <w:tc>
          <w:tcPr>
            <w:tcW w:w="900" w:type="dxa"/>
            <w:vAlign w:val="bottom"/>
            <w:tcBorders>
              <w:top w:val="single" w:sz="8" w:color="231F20"/>
              <w:bottom w:val="single" w:sz="8" w:color="231F20"/>
            </w:tcBorders>
          </w:tcPr>
          <w:p>
            <w:pPr>
              <w:jc w:val="right"/>
              <w:ind w:right="260"/>
              <w:spacing w:after="0" w:line="225" w:lineRule="exact"/>
              <w:rPr>
                <w:sz w:val="20"/>
                <w:szCs w:val="20"/>
                <w:color w:val="auto"/>
              </w:rPr>
            </w:pPr>
            <w:r>
              <w:rPr>
                <w:rFonts w:ascii="Times New Roman" w:cs="Times New Roman" w:eastAsia="Times New Roman" w:hAnsi="Times New Roman"/>
                <w:sz w:val="20"/>
                <w:szCs w:val="20"/>
                <w:b w:val="1"/>
                <w:bCs w:val="1"/>
                <w:color w:val="231F20"/>
              </w:rPr>
              <w:t>2024</w:t>
            </w:r>
          </w:p>
        </w:tc>
        <w:tc>
          <w:tcPr>
            <w:tcW w:w="140" w:type="dxa"/>
            <w:vAlign w:val="bottom"/>
            <w:tcBorders>
              <w:bottom w:val="single" w:sz="8" w:color="E3E4E5"/>
            </w:tcBorders>
          </w:tcPr>
          <w:p>
            <w:pPr>
              <w:spacing w:after="0"/>
              <w:rPr>
                <w:sz w:val="19"/>
                <w:szCs w:val="19"/>
                <w:color w:val="auto"/>
              </w:rPr>
            </w:pPr>
          </w:p>
        </w:tc>
        <w:tc>
          <w:tcPr>
            <w:tcW w:w="80" w:type="dxa"/>
            <w:vAlign w:val="bottom"/>
            <w:tcBorders>
              <w:bottom w:val="single" w:sz="8" w:color="E3E4E5"/>
            </w:tcBorders>
          </w:tcPr>
          <w:p>
            <w:pPr>
              <w:spacing w:after="0"/>
              <w:rPr>
                <w:sz w:val="19"/>
                <w:szCs w:val="19"/>
                <w:color w:val="auto"/>
              </w:rPr>
            </w:pPr>
          </w:p>
        </w:tc>
        <w:tc>
          <w:tcPr>
            <w:tcW w:w="300" w:type="dxa"/>
            <w:vAlign w:val="bottom"/>
            <w:tcBorders>
              <w:top w:val="single" w:sz="8" w:color="231F20"/>
              <w:bottom w:val="single" w:sz="8" w:color="231F20"/>
            </w:tcBorders>
          </w:tcPr>
          <w:p>
            <w:pPr>
              <w:spacing w:after="0"/>
              <w:rPr>
                <w:sz w:val="19"/>
                <w:szCs w:val="19"/>
                <w:color w:val="auto"/>
              </w:rPr>
            </w:pPr>
          </w:p>
        </w:tc>
        <w:tc>
          <w:tcPr>
            <w:tcW w:w="820" w:type="dxa"/>
            <w:vAlign w:val="bottom"/>
            <w:tcBorders>
              <w:top w:val="single" w:sz="8" w:color="231F20"/>
              <w:bottom w:val="single" w:sz="8" w:color="231F20"/>
            </w:tcBorders>
          </w:tcPr>
          <w:p>
            <w:pPr>
              <w:jc w:val="right"/>
              <w:ind w:right="400"/>
              <w:spacing w:after="0" w:line="225" w:lineRule="exact"/>
              <w:rPr>
                <w:sz w:val="20"/>
                <w:szCs w:val="20"/>
                <w:color w:val="auto"/>
              </w:rPr>
            </w:pPr>
            <w:r>
              <w:rPr>
                <w:rFonts w:ascii="Times New Roman" w:cs="Times New Roman" w:eastAsia="Times New Roman" w:hAnsi="Times New Roman"/>
                <w:sz w:val="20"/>
                <w:szCs w:val="20"/>
                <w:b w:val="1"/>
                <w:bCs w:val="1"/>
                <w:color w:val="231F20"/>
              </w:rPr>
              <w:t>$</w:t>
            </w:r>
          </w:p>
        </w:tc>
        <w:tc>
          <w:tcPr>
            <w:tcW w:w="240" w:type="dxa"/>
            <w:vAlign w:val="bottom"/>
            <w:tcBorders>
              <w:top w:val="single" w:sz="8" w:color="231F20"/>
              <w:bottom w:val="single" w:sz="8" w:color="E3E4E5"/>
            </w:tcBorders>
          </w:tcPr>
          <w:p>
            <w:pPr>
              <w:spacing w:after="0"/>
              <w:rPr>
                <w:sz w:val="19"/>
                <w:szCs w:val="19"/>
                <w:color w:val="auto"/>
              </w:rPr>
            </w:pPr>
          </w:p>
        </w:tc>
        <w:tc>
          <w:tcPr>
            <w:tcW w:w="260" w:type="dxa"/>
            <w:vAlign w:val="bottom"/>
            <w:tcBorders>
              <w:top w:val="single" w:sz="8" w:color="231F20"/>
              <w:bottom w:val="single" w:sz="8" w:color="231F20"/>
            </w:tcBorders>
          </w:tcPr>
          <w:p>
            <w:pPr>
              <w:spacing w:after="0"/>
              <w:rPr>
                <w:sz w:val="19"/>
                <w:szCs w:val="19"/>
                <w:color w:val="auto"/>
              </w:rPr>
            </w:pPr>
          </w:p>
        </w:tc>
        <w:tc>
          <w:tcPr>
            <w:tcW w:w="700" w:type="dxa"/>
            <w:vAlign w:val="bottom"/>
            <w:tcBorders>
              <w:top w:val="single" w:sz="8" w:color="231F20"/>
              <w:bottom w:val="single" w:sz="8" w:color="231F20"/>
            </w:tcBorders>
          </w:tcPr>
          <w:p>
            <w:pPr>
              <w:jc w:val="right"/>
              <w:ind w:right="280"/>
              <w:spacing w:after="0" w:line="225" w:lineRule="exact"/>
              <w:rPr>
                <w:sz w:val="20"/>
                <w:szCs w:val="20"/>
                <w:color w:val="auto"/>
              </w:rPr>
            </w:pPr>
            <w:r>
              <w:rPr>
                <w:rFonts w:ascii="Times New Roman" w:cs="Times New Roman" w:eastAsia="Times New Roman" w:hAnsi="Times New Roman"/>
                <w:sz w:val="20"/>
                <w:szCs w:val="20"/>
                <w:b w:val="1"/>
                <w:bCs w:val="1"/>
                <w:color w:val="231F20"/>
              </w:rPr>
              <w:t>%</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20" w:type="dxa"/>
            <w:vAlign w:val="bottom"/>
            <w:shd w:val="clear" w:color="auto" w:fill="E3E4E5"/>
          </w:tcPr>
          <w:p>
            <w:pPr>
              <w:spacing w:after="0" w:line="225" w:lineRule="exact"/>
              <w:rPr>
                <w:sz w:val="20"/>
                <w:szCs w:val="20"/>
                <w:color w:val="auto"/>
              </w:rPr>
            </w:pPr>
            <w:r>
              <w:rPr>
                <w:rFonts w:ascii="Times New Roman" w:cs="Times New Roman" w:eastAsia="Times New Roman" w:hAnsi="Times New Roman"/>
                <w:sz w:val="20"/>
                <w:szCs w:val="20"/>
                <w:color w:val="414142"/>
              </w:rPr>
              <w:t>Revenues</w:t>
            </w:r>
          </w:p>
        </w:tc>
        <w:tc>
          <w:tcPr>
            <w:tcW w:w="860" w:type="dxa"/>
            <w:vAlign w:val="bottom"/>
            <w:shd w:val="clear" w:color="auto" w:fill="E3E4E5"/>
          </w:tcPr>
          <w:p>
            <w:pPr>
              <w:spacing w:after="0"/>
              <w:rPr>
                <w:sz w:val="19"/>
                <w:szCs w:val="19"/>
                <w:color w:val="auto"/>
              </w:rPr>
            </w:pPr>
          </w:p>
        </w:tc>
        <w:tc>
          <w:tcPr>
            <w:tcW w:w="12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88,499</w:t>
            </w:r>
          </w:p>
        </w:tc>
        <w:tc>
          <w:tcPr>
            <w:tcW w:w="16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c>
          <w:tcPr>
            <w:tcW w:w="220" w:type="dxa"/>
            <w:vAlign w:val="bottom"/>
            <w:shd w:val="clear" w:color="auto" w:fill="E3E4E5"/>
          </w:tcPr>
          <w:p>
            <w:pPr>
              <w:jc w:val="right"/>
              <w:ind w:right="20"/>
              <w:spacing w:after="0" w:line="225" w:lineRule="exact"/>
              <w:rPr>
                <w:sz w:val="20"/>
                <w:szCs w:val="20"/>
                <w:color w:val="auto"/>
              </w:rPr>
            </w:pPr>
            <w:r>
              <w:rPr>
                <w:rFonts w:ascii="Times New Roman" w:cs="Times New Roman" w:eastAsia="Times New Roman" w:hAnsi="Times New Roman"/>
                <w:sz w:val="20"/>
                <w:szCs w:val="20"/>
                <w:color w:val="414142"/>
                <w:w w:val="79"/>
              </w:rPr>
              <w:t>$</w:t>
            </w:r>
          </w:p>
        </w:tc>
        <w:tc>
          <w:tcPr>
            <w:tcW w:w="90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71,323</w:t>
            </w:r>
          </w:p>
        </w:tc>
        <w:tc>
          <w:tcPr>
            <w:tcW w:w="14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c>
          <w:tcPr>
            <w:tcW w:w="300" w:type="dxa"/>
            <w:vAlign w:val="bottom"/>
            <w:shd w:val="clear" w:color="auto" w:fill="E3E4E5"/>
          </w:tcPr>
          <w:p>
            <w:pPr>
              <w:jc w:val="right"/>
              <w:ind w:right="100"/>
              <w:spacing w:after="0" w:line="225" w:lineRule="exact"/>
              <w:rPr>
                <w:sz w:val="20"/>
                <w:szCs w:val="20"/>
                <w:color w:val="auto"/>
              </w:rPr>
            </w:pPr>
            <w:r>
              <w:rPr>
                <w:rFonts w:ascii="Times New Roman" w:cs="Times New Roman" w:eastAsia="Times New Roman" w:hAnsi="Times New Roman"/>
                <w:sz w:val="20"/>
                <w:szCs w:val="20"/>
                <w:color w:val="414142"/>
                <w:w w:val="79"/>
              </w:rPr>
              <w:t>$</w:t>
            </w:r>
          </w:p>
        </w:tc>
        <w:tc>
          <w:tcPr>
            <w:tcW w:w="82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17,176</w:t>
            </w:r>
          </w:p>
        </w:tc>
        <w:tc>
          <w:tcPr>
            <w:tcW w:w="240" w:type="dxa"/>
            <w:vAlign w:val="bottom"/>
            <w:shd w:val="clear" w:color="auto" w:fill="E3E4E5"/>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414142"/>
              </w:rPr>
              <w:t>24%</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Direct costs and expenses</w:t>
            </w:r>
          </w:p>
        </w:tc>
        <w:tc>
          <w:tcPr>
            <w:tcW w:w="86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16,719</w:t>
            </w:r>
          </w:p>
        </w:tc>
        <w:tc>
          <w:tcPr>
            <w:tcW w:w="16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15,573</w:t>
            </w:r>
          </w:p>
        </w:tc>
        <w:tc>
          <w:tcPr>
            <w:tcW w:w="14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1,146</w:t>
            </w:r>
          </w:p>
        </w:tc>
        <w:tc>
          <w:tcPr>
            <w:tcW w:w="240" w:type="dxa"/>
            <w:vAlign w:val="bottom"/>
            <w:shd w:val="clear" w:color="auto" w:fill="E3E4E5"/>
          </w:tcPr>
          <w:p>
            <w:pPr>
              <w:spacing w:after="0"/>
              <w:rPr>
                <w:sz w:val="20"/>
                <w:szCs w:val="20"/>
                <w:color w:val="auto"/>
              </w:rPr>
            </w:pPr>
          </w:p>
        </w:tc>
        <w:tc>
          <w:tcPr>
            <w:tcW w:w="260" w:type="dxa"/>
            <w:vAlign w:val="bottom"/>
            <w:shd w:val="clear" w:color="auto" w:fill="E3E4E5"/>
          </w:tcPr>
          <w:p>
            <w:pPr>
              <w:spacing w:after="0"/>
              <w:rPr>
                <w:sz w:val="20"/>
                <w:szCs w:val="20"/>
                <w:color w:val="auto"/>
              </w:rPr>
            </w:pPr>
          </w:p>
        </w:tc>
        <w:tc>
          <w:tcPr>
            <w:tcW w:w="100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14142"/>
              </w:rPr>
              <w:t>7%</w:t>
            </w: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12,001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9,559</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231F20"/>
              </w:rPr>
              <w:t>2,442</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26%</w:t>
            </w:r>
          </w:p>
        </w:tc>
        <w:tc>
          <w:tcPr>
            <w:tcW w:w="0" w:type="dxa"/>
            <w:vAlign w:val="bottom"/>
          </w:tcPr>
          <w:p>
            <w:pPr>
              <w:spacing w:after="0"/>
              <w:rPr>
                <w:sz w:val="1"/>
                <w:szCs w:val="1"/>
                <w:color w:val="auto"/>
              </w:rPr>
            </w:pPr>
          </w:p>
        </w:tc>
      </w:tr>
      <w:tr>
        <w:trPr>
          <w:trHeight w:val="230"/>
        </w:trPr>
        <w:tc>
          <w:tcPr>
            <w:tcW w:w="462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Sales, marketing, general and administrative</w:t>
            </w:r>
          </w:p>
        </w:tc>
        <w:tc>
          <w:tcPr>
            <w:tcW w:w="86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16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14142"/>
              </w:rPr>
              <w:t>87,545</w:t>
            </w:r>
          </w:p>
        </w:tc>
        <w:tc>
          <w:tcPr>
            <w:tcW w:w="8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104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14142"/>
              </w:rPr>
              <w:t>80,451</w:t>
            </w: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1060" w:type="dxa"/>
            <w:vAlign w:val="bottom"/>
            <w:gridSpan w:val="2"/>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414142"/>
              </w:rPr>
              <w:t>7,094</w:t>
            </w:r>
          </w:p>
        </w:tc>
        <w:tc>
          <w:tcPr>
            <w:tcW w:w="260" w:type="dxa"/>
            <w:vAlign w:val="bottom"/>
            <w:shd w:val="clear" w:color="auto" w:fill="E3E4E5"/>
          </w:tcPr>
          <w:p>
            <w:pPr>
              <w:spacing w:after="0"/>
              <w:rPr>
                <w:sz w:val="20"/>
                <w:szCs w:val="20"/>
                <w:color w:val="auto"/>
              </w:rPr>
            </w:pPr>
          </w:p>
        </w:tc>
        <w:tc>
          <w:tcPr>
            <w:tcW w:w="100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14142"/>
              </w:rPr>
              <w:t>9%</w:t>
            </w: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Impairment loss on intangible assets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107</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238</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(131)</w:t>
            </w:r>
          </w:p>
        </w:tc>
        <w:tc>
          <w:tcPr>
            <w:tcW w:w="2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(55)%</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E3E4E5"/>
          </w:tcPr>
          <w:p>
            <w:pPr>
              <w:spacing w:after="0"/>
              <w:rPr>
                <w:sz w:val="20"/>
                <w:szCs w:val="20"/>
                <w:color w:val="auto"/>
              </w:rPr>
            </w:pPr>
            <w:r>
              <w:rPr>
                <w:rFonts w:ascii="Times New Roman" w:cs="Times New Roman" w:eastAsia="Times New Roman" w:hAnsi="Times New Roman"/>
                <w:sz w:val="20"/>
                <w:szCs w:val="20"/>
                <w:color w:val="414142"/>
              </w:rPr>
              <w:t>Total operating expenses</w:t>
            </w:r>
          </w:p>
        </w:tc>
        <w:tc>
          <w:tcPr>
            <w:tcW w:w="860" w:type="dxa"/>
            <w:vAlign w:val="bottom"/>
            <w:shd w:val="clear" w:color="auto" w:fill="E3E4E5"/>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60" w:type="dxa"/>
            <w:vAlign w:val="bottom"/>
            <w:shd w:val="clear" w:color="auto" w:fill="E3E4E5"/>
          </w:tcPr>
          <w:p>
            <w:pPr>
              <w:spacing w:after="0" w:line="20" w:lineRule="exact"/>
              <w:rPr>
                <w:sz w:val="1"/>
                <w:szCs w:val="1"/>
                <w:color w:val="auto"/>
              </w:rPr>
            </w:pPr>
          </w:p>
        </w:tc>
        <w:tc>
          <w:tcPr>
            <w:tcW w:w="80" w:type="dxa"/>
            <w:vAlign w:val="bottom"/>
            <w:shd w:val="clear" w:color="auto" w:fill="E3E4E5"/>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140" w:type="dxa"/>
            <w:vAlign w:val="bottom"/>
            <w:vMerge w:val="restart"/>
            <w:shd w:val="clear" w:color="auto" w:fill="E3E4E5"/>
          </w:tcPr>
          <w:p>
            <w:pPr>
              <w:spacing w:after="0" w:line="20" w:lineRule="exact"/>
              <w:rPr>
                <w:sz w:val="1"/>
                <w:szCs w:val="1"/>
                <w:color w:val="auto"/>
              </w:rPr>
            </w:pPr>
          </w:p>
        </w:tc>
        <w:tc>
          <w:tcPr>
            <w:tcW w:w="80" w:type="dxa"/>
            <w:vAlign w:val="bottom"/>
            <w:shd w:val="clear" w:color="auto" w:fill="E3E4E5"/>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40" w:type="dxa"/>
            <w:vAlign w:val="bottom"/>
            <w:shd w:val="clear" w:color="auto" w:fill="E3E4E5"/>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20" w:type="dxa"/>
            <w:vAlign w:val="bottom"/>
            <w:vMerge w:val="continue"/>
            <w:shd w:val="clear" w:color="auto" w:fill="E3E4E5"/>
          </w:tcPr>
          <w:p>
            <w:pPr>
              <w:spacing w:after="0"/>
              <w:rPr>
                <w:sz w:val="19"/>
                <w:szCs w:val="19"/>
                <w:color w:val="auto"/>
              </w:rPr>
            </w:pPr>
          </w:p>
        </w:tc>
        <w:tc>
          <w:tcPr>
            <w:tcW w:w="860" w:type="dxa"/>
            <w:vAlign w:val="bottom"/>
            <w:shd w:val="clear" w:color="auto" w:fill="E3E4E5"/>
          </w:tcPr>
          <w:p>
            <w:pPr>
              <w:spacing w:after="0"/>
              <w:rPr>
                <w:sz w:val="19"/>
                <w:szCs w:val="19"/>
                <w:color w:val="auto"/>
              </w:rPr>
            </w:pPr>
          </w:p>
        </w:tc>
        <w:tc>
          <w:tcPr>
            <w:tcW w:w="120" w:type="dxa"/>
            <w:vAlign w:val="bottom"/>
            <w:shd w:val="clear" w:color="auto" w:fill="E3E4E5"/>
          </w:tcPr>
          <w:p>
            <w:pPr>
              <w:spacing w:after="0"/>
              <w:rPr>
                <w:sz w:val="19"/>
                <w:szCs w:val="19"/>
                <w:color w:val="auto"/>
              </w:rPr>
            </w:pPr>
          </w:p>
        </w:tc>
        <w:tc>
          <w:tcPr>
            <w:tcW w:w="100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116,372</w:t>
            </w:r>
          </w:p>
        </w:tc>
        <w:tc>
          <w:tcPr>
            <w:tcW w:w="16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c>
          <w:tcPr>
            <w:tcW w:w="220" w:type="dxa"/>
            <w:vAlign w:val="bottom"/>
            <w:shd w:val="clear" w:color="auto" w:fill="E3E4E5"/>
          </w:tcPr>
          <w:p>
            <w:pPr>
              <w:spacing w:after="0"/>
              <w:rPr>
                <w:sz w:val="19"/>
                <w:szCs w:val="19"/>
                <w:color w:val="auto"/>
              </w:rPr>
            </w:pPr>
          </w:p>
        </w:tc>
        <w:tc>
          <w:tcPr>
            <w:tcW w:w="90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105,821</w:t>
            </w:r>
          </w:p>
        </w:tc>
        <w:tc>
          <w:tcPr>
            <w:tcW w:w="140" w:type="dxa"/>
            <w:vAlign w:val="bottom"/>
            <w:vMerge w:val="continue"/>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82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10,551</w:t>
            </w:r>
          </w:p>
        </w:tc>
        <w:tc>
          <w:tcPr>
            <w:tcW w:w="240" w:type="dxa"/>
            <w:vAlign w:val="bottom"/>
            <w:shd w:val="clear" w:color="auto" w:fill="E3E4E5"/>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414142"/>
              </w:rPr>
              <w:t>10%</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Loss from operations</w:t>
            </w:r>
          </w:p>
        </w:tc>
        <w:tc>
          <w:tcPr>
            <w:tcW w:w="8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(27,873)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(34,498)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6,625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231F20"/>
              </w:rPr>
              <w:t>19%</w:t>
            </w:r>
          </w:p>
        </w:tc>
        <w:tc>
          <w:tcPr>
            <w:tcW w:w="0" w:type="dxa"/>
            <w:vAlign w:val="bottom"/>
          </w:tcPr>
          <w:p>
            <w:pPr>
              <w:spacing w:after="0"/>
              <w:rPr>
                <w:sz w:val="1"/>
                <w:szCs w:val="1"/>
                <w:color w:val="auto"/>
              </w:rPr>
            </w:pPr>
          </w:p>
        </w:tc>
      </w:tr>
      <w:tr>
        <w:trPr>
          <w:trHeight w:val="225"/>
        </w:trPr>
        <w:tc>
          <w:tcPr>
            <w:tcW w:w="4620" w:type="dxa"/>
            <w:vAlign w:val="bottom"/>
            <w:tcBorders>
              <w:top w:val="single" w:sz="8" w:color="E3E4E5"/>
            </w:tcBorders>
            <w:shd w:val="clear" w:color="auto" w:fill="E3E4E5"/>
          </w:tcPr>
          <w:p>
            <w:pPr>
              <w:spacing w:after="0" w:line="225" w:lineRule="exact"/>
              <w:rPr>
                <w:sz w:val="20"/>
                <w:szCs w:val="20"/>
                <w:color w:val="auto"/>
              </w:rPr>
            </w:pPr>
            <w:r>
              <w:rPr>
                <w:rFonts w:ascii="Times New Roman" w:cs="Times New Roman" w:eastAsia="Times New Roman" w:hAnsi="Times New Roman"/>
                <w:sz w:val="20"/>
                <w:szCs w:val="20"/>
                <w:color w:val="414142"/>
              </w:rPr>
              <w:t>Other (expense) income</w:t>
            </w:r>
          </w:p>
        </w:tc>
        <w:tc>
          <w:tcPr>
            <w:tcW w:w="860" w:type="dxa"/>
            <w:vAlign w:val="bottom"/>
            <w:tcBorders>
              <w:top w:val="single" w:sz="8" w:color="E3E4E5"/>
            </w:tcBorders>
            <w:shd w:val="clear" w:color="auto" w:fill="E3E4E5"/>
          </w:tcPr>
          <w:p>
            <w:pPr>
              <w:spacing w:after="0"/>
              <w:rPr>
                <w:sz w:val="19"/>
                <w:szCs w:val="19"/>
                <w:color w:val="auto"/>
              </w:rPr>
            </w:pPr>
          </w:p>
        </w:tc>
        <w:tc>
          <w:tcPr>
            <w:tcW w:w="120" w:type="dxa"/>
            <w:vAlign w:val="bottom"/>
            <w:tcBorders>
              <w:top w:val="single" w:sz="8" w:color="231F20"/>
            </w:tcBorders>
            <w:shd w:val="clear" w:color="auto" w:fill="E3E4E5"/>
          </w:tcPr>
          <w:p>
            <w:pPr>
              <w:spacing w:after="0"/>
              <w:rPr>
                <w:sz w:val="19"/>
                <w:szCs w:val="19"/>
                <w:color w:val="auto"/>
              </w:rPr>
            </w:pPr>
          </w:p>
        </w:tc>
        <w:tc>
          <w:tcPr>
            <w:tcW w:w="1000" w:type="dxa"/>
            <w:vAlign w:val="bottom"/>
            <w:tcBorders>
              <w:top w:val="single" w:sz="8" w:color="231F20"/>
            </w:tcBorders>
            <w:shd w:val="clear" w:color="auto" w:fill="E3E4E5"/>
          </w:tcPr>
          <w:p>
            <w:pPr>
              <w:spacing w:after="0"/>
              <w:rPr>
                <w:sz w:val="19"/>
                <w:szCs w:val="19"/>
                <w:color w:val="auto"/>
              </w:rPr>
            </w:pPr>
          </w:p>
        </w:tc>
        <w:tc>
          <w:tcPr>
            <w:tcW w:w="160" w:type="dxa"/>
            <w:vAlign w:val="bottom"/>
            <w:tcBorders>
              <w:top w:val="single" w:sz="8" w:color="E3E4E5"/>
            </w:tcBorders>
            <w:shd w:val="clear" w:color="auto" w:fill="E3E4E5"/>
          </w:tcPr>
          <w:p>
            <w:pPr>
              <w:spacing w:after="0"/>
              <w:rPr>
                <w:sz w:val="19"/>
                <w:szCs w:val="19"/>
                <w:color w:val="auto"/>
              </w:rPr>
            </w:pPr>
          </w:p>
        </w:tc>
        <w:tc>
          <w:tcPr>
            <w:tcW w:w="80" w:type="dxa"/>
            <w:vAlign w:val="bottom"/>
            <w:tcBorders>
              <w:top w:val="single" w:sz="8" w:color="E3E4E5"/>
            </w:tcBorders>
            <w:shd w:val="clear" w:color="auto" w:fill="E3E4E5"/>
          </w:tcPr>
          <w:p>
            <w:pPr>
              <w:spacing w:after="0"/>
              <w:rPr>
                <w:sz w:val="19"/>
                <w:szCs w:val="19"/>
                <w:color w:val="auto"/>
              </w:rPr>
            </w:pPr>
          </w:p>
        </w:tc>
        <w:tc>
          <w:tcPr>
            <w:tcW w:w="220" w:type="dxa"/>
            <w:vAlign w:val="bottom"/>
            <w:tcBorders>
              <w:top w:val="single" w:sz="8" w:color="231F20"/>
            </w:tcBorders>
            <w:shd w:val="clear" w:color="auto" w:fill="E3E4E5"/>
          </w:tcPr>
          <w:p>
            <w:pPr>
              <w:spacing w:after="0"/>
              <w:rPr>
                <w:sz w:val="19"/>
                <w:szCs w:val="19"/>
                <w:color w:val="auto"/>
              </w:rPr>
            </w:pPr>
          </w:p>
        </w:tc>
        <w:tc>
          <w:tcPr>
            <w:tcW w:w="900" w:type="dxa"/>
            <w:vAlign w:val="bottom"/>
            <w:tcBorders>
              <w:top w:val="single" w:sz="8" w:color="231F20"/>
            </w:tcBorders>
            <w:shd w:val="clear" w:color="auto" w:fill="E3E4E5"/>
          </w:tcPr>
          <w:p>
            <w:pPr>
              <w:spacing w:after="0"/>
              <w:rPr>
                <w:sz w:val="19"/>
                <w:szCs w:val="19"/>
                <w:color w:val="auto"/>
              </w:rPr>
            </w:pPr>
          </w:p>
        </w:tc>
        <w:tc>
          <w:tcPr>
            <w:tcW w:w="140" w:type="dxa"/>
            <w:vAlign w:val="bottom"/>
            <w:tcBorders>
              <w:top w:val="single" w:sz="8" w:color="E3E4E5"/>
            </w:tcBorders>
            <w:shd w:val="clear" w:color="auto" w:fill="E3E4E5"/>
          </w:tcPr>
          <w:p>
            <w:pPr>
              <w:spacing w:after="0"/>
              <w:rPr>
                <w:sz w:val="19"/>
                <w:szCs w:val="19"/>
                <w:color w:val="auto"/>
              </w:rPr>
            </w:pPr>
          </w:p>
        </w:tc>
        <w:tc>
          <w:tcPr>
            <w:tcW w:w="80" w:type="dxa"/>
            <w:vAlign w:val="bottom"/>
            <w:tcBorders>
              <w:top w:val="single" w:sz="8" w:color="E3E4E5"/>
            </w:tcBorders>
            <w:shd w:val="clear" w:color="auto" w:fill="E3E4E5"/>
          </w:tcPr>
          <w:p>
            <w:pPr>
              <w:spacing w:after="0"/>
              <w:rPr>
                <w:sz w:val="19"/>
                <w:szCs w:val="19"/>
                <w:color w:val="auto"/>
              </w:rPr>
            </w:pPr>
          </w:p>
        </w:tc>
        <w:tc>
          <w:tcPr>
            <w:tcW w:w="300" w:type="dxa"/>
            <w:vAlign w:val="bottom"/>
            <w:tcBorders>
              <w:top w:val="single" w:sz="8" w:color="231F20"/>
            </w:tcBorders>
            <w:shd w:val="clear" w:color="auto" w:fill="E3E4E5"/>
          </w:tcPr>
          <w:p>
            <w:pPr>
              <w:spacing w:after="0"/>
              <w:rPr>
                <w:sz w:val="19"/>
                <w:szCs w:val="19"/>
                <w:color w:val="auto"/>
              </w:rPr>
            </w:pPr>
          </w:p>
        </w:tc>
        <w:tc>
          <w:tcPr>
            <w:tcW w:w="820" w:type="dxa"/>
            <w:vAlign w:val="bottom"/>
            <w:tcBorders>
              <w:top w:val="single" w:sz="8" w:color="231F20"/>
            </w:tcBorders>
            <w:shd w:val="clear" w:color="auto" w:fill="E3E4E5"/>
          </w:tcPr>
          <w:p>
            <w:pPr>
              <w:spacing w:after="0"/>
              <w:rPr>
                <w:sz w:val="19"/>
                <w:szCs w:val="19"/>
                <w:color w:val="auto"/>
              </w:rPr>
            </w:pPr>
          </w:p>
        </w:tc>
        <w:tc>
          <w:tcPr>
            <w:tcW w:w="240" w:type="dxa"/>
            <w:vAlign w:val="bottom"/>
            <w:tcBorders>
              <w:top w:val="single" w:sz="8" w:color="E3E4E5"/>
            </w:tcBorders>
            <w:shd w:val="clear" w:color="auto" w:fill="E3E4E5"/>
          </w:tcPr>
          <w:p>
            <w:pPr>
              <w:spacing w:after="0"/>
              <w:rPr>
                <w:sz w:val="19"/>
                <w:szCs w:val="19"/>
                <w:color w:val="auto"/>
              </w:rPr>
            </w:pPr>
          </w:p>
        </w:tc>
        <w:tc>
          <w:tcPr>
            <w:tcW w:w="260" w:type="dxa"/>
            <w:vAlign w:val="bottom"/>
            <w:tcBorders>
              <w:top w:val="single" w:sz="8" w:color="231F20"/>
            </w:tcBorders>
            <w:shd w:val="clear" w:color="auto" w:fill="E3E4E5"/>
          </w:tcPr>
          <w:p>
            <w:pPr>
              <w:spacing w:after="0"/>
              <w:rPr>
                <w:sz w:val="19"/>
                <w:szCs w:val="19"/>
                <w:color w:val="auto"/>
              </w:rPr>
            </w:pPr>
          </w:p>
        </w:tc>
        <w:tc>
          <w:tcPr>
            <w:tcW w:w="700" w:type="dxa"/>
            <w:vAlign w:val="bottom"/>
            <w:tcBorders>
              <w:top w:val="single" w:sz="8" w:color="231F20"/>
            </w:tcBorders>
            <w:shd w:val="clear" w:color="auto" w:fill="E3E4E5"/>
          </w:tcPr>
          <w:p>
            <w:pPr>
              <w:spacing w:after="0"/>
              <w:rPr>
                <w:sz w:val="19"/>
                <w:szCs w:val="19"/>
                <w:color w:val="auto"/>
              </w:rPr>
            </w:pPr>
          </w:p>
        </w:tc>
        <w:tc>
          <w:tcPr>
            <w:tcW w:w="300" w:type="dxa"/>
            <w:vAlign w:val="bottom"/>
            <w:tcBorders>
              <w:top w:val="single" w:sz="8" w:color="E3E4E5"/>
            </w:tcBorders>
            <w:shd w:val="clear" w:color="auto" w:fill="E3E4E5"/>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(7,716)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(8,258)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542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7%</w:t>
            </w:r>
          </w:p>
        </w:tc>
        <w:tc>
          <w:tcPr>
            <w:tcW w:w="0" w:type="dxa"/>
            <w:vAlign w:val="bottom"/>
          </w:tcPr>
          <w:p>
            <w:pPr>
              <w:spacing w:after="0"/>
              <w:rPr>
                <w:sz w:val="1"/>
                <w:szCs w:val="1"/>
                <w:color w:val="auto"/>
              </w:rPr>
            </w:pPr>
          </w:p>
        </w:tc>
      </w:tr>
      <w:tr>
        <w:trPr>
          <w:trHeight w:val="230"/>
        </w:trPr>
        <w:tc>
          <w:tcPr>
            <w:tcW w:w="462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Loss on extinguishment of liabilities</w:t>
            </w:r>
          </w:p>
        </w:tc>
        <w:tc>
          <w:tcPr>
            <w:tcW w:w="86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00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104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14142"/>
              </w:rPr>
              <w:t>(248)</w:t>
            </w: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248</w:t>
            </w:r>
          </w:p>
        </w:tc>
        <w:tc>
          <w:tcPr>
            <w:tcW w:w="240" w:type="dxa"/>
            <w:vAlign w:val="bottom"/>
            <w:shd w:val="clear" w:color="auto" w:fill="E3E4E5"/>
          </w:tcPr>
          <w:p>
            <w:pPr>
              <w:spacing w:after="0"/>
              <w:rPr>
                <w:sz w:val="20"/>
                <w:szCs w:val="20"/>
                <w:color w:val="auto"/>
              </w:rPr>
            </w:pPr>
          </w:p>
        </w:tc>
        <w:tc>
          <w:tcPr>
            <w:tcW w:w="260" w:type="dxa"/>
            <w:vAlign w:val="bottom"/>
            <w:shd w:val="clear" w:color="auto" w:fill="E3E4E5"/>
          </w:tcPr>
          <w:p>
            <w:pPr>
              <w:spacing w:after="0"/>
              <w:rPr>
                <w:sz w:val="20"/>
                <w:szCs w:val="20"/>
                <w:color w:val="auto"/>
              </w:rPr>
            </w:pPr>
          </w:p>
        </w:tc>
        <w:tc>
          <w:tcPr>
            <w:tcW w:w="100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14142"/>
              </w:rPr>
              <w:t>100%</w:t>
            </w:r>
          </w:p>
        </w:tc>
        <w:tc>
          <w:tcPr>
            <w:tcW w:w="0" w:type="dxa"/>
            <w:vAlign w:val="bottom"/>
          </w:tcPr>
          <w:p>
            <w:pPr>
              <w:spacing w:after="0"/>
              <w:rPr>
                <w:sz w:val="1"/>
                <w:szCs w:val="1"/>
                <w:color w:val="auto"/>
              </w:rPr>
            </w:pPr>
          </w:p>
        </w:tc>
      </w:tr>
      <w:tr>
        <w:trPr>
          <w:trHeight w:val="230"/>
        </w:trPr>
        <w:tc>
          <w:tcPr>
            <w:tcW w:w="46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fair value of warrant liability, net</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231F20"/>
              </w:rPr>
              <w:t>(280)</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(280)</w:t>
            </w:r>
          </w:p>
        </w:tc>
        <w:tc>
          <w:tcPr>
            <w:tcW w:w="26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(100)%</w:t>
            </w:r>
          </w:p>
        </w:tc>
        <w:tc>
          <w:tcPr>
            <w:tcW w:w="0" w:type="dxa"/>
            <w:vAlign w:val="bottom"/>
          </w:tcPr>
          <w:p>
            <w:pPr>
              <w:spacing w:after="0"/>
              <w:rPr>
                <w:sz w:val="1"/>
                <w:szCs w:val="1"/>
                <w:color w:val="auto"/>
              </w:rPr>
            </w:pPr>
          </w:p>
        </w:tc>
      </w:tr>
      <w:tr>
        <w:trPr>
          <w:trHeight w:val="230"/>
        </w:trPr>
        <w:tc>
          <w:tcPr>
            <w:tcW w:w="462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Other income, net</w:t>
            </w:r>
          </w:p>
        </w:tc>
        <w:tc>
          <w:tcPr>
            <w:tcW w:w="860" w:type="dxa"/>
            <w:vAlign w:val="bottom"/>
            <w:shd w:val="clear" w:color="auto" w:fill="E3E4E5"/>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16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14142"/>
              </w:rPr>
              <w:t>604</w:t>
            </w:r>
          </w:p>
        </w:tc>
        <w:tc>
          <w:tcPr>
            <w:tcW w:w="8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104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14142"/>
              </w:rPr>
              <w:t>73</w:t>
            </w:r>
          </w:p>
        </w:tc>
        <w:tc>
          <w:tcPr>
            <w:tcW w:w="8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1060" w:type="dxa"/>
            <w:vAlign w:val="bottom"/>
            <w:gridSpan w:val="2"/>
            <w:shd w:val="clear" w:color="auto" w:fill="E3E4E5"/>
          </w:tcPr>
          <w:p>
            <w:pPr>
              <w:jc w:val="right"/>
              <w:ind w:right="240"/>
              <w:spacing w:after="0"/>
              <w:rPr>
                <w:sz w:val="20"/>
                <w:szCs w:val="20"/>
                <w:color w:val="auto"/>
              </w:rPr>
            </w:pPr>
            <w:r>
              <w:rPr>
                <w:rFonts w:ascii="Times New Roman" w:cs="Times New Roman" w:eastAsia="Times New Roman" w:hAnsi="Times New Roman"/>
                <w:sz w:val="20"/>
                <w:szCs w:val="20"/>
                <w:color w:val="414142"/>
              </w:rPr>
              <w:t>531</w:t>
            </w:r>
          </w:p>
        </w:tc>
        <w:tc>
          <w:tcPr>
            <w:tcW w:w="260" w:type="dxa"/>
            <w:vAlign w:val="bottom"/>
            <w:shd w:val="clear" w:color="auto" w:fill="E3E4E5"/>
          </w:tcPr>
          <w:p>
            <w:pPr>
              <w:spacing w:after="0"/>
              <w:rPr>
                <w:sz w:val="20"/>
                <w:szCs w:val="20"/>
                <w:color w:val="auto"/>
              </w:rPr>
            </w:pPr>
          </w:p>
        </w:tc>
        <w:tc>
          <w:tcPr>
            <w:tcW w:w="1000" w:type="dxa"/>
            <w:vAlign w:val="bottom"/>
            <w:gridSpan w:val="2"/>
            <w:shd w:val="clear" w:color="auto" w:fill="E3E4E5"/>
          </w:tcPr>
          <w:p>
            <w:pPr>
              <w:jc w:val="right"/>
              <w:ind w:right="120"/>
              <w:spacing w:after="0"/>
              <w:rPr>
                <w:sz w:val="20"/>
                <w:szCs w:val="20"/>
                <w:color w:val="auto"/>
              </w:rPr>
            </w:pPr>
            <w:r>
              <w:rPr>
                <w:rFonts w:ascii="Times New Roman" w:cs="Times New Roman" w:eastAsia="Times New Roman" w:hAnsi="Times New Roman"/>
                <w:sz w:val="20"/>
                <w:szCs w:val="20"/>
                <w:color w:val="414142"/>
              </w:rPr>
              <w:t>727%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Total other expense</w:t>
            </w:r>
          </w:p>
        </w:tc>
        <w:tc>
          <w:tcPr>
            <w:tcW w:w="860" w:type="dxa"/>
            <w:vAlign w:val="bottom"/>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(7,392)</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(8,433)</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line="225" w:lineRule="exact"/>
              <w:rPr>
                <w:sz w:val="20"/>
                <w:szCs w:val="20"/>
                <w:color w:val="auto"/>
              </w:rPr>
            </w:pPr>
            <w:r>
              <w:rPr>
                <w:rFonts w:ascii="Times New Roman" w:cs="Times New Roman" w:eastAsia="Times New Roman" w:hAnsi="Times New Roman"/>
                <w:sz w:val="20"/>
                <w:szCs w:val="20"/>
                <w:color w:val="231F20"/>
              </w:rPr>
              <w:t>1,041</w:t>
            </w:r>
          </w:p>
        </w:tc>
        <w:tc>
          <w:tcPr>
            <w:tcW w:w="2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231F20"/>
              </w:rPr>
              <w:t>12%</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E3E4E5"/>
          </w:tcPr>
          <w:p>
            <w:pPr>
              <w:spacing w:after="0"/>
              <w:rPr>
                <w:sz w:val="20"/>
                <w:szCs w:val="20"/>
                <w:color w:val="auto"/>
              </w:rPr>
            </w:pPr>
            <w:r>
              <w:rPr>
                <w:rFonts w:ascii="Times New Roman" w:cs="Times New Roman" w:eastAsia="Times New Roman" w:hAnsi="Times New Roman"/>
                <w:sz w:val="20"/>
                <w:szCs w:val="20"/>
                <w:color w:val="414142"/>
              </w:rPr>
              <w:t>Net loss</w:t>
            </w:r>
          </w:p>
        </w:tc>
        <w:tc>
          <w:tcPr>
            <w:tcW w:w="860" w:type="dxa"/>
            <w:vAlign w:val="bottom"/>
            <w:shd w:val="clear" w:color="auto" w:fill="E3E4E5"/>
          </w:tcPr>
          <w:p>
            <w:pPr>
              <w:spacing w:after="0" w:line="20" w:lineRule="exact"/>
              <w:rPr>
                <w:sz w:val="1"/>
                <w:szCs w:val="1"/>
                <w:color w:val="auto"/>
              </w:rPr>
            </w:pPr>
          </w:p>
        </w:tc>
        <w:tc>
          <w:tcPr>
            <w:tcW w:w="120" w:type="dxa"/>
            <w:vAlign w:val="bottom"/>
            <w:shd w:val="clear" w:color="auto" w:fill="231F20"/>
          </w:tcPr>
          <w:p>
            <w:pPr>
              <w:spacing w:after="0" w:line="20" w:lineRule="exact"/>
              <w:rPr>
                <w:sz w:val="1"/>
                <w:szCs w:val="1"/>
                <w:color w:val="auto"/>
              </w:rPr>
            </w:pPr>
          </w:p>
        </w:tc>
        <w:tc>
          <w:tcPr>
            <w:tcW w:w="1000" w:type="dxa"/>
            <w:vAlign w:val="bottom"/>
            <w:shd w:val="clear" w:color="auto" w:fill="231F20"/>
          </w:tcPr>
          <w:p>
            <w:pPr>
              <w:spacing w:after="0" w:line="20" w:lineRule="exact"/>
              <w:rPr>
                <w:sz w:val="1"/>
                <w:szCs w:val="1"/>
                <w:color w:val="auto"/>
              </w:rPr>
            </w:pPr>
          </w:p>
        </w:tc>
        <w:tc>
          <w:tcPr>
            <w:tcW w:w="160" w:type="dxa"/>
            <w:vAlign w:val="bottom"/>
            <w:vMerge w:val="restart"/>
            <w:shd w:val="clear" w:color="auto" w:fill="E3E4E5"/>
          </w:tcPr>
          <w:p>
            <w:pPr>
              <w:spacing w:after="0" w:line="20" w:lineRule="exact"/>
              <w:rPr>
                <w:sz w:val="1"/>
                <w:szCs w:val="1"/>
                <w:color w:val="auto"/>
              </w:rPr>
            </w:pPr>
          </w:p>
        </w:tc>
        <w:tc>
          <w:tcPr>
            <w:tcW w:w="80" w:type="dxa"/>
            <w:vAlign w:val="bottom"/>
            <w:vMerge w:val="restart"/>
            <w:shd w:val="clear" w:color="auto" w:fill="E3E4E5"/>
          </w:tcPr>
          <w:p>
            <w:pPr>
              <w:spacing w:after="0" w:line="20" w:lineRule="exact"/>
              <w:rPr>
                <w:sz w:val="1"/>
                <w:szCs w:val="1"/>
                <w:color w:val="auto"/>
              </w:rPr>
            </w:pPr>
          </w:p>
        </w:tc>
        <w:tc>
          <w:tcPr>
            <w:tcW w:w="22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140" w:type="dxa"/>
            <w:vAlign w:val="bottom"/>
            <w:vMerge w:val="restart"/>
            <w:shd w:val="clear" w:color="auto" w:fill="E3E4E5"/>
          </w:tcPr>
          <w:p>
            <w:pPr>
              <w:spacing w:after="0" w:line="20" w:lineRule="exact"/>
              <w:rPr>
                <w:sz w:val="1"/>
                <w:szCs w:val="1"/>
                <w:color w:val="auto"/>
              </w:rPr>
            </w:pPr>
          </w:p>
        </w:tc>
        <w:tc>
          <w:tcPr>
            <w:tcW w:w="80" w:type="dxa"/>
            <w:vAlign w:val="bottom"/>
            <w:vMerge w:val="restart"/>
            <w:shd w:val="clear" w:color="auto" w:fill="E3E4E5"/>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40" w:type="dxa"/>
            <w:vAlign w:val="bottom"/>
            <w:shd w:val="clear" w:color="auto" w:fill="E3E4E5"/>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00" w:type="dxa"/>
            <w:vAlign w:val="bottom"/>
            <w:shd w:val="clear" w:color="auto" w:fill="231F2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4620" w:type="dxa"/>
            <w:vAlign w:val="bottom"/>
            <w:vMerge w:val="continue"/>
            <w:shd w:val="clear" w:color="auto" w:fill="E3E4E5"/>
          </w:tcPr>
          <w:p>
            <w:pPr>
              <w:spacing w:after="0"/>
              <w:rPr>
                <w:sz w:val="19"/>
                <w:szCs w:val="19"/>
                <w:color w:val="auto"/>
              </w:rPr>
            </w:pPr>
          </w:p>
        </w:tc>
        <w:tc>
          <w:tcPr>
            <w:tcW w:w="860" w:type="dxa"/>
            <w:vAlign w:val="bottom"/>
            <w:shd w:val="clear" w:color="auto" w:fill="E3E4E5"/>
          </w:tcPr>
          <w:p>
            <w:pPr>
              <w:spacing w:after="0"/>
              <w:rPr>
                <w:sz w:val="19"/>
                <w:szCs w:val="19"/>
                <w:color w:val="auto"/>
              </w:rPr>
            </w:pPr>
          </w:p>
        </w:tc>
        <w:tc>
          <w:tcPr>
            <w:tcW w:w="12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w w:val="79"/>
              </w:rPr>
              <w:t>$</w:t>
            </w:r>
          </w:p>
        </w:tc>
        <w:tc>
          <w:tcPr>
            <w:tcW w:w="100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(35,265)</w:t>
            </w:r>
          </w:p>
        </w:tc>
        <w:tc>
          <w:tcPr>
            <w:tcW w:w="160" w:type="dxa"/>
            <w:vAlign w:val="bottom"/>
            <w:vMerge w:val="continue"/>
            <w:shd w:val="clear" w:color="auto" w:fill="E3E4E5"/>
          </w:tcPr>
          <w:p>
            <w:pPr>
              <w:spacing w:after="0"/>
              <w:rPr>
                <w:sz w:val="19"/>
                <w:szCs w:val="19"/>
                <w:color w:val="auto"/>
              </w:rPr>
            </w:pPr>
          </w:p>
        </w:tc>
        <w:tc>
          <w:tcPr>
            <w:tcW w:w="80" w:type="dxa"/>
            <w:vAlign w:val="bottom"/>
            <w:vMerge w:val="continue"/>
            <w:shd w:val="clear" w:color="auto" w:fill="E3E4E5"/>
          </w:tcPr>
          <w:p>
            <w:pPr>
              <w:spacing w:after="0"/>
              <w:rPr>
                <w:sz w:val="19"/>
                <w:szCs w:val="19"/>
                <w:color w:val="auto"/>
              </w:rPr>
            </w:pPr>
          </w:p>
        </w:tc>
        <w:tc>
          <w:tcPr>
            <w:tcW w:w="220" w:type="dxa"/>
            <w:vAlign w:val="bottom"/>
            <w:shd w:val="clear" w:color="auto" w:fill="E3E4E5"/>
          </w:tcPr>
          <w:p>
            <w:pPr>
              <w:jc w:val="right"/>
              <w:ind w:right="20"/>
              <w:spacing w:after="0" w:line="225" w:lineRule="exact"/>
              <w:rPr>
                <w:sz w:val="20"/>
                <w:szCs w:val="20"/>
                <w:color w:val="auto"/>
              </w:rPr>
            </w:pPr>
            <w:r>
              <w:rPr>
                <w:rFonts w:ascii="Times New Roman" w:cs="Times New Roman" w:eastAsia="Times New Roman" w:hAnsi="Times New Roman"/>
                <w:sz w:val="20"/>
                <w:szCs w:val="20"/>
                <w:color w:val="414142"/>
                <w:w w:val="79"/>
              </w:rPr>
              <w:t>$</w:t>
            </w:r>
          </w:p>
        </w:tc>
        <w:tc>
          <w:tcPr>
            <w:tcW w:w="90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(42,931)</w:t>
            </w:r>
          </w:p>
        </w:tc>
        <w:tc>
          <w:tcPr>
            <w:tcW w:w="140" w:type="dxa"/>
            <w:vAlign w:val="bottom"/>
            <w:vMerge w:val="continue"/>
            <w:shd w:val="clear" w:color="auto" w:fill="E3E4E5"/>
          </w:tcPr>
          <w:p>
            <w:pPr>
              <w:spacing w:after="0"/>
              <w:rPr>
                <w:sz w:val="19"/>
                <w:szCs w:val="19"/>
                <w:color w:val="auto"/>
              </w:rPr>
            </w:pPr>
          </w:p>
        </w:tc>
        <w:tc>
          <w:tcPr>
            <w:tcW w:w="80" w:type="dxa"/>
            <w:vAlign w:val="bottom"/>
            <w:vMerge w:val="continue"/>
            <w:shd w:val="clear" w:color="auto" w:fill="E3E4E5"/>
          </w:tcPr>
          <w:p>
            <w:pPr>
              <w:spacing w:after="0"/>
              <w:rPr>
                <w:sz w:val="19"/>
                <w:szCs w:val="19"/>
                <w:color w:val="auto"/>
              </w:rPr>
            </w:pPr>
          </w:p>
        </w:tc>
        <w:tc>
          <w:tcPr>
            <w:tcW w:w="300" w:type="dxa"/>
            <w:vAlign w:val="bottom"/>
            <w:shd w:val="clear" w:color="auto" w:fill="E3E4E5"/>
          </w:tcPr>
          <w:p>
            <w:pPr>
              <w:jc w:val="right"/>
              <w:ind w:right="100"/>
              <w:spacing w:after="0" w:line="225" w:lineRule="exact"/>
              <w:rPr>
                <w:sz w:val="20"/>
                <w:szCs w:val="20"/>
                <w:color w:val="auto"/>
              </w:rPr>
            </w:pPr>
            <w:r>
              <w:rPr>
                <w:rFonts w:ascii="Times New Roman" w:cs="Times New Roman" w:eastAsia="Times New Roman" w:hAnsi="Times New Roman"/>
                <w:sz w:val="20"/>
                <w:szCs w:val="20"/>
                <w:color w:val="414142"/>
                <w:w w:val="79"/>
              </w:rPr>
              <w:t>$</w:t>
            </w:r>
          </w:p>
        </w:tc>
        <w:tc>
          <w:tcPr>
            <w:tcW w:w="820" w:type="dxa"/>
            <w:vAlign w:val="bottom"/>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7,666</w:t>
            </w:r>
          </w:p>
        </w:tc>
        <w:tc>
          <w:tcPr>
            <w:tcW w:w="240" w:type="dxa"/>
            <w:vAlign w:val="bottom"/>
            <w:shd w:val="clear" w:color="auto" w:fill="E3E4E5"/>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40"/>
              <w:spacing w:after="0" w:line="225" w:lineRule="exact"/>
              <w:rPr>
                <w:sz w:val="20"/>
                <w:szCs w:val="20"/>
                <w:color w:val="auto"/>
              </w:rPr>
            </w:pPr>
            <w:r>
              <w:rPr>
                <w:rFonts w:ascii="Times New Roman" w:cs="Times New Roman" w:eastAsia="Times New Roman" w:hAnsi="Times New Roman"/>
                <w:sz w:val="20"/>
                <w:szCs w:val="20"/>
                <w:color w:val="414142"/>
              </w:rPr>
              <w:t>18%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4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620" w:type="dxa"/>
            <w:vAlign w:val="bottom"/>
            <w:shd w:val="clear" w:color="auto" w:fill="E3E4E5"/>
          </w:tcPr>
          <w:p>
            <w:pPr>
              <w:spacing w:after="0" w:line="268" w:lineRule="exact"/>
              <w:rPr>
                <w:sz w:val="20"/>
                <w:szCs w:val="20"/>
                <w:color w:val="auto"/>
              </w:rPr>
            </w:pPr>
            <w:r>
              <w:rPr>
                <w:rFonts w:ascii="Times New Roman" w:cs="Times New Roman" w:eastAsia="Times New Roman" w:hAnsi="Times New Roman"/>
                <w:sz w:val="20"/>
                <w:szCs w:val="20"/>
                <w:color w:val="414142"/>
              </w:rPr>
              <w:t xml:space="preserve">Share-based compensation </w:t>
            </w:r>
            <w:r>
              <w:rPr>
                <w:rFonts w:ascii="Times New Roman" w:cs="Times New Roman" w:eastAsia="Times New Roman" w:hAnsi="Times New Roman"/>
                <w:sz w:val="26"/>
                <w:szCs w:val="26"/>
                <w:color w:val="414142"/>
                <w:vertAlign w:val="superscript"/>
              </w:rPr>
              <w:t>(1)</w:t>
            </w:r>
          </w:p>
        </w:tc>
        <w:tc>
          <w:tcPr>
            <w:tcW w:w="98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0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4,139</w:t>
            </w:r>
          </w:p>
        </w:tc>
        <w:tc>
          <w:tcPr>
            <w:tcW w:w="160" w:type="dxa"/>
            <w:vAlign w:val="bottom"/>
            <w:shd w:val="clear" w:color="auto" w:fill="E3E4E5"/>
          </w:tcPr>
          <w:p>
            <w:pPr>
              <w:spacing w:after="0"/>
              <w:rPr>
                <w:sz w:val="23"/>
                <w:szCs w:val="23"/>
                <w:color w:val="auto"/>
              </w:rPr>
            </w:pPr>
          </w:p>
        </w:tc>
        <w:tc>
          <w:tcPr>
            <w:tcW w:w="30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040" w:type="dxa"/>
            <w:vAlign w:val="bottom"/>
            <w:gridSpan w:val="2"/>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14142"/>
              </w:rPr>
              <w:t>6,638</w:t>
            </w:r>
          </w:p>
        </w:tc>
        <w:tc>
          <w:tcPr>
            <w:tcW w:w="38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c>
          <w:tcPr>
            <w:tcW w:w="1060" w:type="dxa"/>
            <w:vAlign w:val="bottom"/>
            <w:gridSpan w:val="2"/>
            <w:shd w:val="clear" w:color="auto" w:fill="E3E4E5"/>
          </w:tcPr>
          <w:p>
            <w:pPr>
              <w:jc w:val="right"/>
              <w:ind w:right="160"/>
              <w:spacing w:after="0"/>
              <w:rPr>
                <w:sz w:val="20"/>
                <w:szCs w:val="20"/>
                <w:color w:val="auto"/>
              </w:rPr>
            </w:pPr>
            <w:r>
              <w:rPr>
                <w:rFonts w:ascii="Times New Roman" w:cs="Times New Roman" w:eastAsia="Times New Roman" w:hAnsi="Times New Roman"/>
                <w:sz w:val="20"/>
                <w:szCs w:val="20"/>
                <w:color w:val="414142"/>
              </w:rPr>
              <w:t>(2,499)</w:t>
            </w:r>
          </w:p>
        </w:tc>
        <w:tc>
          <w:tcPr>
            <w:tcW w:w="260" w:type="dxa"/>
            <w:vAlign w:val="bottom"/>
            <w:shd w:val="clear" w:color="auto" w:fill="E3E4E5"/>
          </w:tcPr>
          <w:p>
            <w:pPr>
              <w:spacing w:after="0"/>
              <w:rPr>
                <w:sz w:val="23"/>
                <w:szCs w:val="23"/>
                <w:color w:val="auto"/>
              </w:rPr>
            </w:pPr>
          </w:p>
        </w:tc>
        <w:tc>
          <w:tcPr>
            <w:tcW w:w="1000" w:type="dxa"/>
            <w:vAlign w:val="bottom"/>
            <w:gridSpan w:val="2"/>
            <w:shd w:val="clear" w:color="auto" w:fill="E3E4E5"/>
          </w:tcPr>
          <w:p>
            <w:pPr>
              <w:jc w:val="right"/>
              <w:ind w:right="60"/>
              <w:spacing w:after="0"/>
              <w:rPr>
                <w:sz w:val="20"/>
                <w:szCs w:val="20"/>
                <w:color w:val="auto"/>
              </w:rPr>
            </w:pPr>
            <w:r>
              <w:rPr>
                <w:rFonts w:ascii="Times New Roman" w:cs="Times New Roman" w:eastAsia="Times New Roman" w:hAnsi="Times New Roman"/>
                <w:sz w:val="20"/>
                <w:szCs w:val="20"/>
                <w:color w:val="414142"/>
              </w:rPr>
              <w:t>(38)%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6052185</wp:posOffset>
                </wp:positionH>
                <wp:positionV relativeFrom="paragraph">
                  <wp:posOffset>-2583180</wp:posOffset>
                </wp:positionV>
                <wp:extent cx="616585" cy="14605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585" cy="146050"/>
                        </a:xfrm>
                        <a:prstGeom prst="rect">
                          <a:avLst/>
                        </a:prstGeom>
                        <a:solidFill>
                          <a:srgbClr val="E3E4E5"/>
                        </a:solidFill>
                      </wps:spPr>
                      <wps:bodyPr/>
                    </wps:wsp>
                  </a:graphicData>
                </a:graphic>
              </wp:anchor>
            </w:drawing>
          </mc:Choice>
          <mc:Fallback>
            <w:pict>
              <v:rect id="Shape 14" o:spid="_x0000_s1039" style="position:absolute;margin-left:476.55pt;margin-top:-203.3999pt;width:48.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6669405</wp:posOffset>
                </wp:positionH>
                <wp:positionV relativeFrom="paragraph">
                  <wp:posOffset>-2592705</wp:posOffset>
                </wp:positionV>
                <wp:extent cx="188595" cy="155575"/>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55575"/>
                        </a:xfrm>
                        <a:prstGeom prst="rect">
                          <a:avLst/>
                        </a:prstGeom>
                        <a:solidFill>
                          <a:srgbClr val="E3E4E5"/>
                        </a:solidFill>
                      </wps:spPr>
                      <wps:bodyPr/>
                    </wps:wsp>
                  </a:graphicData>
                </a:graphic>
              </wp:anchor>
            </w:drawing>
          </mc:Choice>
          <mc:Fallback>
            <w:pict>
              <v:rect id="Shape 15" o:spid="_x0000_s1040" style="position:absolute;margin-left:525.15pt;margin-top:-204.1499pt;width:14.8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6052185</wp:posOffset>
                </wp:positionH>
                <wp:positionV relativeFrom="paragraph">
                  <wp:posOffset>-1697355</wp:posOffset>
                </wp:positionV>
                <wp:extent cx="616585" cy="14605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585" cy="146050"/>
                        </a:xfrm>
                        <a:prstGeom prst="rect">
                          <a:avLst/>
                        </a:prstGeom>
                        <a:solidFill>
                          <a:srgbClr val="E3E4E5"/>
                        </a:solidFill>
                      </wps:spPr>
                      <wps:bodyPr/>
                    </wps:wsp>
                  </a:graphicData>
                </a:graphic>
              </wp:anchor>
            </w:drawing>
          </mc:Choice>
          <mc:Fallback>
            <w:pict>
              <v:rect id="Shape 16" o:spid="_x0000_s1041" style="position:absolute;margin-left:476.55pt;margin-top:-133.6499pt;width:48.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6669405</wp:posOffset>
                </wp:positionH>
                <wp:positionV relativeFrom="paragraph">
                  <wp:posOffset>-1706880</wp:posOffset>
                </wp:positionV>
                <wp:extent cx="188595" cy="155575"/>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55575"/>
                        </a:xfrm>
                        <a:prstGeom prst="rect">
                          <a:avLst/>
                        </a:prstGeom>
                        <a:solidFill>
                          <a:srgbClr val="E3E4E5"/>
                        </a:solidFill>
                      </wps:spPr>
                      <wps:bodyPr/>
                    </wps:wsp>
                  </a:graphicData>
                </a:graphic>
              </wp:anchor>
            </w:drawing>
          </mc:Choice>
          <mc:Fallback>
            <w:pict>
              <v:rect id="Shape 17" o:spid="_x0000_s1042" style="position:absolute;margin-left:525.15pt;margin-top:-134.3999pt;width:14.8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6052185</wp:posOffset>
                </wp:positionH>
                <wp:positionV relativeFrom="paragraph">
                  <wp:posOffset>-490855</wp:posOffset>
                </wp:positionV>
                <wp:extent cx="616585" cy="14605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16585" cy="146050"/>
                        </a:xfrm>
                        <a:prstGeom prst="rect">
                          <a:avLst/>
                        </a:prstGeom>
                        <a:solidFill>
                          <a:srgbClr val="E3E4E5"/>
                        </a:solidFill>
                      </wps:spPr>
                      <wps:bodyPr/>
                    </wps:wsp>
                  </a:graphicData>
                </a:graphic>
              </wp:anchor>
            </w:drawing>
          </mc:Choice>
          <mc:Fallback>
            <w:pict>
              <v:rect id="Shape 18" o:spid="_x0000_s1043" style="position:absolute;margin-left:476.55pt;margin-top:-38.6499pt;width:48.55pt;height:11.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6669405</wp:posOffset>
                </wp:positionH>
                <wp:positionV relativeFrom="paragraph">
                  <wp:posOffset>-500380</wp:posOffset>
                </wp:positionV>
                <wp:extent cx="188595" cy="155575"/>
                <wp:wrapNone/>
                <wp:docPr id="19" name="Shape 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8595" cy="155575"/>
                        </a:xfrm>
                        <a:prstGeom prst="rect">
                          <a:avLst/>
                        </a:prstGeom>
                        <a:solidFill>
                          <a:srgbClr val="E3E4E5"/>
                        </a:solidFill>
                      </wps:spPr>
                      <wps:bodyPr/>
                    </wps:wsp>
                  </a:graphicData>
                </a:graphic>
              </wp:anchor>
            </w:drawing>
          </mc:Choice>
          <mc:Fallback>
            <w:pict>
              <v:rect id="Shape 19" o:spid="_x0000_s1044" style="position:absolute;margin-left:525.15pt;margin-top:-39.3999pt;width:14.85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ind w:left="720" w:hanging="720"/>
        <w:spacing w:after="0"/>
        <w:tabs>
          <w:tab w:leader="none" w:pos="720" w:val="left"/>
        </w:tabs>
        <w:numPr>
          <w:ilvl w:val="0"/>
          <w:numId w:val="46"/>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18"/>
          <w:szCs w:val="18"/>
          <w:color w:val="231F20"/>
        </w:rPr>
        <w:t>Amounts represent share-based compensation expense reported in the Company’s results of operations above.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73</w:t>
      </w:r>
    </w:p>
    <w:p>
      <w:pPr>
        <w:sectPr>
          <w:pgSz w:w="11880" w:h="15480" w:orient="portrait"/>
          <w:cols w:equalWidth="0" w:num="1">
            <w:col w:w="10800"/>
          </w:cols>
          <w:pgMar w:left="540" w:top="750" w:right="54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231F20"/>
        </w:rPr>
        <w:t>Revenues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We generate revenue by providing laboratory testing of our diagnostic tests and services. Our revenues for the periods indicated were as follows (in thousands, except percentages):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2400" w:type="dxa"/>
            <w:vAlign w:val="bottom"/>
            <w:tcBorders>
              <w:bottom w:val="single" w:sz="8" w:color="231F20"/>
            </w:tcBorders>
            <w:gridSpan w:val="4"/>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w w:val="99"/>
              </w:rPr>
              <w:t>Year Ended December 31,</w:t>
            </w:r>
          </w:p>
        </w:tc>
        <w:tc>
          <w:tcPr>
            <w:tcW w:w="220" w:type="dxa"/>
            <w:vAlign w:val="bottom"/>
          </w:tcPr>
          <w:p>
            <w:pPr>
              <w:spacing w:after="0"/>
              <w:rPr>
                <w:sz w:val="22"/>
                <w:szCs w:val="22"/>
                <w:color w:val="auto"/>
              </w:rPr>
            </w:pPr>
          </w:p>
        </w:tc>
        <w:tc>
          <w:tcPr>
            <w:tcW w:w="300" w:type="dxa"/>
            <w:vAlign w:val="bottom"/>
            <w:tcBorders>
              <w:bottom w:val="single" w:sz="8" w:color="231F20"/>
            </w:tcBorders>
          </w:tcPr>
          <w:p>
            <w:pPr>
              <w:spacing w:after="0"/>
              <w:rPr>
                <w:sz w:val="22"/>
                <w:szCs w:val="22"/>
                <w:color w:val="auto"/>
              </w:rPr>
            </w:pPr>
          </w:p>
        </w:tc>
        <w:tc>
          <w:tcPr>
            <w:tcW w:w="1300" w:type="dxa"/>
            <w:vAlign w:val="bottom"/>
            <w:tcBorders>
              <w:bottom w:val="single" w:sz="8" w:color="231F20"/>
            </w:tcBorders>
            <w:gridSpan w:val="3"/>
          </w:tcPr>
          <w:p>
            <w:pPr>
              <w:ind w:left="520"/>
              <w:spacing w:after="0"/>
              <w:rPr>
                <w:sz w:val="20"/>
                <w:szCs w:val="20"/>
                <w:color w:val="auto"/>
              </w:rPr>
            </w:pPr>
            <w:r>
              <w:rPr>
                <w:rFonts w:ascii="Times New Roman" w:cs="Times New Roman" w:eastAsia="Times New Roman" w:hAnsi="Times New Roman"/>
                <w:sz w:val="20"/>
                <w:szCs w:val="20"/>
                <w:b w:val="1"/>
                <w:bCs w:val="1"/>
                <w:color w:val="231F20"/>
              </w:rPr>
              <w:t>Change</w:t>
            </w:r>
          </w:p>
        </w:tc>
        <w:tc>
          <w:tcPr>
            <w:tcW w:w="720" w:type="dxa"/>
            <w:vAlign w:val="bottom"/>
            <w:tcBorders>
              <w:bottom w:val="single" w:sz="8" w:color="231F20"/>
            </w:tcBorders>
          </w:tcPr>
          <w:p>
            <w:pPr>
              <w:spacing w:after="0"/>
              <w:rPr>
                <w:sz w:val="22"/>
                <w:szCs w:val="22"/>
                <w:color w:val="auto"/>
              </w:rPr>
            </w:pP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360" w:type="dxa"/>
            <w:vAlign w:val="bottom"/>
            <w:tcBorders>
              <w:bottom w:val="single" w:sz="8" w:color="E5E6E7"/>
            </w:tcBorders>
          </w:tcPr>
          <w:p>
            <w:pPr>
              <w:spacing w:after="0"/>
              <w:rPr>
                <w:sz w:val="20"/>
                <w:szCs w:val="20"/>
                <w:color w:val="auto"/>
              </w:rPr>
            </w:pPr>
          </w:p>
        </w:tc>
        <w:tc>
          <w:tcPr>
            <w:tcW w:w="120" w:type="dxa"/>
            <w:vAlign w:val="bottom"/>
            <w:tcBorders>
              <w:bottom w:val="single" w:sz="8" w:color="E5E6E7"/>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02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20" w:type="dxa"/>
            <w:vAlign w:val="bottom"/>
            <w:tcBorders>
              <w:bottom w:val="single" w:sz="8" w:color="E5E6E7"/>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2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220" w:type="dxa"/>
            <w:vAlign w:val="bottom"/>
            <w:tcBorders>
              <w:bottom w:val="single" w:sz="8" w:color="E5E6E7"/>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82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w:t>
            </w:r>
          </w:p>
        </w:tc>
        <w:tc>
          <w:tcPr>
            <w:tcW w:w="220" w:type="dxa"/>
            <w:vAlign w:val="bottom"/>
            <w:tcBorders>
              <w:bottom w:val="single" w:sz="8" w:color="E5E6E7"/>
            </w:tcBorders>
          </w:tcPr>
          <w:p>
            <w:pPr>
              <w:spacing w:after="0"/>
              <w:rPr>
                <w:sz w:val="20"/>
                <w:szCs w:val="20"/>
                <w:color w:val="auto"/>
              </w:rPr>
            </w:pPr>
          </w:p>
        </w:tc>
        <w:tc>
          <w:tcPr>
            <w:tcW w:w="260" w:type="dxa"/>
            <w:vAlign w:val="bottom"/>
            <w:tcBorders>
              <w:bottom w:val="single" w:sz="8" w:color="231F20"/>
            </w:tcBorders>
          </w:tcPr>
          <w:p>
            <w:pPr>
              <w:spacing w:after="0"/>
              <w:rPr>
                <w:sz w:val="20"/>
                <w:szCs w:val="20"/>
                <w:color w:val="auto"/>
              </w:rPr>
            </w:pPr>
          </w:p>
        </w:tc>
        <w:tc>
          <w:tcPr>
            <w:tcW w:w="72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w:t>
            </w:r>
          </w:p>
        </w:tc>
        <w:tc>
          <w:tcPr>
            <w:tcW w:w="260" w:type="dxa"/>
            <w:vAlign w:val="bottom"/>
            <w:tcBorders>
              <w:bottom w:val="single" w:sz="8" w:color="E5E6E7"/>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80" w:type="dxa"/>
            <w:vAlign w:val="bottom"/>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14142"/>
              </w:rPr>
              <w:t>Revenues</w:t>
            </w:r>
          </w:p>
        </w:tc>
        <w:tc>
          <w:tcPr>
            <w:tcW w:w="120" w:type="dxa"/>
            <w:vAlign w:val="bottom"/>
            <w:shd w:val="clear" w:color="auto" w:fill="E5E6E7"/>
          </w:tcPr>
          <w:p>
            <w:pPr>
              <w:spacing w:after="0"/>
              <w:rPr>
                <w:sz w:val="20"/>
                <w:szCs w:val="20"/>
                <w:color w:val="auto"/>
              </w:rPr>
            </w:pPr>
          </w:p>
        </w:tc>
        <w:tc>
          <w:tcPr>
            <w:tcW w:w="10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240" w:type="dxa"/>
            <w:vAlign w:val="bottom"/>
            <w:shd w:val="clear" w:color="auto" w:fill="E5E6E7"/>
          </w:tcPr>
          <w:p>
            <w:pPr>
              <w:spacing w:after="0"/>
              <w:rPr>
                <w:sz w:val="20"/>
                <w:szCs w:val="20"/>
                <w:color w:val="auto"/>
              </w:rPr>
            </w:pPr>
          </w:p>
        </w:tc>
        <w:tc>
          <w:tcPr>
            <w:tcW w:w="9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300" w:type="dxa"/>
            <w:vAlign w:val="bottom"/>
            <w:shd w:val="clear" w:color="auto" w:fill="E5E6E7"/>
          </w:tcPr>
          <w:p>
            <w:pPr>
              <w:spacing w:after="0"/>
              <w:rPr>
                <w:sz w:val="20"/>
                <w:szCs w:val="20"/>
                <w:color w:val="auto"/>
              </w:rPr>
            </w:pPr>
          </w:p>
        </w:tc>
        <w:tc>
          <w:tcPr>
            <w:tcW w:w="820" w:type="dxa"/>
            <w:vAlign w:val="bottom"/>
            <w:shd w:val="clear" w:color="auto" w:fill="E5E6E7"/>
          </w:tcPr>
          <w:p>
            <w:pPr>
              <w:spacing w:after="0"/>
              <w:rPr>
                <w:sz w:val="20"/>
                <w:szCs w:val="20"/>
                <w:color w:val="auto"/>
              </w:rPr>
            </w:pPr>
          </w:p>
        </w:tc>
        <w:tc>
          <w:tcPr>
            <w:tcW w:w="22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720" w:type="dxa"/>
            <w:vAlign w:val="bottom"/>
            <w:shd w:val="clear" w:color="auto" w:fill="E5E6E7"/>
          </w:tcPr>
          <w:p>
            <w:pPr>
              <w:spacing w:after="0"/>
              <w:rPr>
                <w:sz w:val="20"/>
                <w:szCs w:val="20"/>
                <w:color w:val="auto"/>
              </w:rPr>
            </w:pPr>
          </w:p>
        </w:tc>
        <w:tc>
          <w:tcPr>
            <w:tcW w:w="2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231F20"/>
              </w:rPr>
              <w:t>Diagnostic Tests</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79,197</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64,708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14,489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22%</w:t>
            </w:r>
          </w:p>
        </w:tc>
        <w:tc>
          <w:tcPr>
            <w:tcW w:w="0" w:type="dxa"/>
            <w:vAlign w:val="bottom"/>
          </w:tcPr>
          <w:p>
            <w:pPr>
              <w:spacing w:after="0"/>
              <w:rPr>
                <w:sz w:val="1"/>
                <w:szCs w:val="1"/>
                <w:color w:val="auto"/>
              </w:rPr>
            </w:pPr>
          </w:p>
        </w:tc>
      </w:tr>
      <w:tr>
        <w:trPr>
          <w:trHeight w:val="244"/>
        </w:trPr>
        <w:tc>
          <w:tcPr>
            <w:tcW w:w="5360" w:type="dxa"/>
            <w:vAlign w:val="bottom"/>
            <w:shd w:val="clear" w:color="auto" w:fill="E5E6E7"/>
          </w:tcPr>
          <w:p>
            <w:pPr>
              <w:ind w:left="100"/>
              <w:spacing w:after="0"/>
              <w:rPr>
                <w:sz w:val="20"/>
                <w:szCs w:val="20"/>
                <w:color w:val="auto"/>
              </w:rPr>
            </w:pPr>
            <w:r>
              <w:rPr>
                <w:rFonts w:ascii="Times New Roman" w:cs="Times New Roman" w:eastAsia="Times New Roman" w:hAnsi="Times New Roman"/>
                <w:sz w:val="20"/>
                <w:szCs w:val="20"/>
                <w:color w:val="414142"/>
              </w:rPr>
              <w:t>Development Services</w:t>
            </w:r>
          </w:p>
        </w:tc>
        <w:tc>
          <w:tcPr>
            <w:tcW w:w="12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0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9,302</w:t>
            </w:r>
          </w:p>
        </w:tc>
        <w:tc>
          <w:tcPr>
            <w:tcW w:w="220" w:type="dxa"/>
            <w:vAlign w:val="bottom"/>
            <w:shd w:val="clear" w:color="auto" w:fill="E3E4E5"/>
          </w:tcPr>
          <w:p>
            <w:pPr>
              <w:spacing w:after="0"/>
              <w:rPr>
                <w:sz w:val="21"/>
                <w:szCs w:val="21"/>
                <w:color w:val="auto"/>
              </w:rPr>
            </w:pPr>
          </w:p>
        </w:tc>
        <w:tc>
          <w:tcPr>
            <w:tcW w:w="240" w:type="dxa"/>
            <w:vAlign w:val="bottom"/>
            <w:shd w:val="clear" w:color="auto" w:fill="E3E4E5"/>
          </w:tcPr>
          <w:p>
            <w:pPr>
              <w:spacing w:after="0"/>
              <w:rPr>
                <w:sz w:val="21"/>
                <w:szCs w:val="21"/>
                <w:color w:val="auto"/>
              </w:rPr>
            </w:pPr>
          </w:p>
        </w:tc>
        <w:tc>
          <w:tcPr>
            <w:tcW w:w="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6,615</w:t>
            </w:r>
          </w:p>
        </w:tc>
        <w:tc>
          <w:tcPr>
            <w:tcW w:w="22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2,687</w:t>
            </w:r>
          </w:p>
        </w:tc>
        <w:tc>
          <w:tcPr>
            <w:tcW w:w="220" w:type="dxa"/>
            <w:vAlign w:val="bottom"/>
            <w:shd w:val="clear" w:color="auto" w:fill="E3E4E5"/>
          </w:tcPr>
          <w:p>
            <w:pPr>
              <w:spacing w:after="0"/>
              <w:rPr>
                <w:sz w:val="21"/>
                <w:szCs w:val="21"/>
                <w:color w:val="auto"/>
              </w:rPr>
            </w:pPr>
          </w:p>
        </w:tc>
        <w:tc>
          <w:tcPr>
            <w:tcW w:w="260" w:type="dxa"/>
            <w:vAlign w:val="bottom"/>
            <w:shd w:val="clear" w:color="auto" w:fill="E3E4E5"/>
          </w:tcPr>
          <w:p>
            <w:pPr>
              <w:spacing w:after="0"/>
              <w:rPr>
                <w:sz w:val="21"/>
                <w:szCs w:val="21"/>
                <w:color w:val="auto"/>
              </w:rPr>
            </w:pPr>
          </w:p>
        </w:tc>
        <w:tc>
          <w:tcPr>
            <w:tcW w:w="98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14142"/>
              </w:rPr>
              <w:t>41%</w:t>
            </w:r>
          </w:p>
        </w:tc>
        <w:tc>
          <w:tcPr>
            <w:tcW w:w="0" w:type="dxa"/>
            <w:vAlign w:val="bottom"/>
          </w:tcPr>
          <w:p>
            <w:pPr>
              <w:spacing w:after="0"/>
              <w:rPr>
                <w:sz w:val="1"/>
                <w:szCs w:val="1"/>
                <w:color w:val="auto"/>
              </w:rPr>
            </w:pPr>
          </w:p>
        </w:tc>
      </w:tr>
      <w:tr>
        <w:trPr>
          <w:trHeight w:val="20"/>
        </w:trPr>
        <w:tc>
          <w:tcPr>
            <w:tcW w:w="5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231F20"/>
              </w:rPr>
              <w:t>Total revenues</w:t>
            </w:r>
          </w:p>
        </w:tc>
        <w:tc>
          <w:tcPr>
            <w:tcW w:w="120" w:type="dxa"/>
            <w:vAlign w:val="bottom"/>
            <w:shd w:val="clear" w:color="auto" w:fill="231F20"/>
          </w:tcPr>
          <w:p>
            <w:pPr>
              <w:spacing w:after="0" w:line="20" w:lineRule="exact"/>
              <w:rPr>
                <w:sz w:val="1"/>
                <w:szCs w:val="1"/>
                <w:color w:val="auto"/>
              </w:rPr>
            </w:pPr>
          </w:p>
        </w:tc>
        <w:tc>
          <w:tcPr>
            <w:tcW w:w="1020" w:type="dxa"/>
            <w:vAlign w:val="bottom"/>
            <w:shd w:val="clear" w:color="auto" w:fill="231F2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920" w:type="dxa"/>
            <w:vAlign w:val="bottom"/>
            <w:shd w:val="clear" w:color="auto" w:fill="231F2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231F20"/>
          </w:tcPr>
          <w:p>
            <w:pPr>
              <w:spacing w:after="0" w:line="20" w:lineRule="exact"/>
              <w:rPr>
                <w:sz w:val="1"/>
                <w:szCs w:val="1"/>
                <w:color w:val="auto"/>
              </w:rPr>
            </w:pPr>
          </w:p>
        </w:tc>
        <w:tc>
          <w:tcPr>
            <w:tcW w:w="72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480" w:type="dxa"/>
            <w:vAlign w:val="bottom"/>
            <w:gridSpan w:val="2"/>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88,499</w:t>
            </w:r>
          </w:p>
        </w:tc>
        <w:tc>
          <w:tcPr>
            <w:tcW w:w="220" w:type="dxa"/>
            <w:vAlign w:val="bottom"/>
            <w:vMerge w:val="continue"/>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71,323</w:t>
            </w:r>
          </w:p>
        </w:tc>
        <w:tc>
          <w:tcPr>
            <w:tcW w:w="220" w:type="dxa"/>
            <w:vAlign w:val="bottom"/>
            <w:vMerge w:val="continue"/>
          </w:tcPr>
          <w:p>
            <w:pPr>
              <w:spacing w:after="0"/>
              <w:rPr>
                <w:sz w:val="20"/>
                <w:szCs w:val="20"/>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17,176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0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231F20"/>
              <w:bottom w:val="single" w:sz="8" w:color="231F20"/>
            </w:tcBorders>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Total revenue increased $17.2 million or 24% for the year ended December 31, 2025 compared to the year ended December 31, 2024.</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Lung Diagnostic Testing revenue increased $14.5 million or 22% for the year ended December 31, 2025 compared to the same period in 2024. The increase for the year ended December 31, 2025 compared to the same period in 2024 was due to an increase of $15.3 million in the Nodify Lung Nodule Risk Assessment testing strategy driven by an increase in tests delivered and improvements in average revenue per test as our sales efforts continued to focus on Nodify CDT and XL2 tests. This increase was partially offset by a $0.8 million decrease in the IQLung testing strategy sales.</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Development Services revenue increased $ 2.7 million or 41% for the year ended December 31, 2025 compared to the same period in 2024. The increase in revenue for the year ended December 31, 2024 was primarily a result of delivering against our expanding book of business and securing new agreements.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Direct costs and expenses</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Direct costs and expenses related to revenue increased $ 1.1 million or 7% for the year ended December 31, 2025 compared to the year ended December 31, 2024. The increase in costs for the year ended December 31, 2025 was primarily driven by the increase in testing volume compared to the same period in 2024, partially offset by the optimization of testing workflows that resulted in improvements in costs per test.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Research and development</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Research and development expenses increased $2.4 million or 26% for the year ended December 31, 2025 compared to the year ended December 31, 2024. The increase in costs was primarily due to an increase in internal expenses associated with employee compensation and benefit costs resulting from an increase in headcount and variable compensation as well as an increase in external costs associated with clinical trials.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following table summarizes our external and internal costs for the years ended December 31, 2025 and 2024 (in thousands, except percentages):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w w:val="99"/>
              </w:rPr>
              <w:t>Year Ended December 31,</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40" w:type="dxa"/>
            <w:vAlign w:val="bottom"/>
            <w:gridSpan w:val="3"/>
          </w:tcPr>
          <w:p>
            <w:pPr>
              <w:ind w:left="560"/>
              <w:spacing w:after="0"/>
              <w:rPr>
                <w:sz w:val="20"/>
                <w:szCs w:val="20"/>
                <w:color w:val="auto"/>
              </w:rPr>
            </w:pPr>
            <w:r>
              <w:rPr>
                <w:rFonts w:ascii="Times New Roman" w:cs="Times New Roman" w:eastAsia="Times New Roman" w:hAnsi="Times New Roman"/>
                <w:sz w:val="20"/>
                <w:szCs w:val="20"/>
                <w:b w:val="1"/>
                <w:bCs w:val="1"/>
                <w:color w:val="231F20"/>
              </w:rPr>
              <w:t>Change</w:t>
            </w: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5460" w:type="dxa"/>
            <w:vAlign w:val="bottom"/>
            <w:tcBorders>
              <w:bottom w:val="single" w:sz="8" w:color="E3E4E5"/>
            </w:tcBorders>
          </w:tcPr>
          <w:p>
            <w:pPr>
              <w:spacing w:after="0"/>
              <w:rPr>
                <w:sz w:val="22"/>
                <w:szCs w:val="22"/>
                <w:color w:val="auto"/>
              </w:rPr>
            </w:pPr>
          </w:p>
        </w:tc>
        <w:tc>
          <w:tcPr>
            <w:tcW w:w="100" w:type="dxa"/>
            <w:vAlign w:val="bottom"/>
            <w:tcBorders>
              <w:bottom w:val="single" w:sz="8" w:color="414142"/>
            </w:tcBorders>
          </w:tcPr>
          <w:p>
            <w:pPr>
              <w:spacing w:after="0"/>
              <w:rPr>
                <w:sz w:val="22"/>
                <w:szCs w:val="22"/>
                <w:color w:val="auto"/>
              </w:rPr>
            </w:pPr>
          </w:p>
        </w:tc>
        <w:tc>
          <w:tcPr>
            <w:tcW w:w="1040" w:type="dxa"/>
            <w:vAlign w:val="bottom"/>
            <w:tcBorders>
              <w:bottom w:val="single" w:sz="8" w:color="414142"/>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20" w:type="dxa"/>
            <w:vAlign w:val="bottom"/>
            <w:tcBorders>
              <w:bottom w:val="single" w:sz="8" w:color="E3E4E5"/>
            </w:tcBorders>
          </w:tcPr>
          <w:p>
            <w:pPr>
              <w:spacing w:after="0"/>
              <w:rPr>
                <w:sz w:val="22"/>
                <w:szCs w:val="22"/>
                <w:color w:val="auto"/>
              </w:rPr>
            </w:pPr>
          </w:p>
        </w:tc>
        <w:tc>
          <w:tcPr>
            <w:tcW w:w="240" w:type="dxa"/>
            <w:vAlign w:val="bottom"/>
            <w:tcBorders>
              <w:bottom w:val="single" w:sz="8" w:color="414142"/>
            </w:tcBorders>
          </w:tcPr>
          <w:p>
            <w:pPr>
              <w:spacing w:after="0"/>
              <w:rPr>
                <w:sz w:val="22"/>
                <w:szCs w:val="22"/>
                <w:color w:val="auto"/>
              </w:rPr>
            </w:pPr>
          </w:p>
        </w:tc>
        <w:tc>
          <w:tcPr>
            <w:tcW w:w="900" w:type="dxa"/>
            <w:vAlign w:val="bottom"/>
            <w:tcBorders>
              <w:bottom w:val="single" w:sz="8" w:color="414142"/>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220" w:type="dxa"/>
            <w:vAlign w:val="bottom"/>
            <w:tcBorders>
              <w:bottom w:val="single" w:sz="8" w:color="E3E4E5"/>
            </w:tcBorders>
          </w:tcPr>
          <w:p>
            <w:pPr>
              <w:spacing w:after="0"/>
              <w:rPr>
                <w:sz w:val="22"/>
                <w:szCs w:val="22"/>
                <w:color w:val="auto"/>
              </w:rPr>
            </w:pPr>
          </w:p>
        </w:tc>
        <w:tc>
          <w:tcPr>
            <w:tcW w:w="320" w:type="dxa"/>
            <w:vAlign w:val="bottom"/>
            <w:tcBorders>
              <w:bottom w:val="single" w:sz="8" w:color="414142"/>
            </w:tcBorders>
          </w:tcPr>
          <w:p>
            <w:pPr>
              <w:spacing w:after="0"/>
              <w:rPr>
                <w:sz w:val="22"/>
                <w:szCs w:val="22"/>
                <w:color w:val="auto"/>
              </w:rPr>
            </w:pPr>
          </w:p>
        </w:tc>
        <w:tc>
          <w:tcPr>
            <w:tcW w:w="820" w:type="dxa"/>
            <w:vAlign w:val="bottom"/>
            <w:tcBorders>
              <w:bottom w:val="single" w:sz="8" w:color="414142"/>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w:t>
            </w:r>
          </w:p>
        </w:tc>
        <w:tc>
          <w:tcPr>
            <w:tcW w:w="220" w:type="dxa"/>
            <w:vAlign w:val="bottom"/>
            <w:tcBorders>
              <w:bottom w:val="single" w:sz="8" w:color="E3E4E5"/>
            </w:tcBorders>
          </w:tcPr>
          <w:p>
            <w:pPr>
              <w:spacing w:after="0"/>
              <w:rPr>
                <w:sz w:val="22"/>
                <w:szCs w:val="22"/>
                <w:color w:val="auto"/>
              </w:rPr>
            </w:pPr>
          </w:p>
        </w:tc>
        <w:tc>
          <w:tcPr>
            <w:tcW w:w="300" w:type="dxa"/>
            <w:vAlign w:val="bottom"/>
            <w:tcBorders>
              <w:bottom w:val="single" w:sz="8" w:color="414142"/>
            </w:tcBorders>
          </w:tcPr>
          <w:p>
            <w:pPr>
              <w:spacing w:after="0"/>
              <w:rPr>
                <w:sz w:val="22"/>
                <w:szCs w:val="22"/>
                <w:color w:val="auto"/>
              </w:rPr>
            </w:pPr>
          </w:p>
        </w:tc>
        <w:tc>
          <w:tcPr>
            <w:tcW w:w="740" w:type="dxa"/>
            <w:vAlign w:val="bottom"/>
            <w:tcBorders>
              <w:bottom w:val="single" w:sz="8" w:color="414142"/>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231F20"/>
              </w:rPr>
              <w:t>%</w:t>
            </w:r>
          </w:p>
        </w:tc>
        <w:tc>
          <w:tcPr>
            <w:tcW w:w="220" w:type="dxa"/>
            <w:vAlign w:val="bottom"/>
            <w:tcBorders>
              <w:bottom w:val="single" w:sz="8" w:color="E3E4E5"/>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4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External expenses:</w:t>
            </w:r>
          </w:p>
        </w:tc>
        <w:tc>
          <w:tcPr>
            <w:tcW w:w="100" w:type="dxa"/>
            <w:vAlign w:val="bottom"/>
            <w:shd w:val="clear" w:color="auto" w:fill="E3E4E5"/>
          </w:tcPr>
          <w:p>
            <w:pPr>
              <w:spacing w:after="0"/>
              <w:rPr>
                <w:sz w:val="20"/>
                <w:szCs w:val="20"/>
                <w:color w:val="auto"/>
              </w:rPr>
            </w:pPr>
          </w:p>
        </w:tc>
        <w:tc>
          <w:tcPr>
            <w:tcW w:w="104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240" w:type="dxa"/>
            <w:vAlign w:val="bottom"/>
            <w:shd w:val="clear" w:color="auto" w:fill="E3E4E5"/>
          </w:tcPr>
          <w:p>
            <w:pPr>
              <w:spacing w:after="0"/>
              <w:rPr>
                <w:sz w:val="20"/>
                <w:szCs w:val="20"/>
                <w:color w:val="auto"/>
              </w:rPr>
            </w:pPr>
          </w:p>
        </w:tc>
        <w:tc>
          <w:tcPr>
            <w:tcW w:w="90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82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740" w:type="dxa"/>
            <w:vAlign w:val="bottom"/>
            <w:shd w:val="clear" w:color="auto" w:fill="E3E4E5"/>
          </w:tcPr>
          <w:p>
            <w:pPr>
              <w:spacing w:after="0"/>
              <w:rPr>
                <w:sz w:val="20"/>
                <w:szCs w:val="20"/>
                <w:color w:val="auto"/>
              </w:rPr>
            </w:pPr>
          </w:p>
        </w:tc>
        <w:tc>
          <w:tcPr>
            <w:tcW w:w="22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54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Clinical trials and associated costs</w:t>
            </w: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1,730</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1,180</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550</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47%</w:t>
            </w:r>
          </w:p>
        </w:tc>
        <w:tc>
          <w:tcPr>
            <w:tcW w:w="0" w:type="dxa"/>
            <w:vAlign w:val="bottom"/>
          </w:tcPr>
          <w:p>
            <w:pPr>
              <w:spacing w:after="0"/>
              <w:rPr>
                <w:sz w:val="1"/>
                <w:szCs w:val="1"/>
                <w:color w:val="auto"/>
              </w:rPr>
            </w:pPr>
          </w:p>
        </w:tc>
      </w:tr>
      <w:tr>
        <w:trPr>
          <w:trHeight w:val="244"/>
        </w:trPr>
        <w:tc>
          <w:tcPr>
            <w:tcW w:w="546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Other external costs</w:t>
            </w: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2,954</w:t>
            </w:r>
          </w:p>
        </w:tc>
        <w:tc>
          <w:tcPr>
            <w:tcW w:w="220" w:type="dxa"/>
            <w:vAlign w:val="bottom"/>
            <w:shd w:val="clear" w:color="auto" w:fill="E3E4E5"/>
          </w:tcPr>
          <w:p>
            <w:pPr>
              <w:spacing w:after="0"/>
              <w:rPr>
                <w:sz w:val="21"/>
                <w:szCs w:val="21"/>
                <w:color w:val="auto"/>
              </w:rPr>
            </w:pPr>
          </w:p>
        </w:tc>
        <w:tc>
          <w:tcPr>
            <w:tcW w:w="240" w:type="dxa"/>
            <w:vAlign w:val="bottom"/>
            <w:shd w:val="clear" w:color="auto" w:fill="E3E4E5"/>
          </w:tcPr>
          <w:p>
            <w:pPr>
              <w:spacing w:after="0"/>
              <w:rPr>
                <w:sz w:val="21"/>
                <w:szCs w:val="21"/>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2,778</w:t>
            </w:r>
          </w:p>
        </w:tc>
        <w:tc>
          <w:tcPr>
            <w:tcW w:w="220" w:type="dxa"/>
            <w:vAlign w:val="bottom"/>
            <w:shd w:val="clear" w:color="auto" w:fill="E3E4E5"/>
          </w:tcPr>
          <w:p>
            <w:pPr>
              <w:spacing w:after="0"/>
              <w:rPr>
                <w:sz w:val="21"/>
                <w:szCs w:val="21"/>
                <w:color w:val="auto"/>
              </w:rPr>
            </w:pPr>
          </w:p>
        </w:tc>
        <w:tc>
          <w:tcPr>
            <w:tcW w:w="320" w:type="dxa"/>
            <w:vAlign w:val="bottom"/>
            <w:shd w:val="clear" w:color="auto" w:fill="E3E4E5"/>
          </w:tcPr>
          <w:p>
            <w:pPr>
              <w:spacing w:after="0"/>
              <w:rPr>
                <w:sz w:val="21"/>
                <w:szCs w:val="21"/>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176</w:t>
            </w:r>
          </w:p>
        </w:tc>
        <w:tc>
          <w:tcPr>
            <w:tcW w:w="22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96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14142"/>
              </w:rPr>
              <w:t>6%</w:t>
            </w:r>
          </w:p>
        </w:tc>
        <w:tc>
          <w:tcPr>
            <w:tcW w:w="0" w:type="dxa"/>
            <w:vAlign w:val="bottom"/>
          </w:tcPr>
          <w:p>
            <w:pPr>
              <w:spacing w:after="0"/>
              <w:rPr>
                <w:sz w:val="1"/>
                <w:szCs w:val="1"/>
                <w:color w:val="auto"/>
              </w:rPr>
            </w:pPr>
          </w:p>
        </w:tc>
      </w:tr>
      <w:tr>
        <w:trPr>
          <w:trHeight w:val="259"/>
        </w:trPr>
        <w:tc>
          <w:tcPr>
            <w:tcW w:w="546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external costs</w:t>
            </w: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4,684</w:t>
            </w: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3,958</w:t>
            </w: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726</w:t>
            </w: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18%</w:t>
            </w:r>
          </w:p>
        </w:tc>
        <w:tc>
          <w:tcPr>
            <w:tcW w:w="0" w:type="dxa"/>
            <w:vAlign w:val="bottom"/>
          </w:tcPr>
          <w:p>
            <w:pPr>
              <w:spacing w:after="0"/>
              <w:rPr>
                <w:sz w:val="1"/>
                <w:szCs w:val="1"/>
                <w:color w:val="auto"/>
              </w:rPr>
            </w:pPr>
          </w:p>
        </w:tc>
      </w:tr>
      <w:tr>
        <w:trPr>
          <w:trHeight w:val="244"/>
        </w:trPr>
        <w:tc>
          <w:tcPr>
            <w:tcW w:w="54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Internal expenses</w:t>
            </w: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7,317</w:t>
            </w:r>
          </w:p>
        </w:tc>
        <w:tc>
          <w:tcPr>
            <w:tcW w:w="220" w:type="dxa"/>
            <w:vAlign w:val="bottom"/>
            <w:shd w:val="clear" w:color="auto" w:fill="E3E4E5"/>
          </w:tcPr>
          <w:p>
            <w:pPr>
              <w:spacing w:after="0"/>
              <w:rPr>
                <w:sz w:val="21"/>
                <w:szCs w:val="21"/>
                <w:color w:val="auto"/>
              </w:rPr>
            </w:pPr>
          </w:p>
        </w:tc>
        <w:tc>
          <w:tcPr>
            <w:tcW w:w="240" w:type="dxa"/>
            <w:vAlign w:val="bottom"/>
            <w:shd w:val="clear" w:color="auto" w:fill="E3E4E5"/>
          </w:tcPr>
          <w:p>
            <w:pPr>
              <w:spacing w:after="0"/>
              <w:rPr>
                <w:sz w:val="21"/>
                <w:szCs w:val="21"/>
                <w:color w:val="auto"/>
              </w:rPr>
            </w:pPr>
          </w:p>
        </w:tc>
        <w:tc>
          <w:tcPr>
            <w:tcW w:w="9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5,601</w:t>
            </w:r>
          </w:p>
        </w:tc>
        <w:tc>
          <w:tcPr>
            <w:tcW w:w="220" w:type="dxa"/>
            <w:vAlign w:val="bottom"/>
            <w:shd w:val="clear" w:color="auto" w:fill="E3E4E5"/>
          </w:tcPr>
          <w:p>
            <w:pPr>
              <w:spacing w:after="0"/>
              <w:rPr>
                <w:sz w:val="21"/>
                <w:szCs w:val="21"/>
                <w:color w:val="auto"/>
              </w:rPr>
            </w:pPr>
          </w:p>
        </w:tc>
        <w:tc>
          <w:tcPr>
            <w:tcW w:w="320" w:type="dxa"/>
            <w:vAlign w:val="bottom"/>
            <w:shd w:val="clear" w:color="auto" w:fill="E3E4E5"/>
          </w:tcPr>
          <w:p>
            <w:pPr>
              <w:spacing w:after="0"/>
              <w:rPr>
                <w:sz w:val="21"/>
                <w:szCs w:val="21"/>
                <w:color w:val="auto"/>
              </w:rPr>
            </w:pPr>
          </w:p>
        </w:tc>
        <w:tc>
          <w:tcPr>
            <w:tcW w:w="8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1,716</w:t>
            </w:r>
          </w:p>
        </w:tc>
        <w:tc>
          <w:tcPr>
            <w:tcW w:w="22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96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14142"/>
              </w:rPr>
              <w:t>31%</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Total research and development expenses</w:t>
            </w:r>
          </w:p>
        </w:tc>
        <w:tc>
          <w:tcPr>
            <w:tcW w:w="10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4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20" w:type="dxa"/>
            <w:vAlign w:val="bottom"/>
            <w:shd w:val="clear" w:color="auto" w:fill="231F20"/>
          </w:tcPr>
          <w:p>
            <w:pPr>
              <w:spacing w:after="0" w:line="20" w:lineRule="exact"/>
              <w:rPr>
                <w:sz w:val="1"/>
                <w:szCs w:val="1"/>
                <w:color w:val="auto"/>
              </w:rPr>
            </w:pPr>
          </w:p>
        </w:tc>
        <w:tc>
          <w:tcPr>
            <w:tcW w:w="82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231F20"/>
          </w:tcPr>
          <w:p>
            <w:pPr>
              <w:spacing w:after="0" w:line="20" w:lineRule="exact"/>
              <w:rPr>
                <w:sz w:val="1"/>
                <w:szCs w:val="1"/>
                <w:color w:val="auto"/>
              </w:rPr>
            </w:pPr>
          </w:p>
        </w:tc>
        <w:tc>
          <w:tcPr>
            <w:tcW w:w="74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46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12,001</w:t>
            </w:r>
          </w:p>
        </w:tc>
        <w:tc>
          <w:tcPr>
            <w:tcW w:w="220" w:type="dxa"/>
            <w:vAlign w:val="bottom"/>
            <w:vMerge w:val="continue"/>
          </w:tcPr>
          <w:p>
            <w:pPr>
              <w:spacing w:after="0"/>
              <w:rPr>
                <w:sz w:val="20"/>
                <w:szCs w:val="20"/>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9,559</w:t>
            </w:r>
          </w:p>
        </w:tc>
        <w:tc>
          <w:tcPr>
            <w:tcW w:w="220" w:type="dxa"/>
            <w:vAlign w:val="bottom"/>
            <w:vMerge w:val="continue"/>
          </w:tcPr>
          <w:p>
            <w:pPr>
              <w:spacing w:after="0"/>
              <w:rPr>
                <w:sz w:val="20"/>
                <w:szCs w:val="20"/>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2,442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26%</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82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-1169670</wp:posOffset>
            </wp:positionV>
            <wp:extent cx="3295015" cy="47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extLst>
                    </a:blip>
                    <a:srcRect/>
                    <a:stretch>
                      <a:fillRect/>
                    </a:stretch>
                  </pic:blipFill>
                  <pic:spPr bwMode="auto">
                    <a:xfrm>
                      <a:off x="0" y="0"/>
                      <a:ext cx="3295015" cy="47625"/>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-530860</wp:posOffset>
            </wp:positionV>
            <wp:extent cx="3295015" cy="476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extLst>
                    </a:blip>
                    <a:srcRect/>
                    <a:stretch>
                      <a:fillRect/>
                    </a:stretch>
                  </pic:blipFill>
                  <pic:spPr bwMode="auto">
                    <a:xfrm>
                      <a:off x="0" y="0"/>
                      <a:ext cx="3295015" cy="47625"/>
                    </a:xfrm>
                    <a:prstGeom prst="rect">
                      <a:avLst/>
                    </a:prstGeom>
                    <a:noFill/>
                  </pic:spPr>
                </pic:pic>
              </a:graphicData>
            </a:graphic>
          </wp:anchor>
        </w:drawing>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Sales, marketing, general and administrative</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Sales, marketing, general and administrative expenses increased $7.1 million or 9% for the year ended December 31, 2025 compared to the year ended December 31, 2024. The increase was driven primarily by increases in employee compensation and benefits due to the planned expansion of the sales team to support Lung Diagnostic sales growth, as well as to enhance Biodesix awareness and drive product adoption.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Non-Operating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Interest expense</w:t>
      </w:r>
    </w:p>
    <w:p>
      <w:pPr>
        <w:spacing w:after="0" w:line="11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Interest expense decreased $0.5 million or 7% for the year ended December 31, 2025 compared to the year ended December 31, 2024. The interest expense for the year ended December 31, 2025 is primarily related to interest and amortization of debt issuance costs</w:t>
      </w:r>
    </w:p>
    <w:p>
      <w:pPr>
        <w:sectPr>
          <w:pgSz w:w="11880" w:h="15480" w:orient="portrait"/>
          <w:cols w:equalWidth="0" w:num="1">
            <w:col w:w="10800"/>
          </w:cols>
          <w:pgMar w:left="540" w:top="746" w:right="540" w:bottom="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74</w:t>
      </w:r>
    </w:p>
    <w:p>
      <w:pPr>
        <w:sectPr>
          <w:pgSz w:w="11880" w:h="15480" w:orient="portrait"/>
          <w:cols w:equalWidth="0" w:num="1">
            <w:col w:w="10800"/>
          </w:cols>
          <w:pgMar w:left="540" w:top="746" w:right="540" w:bottom="0" w:gutter="0" w:footer="0" w:header="0"/>
          <w:type w:val="continuous"/>
        </w:sectPr>
      </w:pPr>
    </w:p>
    <w:bookmarkStart w:id="76" w:name="page77"/>
    <w:bookmarkEnd w:id="76"/>
    <w:p>
      <w:pPr>
        <w:jc w:val="both"/>
        <w:spacing w:after="0" w:line="258" w:lineRule="auto"/>
        <w:rPr>
          <w:sz w:val="20"/>
          <w:szCs w:val="20"/>
          <w:color w:val="auto"/>
        </w:rPr>
      </w:pPr>
      <w:r>
        <w:rPr>
          <w:rFonts w:ascii="Times New Roman" w:cs="Times New Roman" w:eastAsia="Times New Roman" w:hAnsi="Times New Roman"/>
          <w:sz w:val="20"/>
          <w:szCs w:val="20"/>
          <w:color w:val="231F20"/>
        </w:rPr>
        <w:t>associated with the Perceptive Term Loan Facility of $7.5 million. The interest expense for the year ended December 31, 2024 is primarily related to interest and amortization of debt issuance costs associated with the Perceptive Term Loan Facility of $7.0 million as well as interest associated with the contingent consideration of $1.1 million.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Loss on extinguishment of liabilities, net</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Loss on extinguishment of liabilities decreased $0.2 million or 100% for the year ended December 31, 2025 compared to the same period in 2024. On April 22, 2024, the Company obtained consent from Perceptive and prepaid the July 1, 2024 contingent consideration milestone payment of $8.4 million to Integrated Diagnostics (Indi). As a result of prepaying the milestone payment, the Company performed a fair value analysis through April 22, 2024 and recorded a loss on early extinguishment of $0.2 million.</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Change in fair value of warrant liability, net</w:t>
      </w:r>
    </w:p>
    <w:p>
      <w:pPr>
        <w:spacing w:after="0" w:line="11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On February 28, 2025, the Company entered into the Fifth Amendment to the Credit Agreement with Perceptive, whereby subject to the terms and conditions of the Fifth Amendment, the Tranche C Loan Commitment Termination Date was extended, providing continued availability to the Tranche C Loan through December 31, 2025. In addition, on the Tranche C Loan borrowing date, the Tranche C Warrants, as amended, would become vested and exercisable at an exercise price equal to $15.86, the Company's closing stock price on February 28, 2025. On May 8, 2025, the Company exercised its ability to draw the Tranche C loan under the Perceptive Term Loan Facility for $10.0 million. As consideration for drawing the Tranche C Loan, the Company agreed to modify the previously agreed upon per share exercise price of $ 15.86 for the Tranche C Warrants to a new per share exercise of $8.382, which was equal to the 10-day VWAP of the Company’s common stock on May 9, 2025, the business day immediately preceding the Tranche C Loan borrowing date. In connection with the Tranche C draw, the Company remeasured the Tranche C Warrants through the Tranche C borrowing date and recorded a loss of $0.3 million as a change in fair value of warrant liability through the statement of operations and, subsequently, reclassified the fair value to additional paid-in capital.</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Other income, net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 xml:space="preserve">During the year ended December 31, 2025, the Company recorded other income, net of $0.6 million primarily related to interest and other income. During the year ended December 31, 2024, </w:t>
      </w:r>
      <w:r>
        <w:rPr>
          <w:rFonts w:ascii="Times New Roman" w:cs="Times New Roman" w:eastAsia="Times New Roman" w:hAnsi="Times New Roman"/>
          <w:sz w:val="19"/>
          <w:szCs w:val="19"/>
          <w:color w:val="231F20"/>
        </w:rPr>
        <w:t>the Company recorded other income, net of $0.1 million. The other income,</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19"/>
          <w:szCs w:val="19"/>
          <w:color w:val="231F20"/>
        </w:rPr>
        <w:t>net for the year ended December 31, 2024 was comprised of $0.8 million of interest and other income, offset by the reduction of approximately $0.7 million of deferred offering costs as a result of changes in the probability of our ability to fully utilize the Lincoln Park Capital equity facility prior to the termination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Liquidity and Capital Resources</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Thus far in our operating history, we have yet to generate annual positive cash flows from operations. We have funded our operations to date principally from net proceeds from the sale of our common stock, the sale of convertible preferred stock, revenue from diagnostic testing and services, and the incurrence of indebtedness.</w:t>
      </w:r>
    </w:p>
    <w:p>
      <w:pPr>
        <w:spacing w:after="0" w:line="6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Company amended the Indi APA agreement in April 2022 in which all parties agreed to restructure the milestone payments whereby the Company would make five quarterly installments of $2.0 million each beginning in April 2022, three quarterly installments of $3.0 million beginning in July 2023, one installment of $ 5.0 million in April 2024, and one installment of approximately $8.4 million in July 2024. In addition, the Company agreed to an exit fee of approximately $6.1 million in October 2024. Interest accrued on the difference between the payment schedule as agreed in the August 2021 amendment and the April 2022 amended payment schedule, at an aggregate per annum rate equal to 10%, with such interest to be payable quarterly on the following installment payment date. The exit fee was paid on September 30, 2024, and the Company has no remaining obligations to Indi.</w:t>
      </w:r>
    </w:p>
    <w:p>
      <w:pPr>
        <w:spacing w:after="0" w:line="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On November 21, 2022, the Company entered into a Credit Agreement and Guaranty (the Credit Agreement) with Perceptive Credit Holdings IV, LP (Perceptive) as lender and administrative agent (the Lender) for up to $50.0 million, with funding of $30.0 million and the issuance of warrants exercisable into 150,000 shares of the Company’s common stock occurring on November 21, 2022, and two additional contingently issuable tranches of $10.0 million each subject to certain terms and conditions, including revenue milestones. During the three months ended December 31, 2023, the Company met the conditions precedent associated with the Tranche B Loan and, on December 15, 2023, the Company exercised its ability to draw the Tranche B loan for $ 10.0 million (the Tranche B Loan). The Tranche C loan had a prior commitment date through September 30, 2024 and, as of that date, the Company did not exercise its ability to draw the Tranche C loan (see below for further details related to the Fifth Amendment).</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On April 9, 2024, the Company closed an underwritten offering of common stock and a concurrent private placement. Collectively, the Company raised net proceeds of approximately $51.3 million.</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October 30, 2024 (the Fourth Amendment Effective Date), the Company entered into the Fourth Amendment to the Credit Agreement (the Fourth Amendment) with Perceptive, whereby subject to the terms and conditions of the Fourth Amendment, the Minimum Net Revenue Covenant (as defined in the Credit Agreement) was amended to reduce the relevant threshold as of the last day of each fiscal quarter commencing on the fiscal quarter ending June 30, 2025 through and including the fiscal quarter ending December 31, 2027.</w:t>
      </w:r>
    </w:p>
    <w:p>
      <w:pPr>
        <w:sectPr>
          <w:pgSz w:w="11880" w:h="15480" w:orient="portrait"/>
          <w:cols w:equalWidth="0" w:num="1">
            <w:col w:w="10800"/>
          </w:cols>
          <w:pgMar w:left="540" w:top="750" w:right="540" w:bottom="0" w:gutter="0" w:footer="0" w:header="0"/>
        </w:sect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75</w:t>
      </w:r>
    </w:p>
    <w:p>
      <w:pPr>
        <w:sectPr>
          <w:pgSz w:w="11880" w:h="15480" w:orient="portrait"/>
          <w:cols w:equalWidth="0" w:num="1">
            <w:col w:w="10800"/>
          </w:cols>
          <w:pgMar w:left="540" w:top="750" w:right="540" w:bottom="0" w:gutter="0" w:footer="0" w:header="0"/>
          <w:type w:val="continuous"/>
        </w:sectPr>
      </w:pPr>
    </w:p>
    <w:bookmarkStart w:id="77" w:name="page78"/>
    <w:bookmarkEnd w:id="77"/>
    <w:p>
      <w:pPr>
        <w:jc w:val="both"/>
        <w:spacing w:after="0" w:line="242" w:lineRule="auto"/>
        <w:rPr>
          <w:sz w:val="20"/>
          <w:szCs w:val="20"/>
          <w:color w:val="auto"/>
        </w:rPr>
      </w:pPr>
      <w:r>
        <w:rPr>
          <w:rFonts w:ascii="Times New Roman" w:cs="Times New Roman" w:eastAsia="Times New Roman" w:hAnsi="Times New Roman"/>
          <w:sz w:val="20"/>
          <w:szCs w:val="20"/>
          <w:color w:val="231F20"/>
        </w:rPr>
        <w:t>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The shares of common stock offered pursuant to the 2024 ATM Program will be offered and sold by the Company pursuant to its registration statement on Form S-3 which became effective with the SEC on November 12, 2024. The Company will pay the agent a commission rate of up to 3% of the gross sales proceeds of any shares sold and has agreed to provide the sales agents with customary indemnification, contribution and reimbursement rights.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During the year ended December 31, 2025, the Company raised approximately $7.3 million ( $7.0 million after deducting underwriting discounts and commissions and offering expenses payable), in gross proceeds from the sale of 892,841 common shares at a weighted average price per share of $8.20. As of December 31, 2025, the Company had remaining available capacity for share issuances of up to $42.7 million under the 2024 ATM Program, subject to the restrictions and limitations of the facility, as well as volume limitations under applicable SEC rules and regulations that may limit the availability of the 2024 ATM Program as a source of funding, depending on current public float.</w:t>
      </w:r>
    </w:p>
    <w:p>
      <w:pPr>
        <w:spacing w:after="0" w:line="9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February 28, 2025 (the Fifth Amendment Effective Date), the Company entered into the Fifth Amendment to the Credit Agreement (the Fifth Amendment) with Perceptive, whereby 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 million through December 31, 2025. On May 8, 2025, the Company exercised its ability to draw the Tranche C loan for $10.0 million.</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March 24, 2025, the Company received written notice from the Listing Qualifications Staff (the Staff) of Nasdaq notifying the Company that it no longer complied with the minimum bid price requirement for continued listing on The Nasdaq Global Market. On September 15, 2025, the Company effected a 1-for-20 reverse stock split and on September 26, 2025, the Company received a letter from the Staff notifying the Company that it had regained compliance with the minimum bid price requirement for continued listing on The Nasdaq Global Market, and the matter is now closed.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36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231F20"/>
              </w:rPr>
              <w:t>Cash Flows</w:t>
            </w:r>
          </w:p>
        </w:tc>
        <w:tc>
          <w:tcPr>
            <w:tcW w:w="3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350"/>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231F20"/>
              </w:rPr>
              <w:t>The following summarizes our cash flows for the periods indicated (in thousands):</w:t>
            </w: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3"/>
        </w:trPr>
        <w:tc>
          <w:tcPr>
            <w:tcW w:w="7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gridSpan w:val="5"/>
          </w:tcPr>
          <w:p>
            <w:pPr>
              <w:jc w:val="right"/>
              <w:ind w:right="64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r>
      <w:tr>
        <w:trPr>
          <w:trHeight w:val="239"/>
        </w:trPr>
        <w:tc>
          <w:tcPr>
            <w:tcW w:w="7360" w:type="dxa"/>
            <w:vAlign w:val="bottom"/>
            <w:tcBorders>
              <w:bottom w:val="single" w:sz="8" w:color="E3E4E5"/>
            </w:tcBorders>
          </w:tcPr>
          <w:p>
            <w:pPr>
              <w:spacing w:after="0"/>
              <w:rPr>
                <w:sz w:val="20"/>
                <w:szCs w:val="20"/>
                <w:color w:val="auto"/>
              </w:rPr>
            </w:pPr>
          </w:p>
        </w:tc>
        <w:tc>
          <w:tcPr>
            <w:tcW w:w="320" w:type="dxa"/>
            <w:vAlign w:val="bottom"/>
            <w:tcBorders>
              <w:top w:val="single" w:sz="8" w:color="231F20"/>
              <w:bottom w:val="single" w:sz="8" w:color="231F20"/>
            </w:tcBorders>
          </w:tcPr>
          <w:p>
            <w:pPr>
              <w:spacing w:after="0"/>
              <w:rPr>
                <w:sz w:val="20"/>
                <w:szCs w:val="20"/>
                <w:color w:val="auto"/>
              </w:rPr>
            </w:pPr>
          </w:p>
        </w:tc>
        <w:tc>
          <w:tcPr>
            <w:tcW w:w="1220" w:type="dxa"/>
            <w:vAlign w:val="bottom"/>
            <w:tcBorders>
              <w:top w:val="single" w:sz="8" w:color="231F20"/>
              <w:bottom w:val="single" w:sz="8" w:color="231F20"/>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80" w:type="dxa"/>
            <w:vAlign w:val="bottom"/>
            <w:tcBorders>
              <w:top w:val="single" w:sz="8" w:color="231F20"/>
              <w:bottom w:val="single" w:sz="8" w:color="E3E4E5"/>
            </w:tcBorders>
          </w:tcPr>
          <w:p>
            <w:pPr>
              <w:spacing w:after="0"/>
              <w:rPr>
                <w:sz w:val="20"/>
                <w:szCs w:val="20"/>
                <w:color w:val="auto"/>
              </w:rPr>
            </w:pPr>
          </w:p>
        </w:tc>
        <w:tc>
          <w:tcPr>
            <w:tcW w:w="340" w:type="dxa"/>
            <w:vAlign w:val="bottom"/>
            <w:tcBorders>
              <w:top w:val="single" w:sz="8" w:color="231F20"/>
              <w:bottom w:val="single" w:sz="8" w:color="231F20"/>
            </w:tcBorders>
          </w:tcPr>
          <w:p>
            <w:pPr>
              <w:spacing w:after="0"/>
              <w:rPr>
                <w:sz w:val="20"/>
                <w:szCs w:val="20"/>
                <w:color w:val="auto"/>
              </w:rPr>
            </w:pPr>
          </w:p>
        </w:tc>
        <w:tc>
          <w:tcPr>
            <w:tcW w:w="1200" w:type="dxa"/>
            <w:vAlign w:val="bottom"/>
            <w:tcBorders>
              <w:top w:val="single" w:sz="8" w:color="231F20"/>
              <w:bottom w:val="single" w:sz="8" w:color="231F20"/>
            </w:tcBorders>
          </w:tcPr>
          <w:p>
            <w:pPr>
              <w:jc w:val="right"/>
              <w:ind w:right="48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E3E4E5"/>
            </w:tcBorders>
          </w:tcPr>
          <w:p>
            <w:pPr>
              <w:spacing w:after="0"/>
              <w:rPr>
                <w:sz w:val="20"/>
                <w:szCs w:val="20"/>
                <w:color w:val="auto"/>
              </w:rPr>
            </w:pPr>
          </w:p>
        </w:tc>
      </w:tr>
      <w:tr>
        <w:trPr>
          <w:trHeight w:val="225"/>
        </w:trPr>
        <w:tc>
          <w:tcPr>
            <w:tcW w:w="7360" w:type="dxa"/>
            <w:vAlign w:val="bottom"/>
            <w:shd w:val="clear" w:color="auto" w:fill="E3E4E5"/>
          </w:tcPr>
          <w:p>
            <w:pPr>
              <w:spacing w:after="0" w:line="225" w:lineRule="exact"/>
              <w:rPr>
                <w:sz w:val="20"/>
                <w:szCs w:val="20"/>
                <w:color w:val="auto"/>
              </w:rPr>
            </w:pPr>
            <w:r>
              <w:rPr>
                <w:rFonts w:ascii="Times New Roman" w:cs="Times New Roman" w:eastAsia="Times New Roman" w:hAnsi="Times New Roman"/>
                <w:sz w:val="20"/>
                <w:szCs w:val="20"/>
                <w:color w:val="414142"/>
              </w:rPr>
              <w:t>Net cash flows (used in) provided by:</w:t>
            </w:r>
          </w:p>
        </w:tc>
        <w:tc>
          <w:tcPr>
            <w:tcW w:w="320" w:type="dxa"/>
            <w:vAlign w:val="bottom"/>
            <w:shd w:val="clear" w:color="auto" w:fill="E3E4E5"/>
          </w:tcPr>
          <w:p>
            <w:pPr>
              <w:spacing w:after="0"/>
              <w:rPr>
                <w:sz w:val="19"/>
                <w:szCs w:val="19"/>
                <w:color w:val="auto"/>
              </w:rPr>
            </w:pPr>
          </w:p>
        </w:tc>
        <w:tc>
          <w:tcPr>
            <w:tcW w:w="1220" w:type="dxa"/>
            <w:vAlign w:val="bottom"/>
            <w:shd w:val="clear" w:color="auto" w:fill="E3E4E5"/>
          </w:tcPr>
          <w:p>
            <w:pPr>
              <w:spacing w:after="0"/>
              <w:rPr>
                <w:sz w:val="19"/>
                <w:szCs w:val="19"/>
                <w:color w:val="auto"/>
              </w:rPr>
            </w:pPr>
          </w:p>
        </w:tc>
        <w:tc>
          <w:tcPr>
            <w:tcW w:w="280" w:type="dxa"/>
            <w:vAlign w:val="bottom"/>
            <w:shd w:val="clear" w:color="auto" w:fill="E3E4E5"/>
          </w:tcPr>
          <w:p>
            <w:pPr>
              <w:spacing w:after="0"/>
              <w:rPr>
                <w:sz w:val="19"/>
                <w:szCs w:val="19"/>
                <w:color w:val="auto"/>
              </w:rPr>
            </w:pPr>
          </w:p>
        </w:tc>
        <w:tc>
          <w:tcPr>
            <w:tcW w:w="340" w:type="dxa"/>
            <w:vAlign w:val="bottom"/>
            <w:shd w:val="clear" w:color="auto" w:fill="E3E4E5"/>
          </w:tcPr>
          <w:p>
            <w:pPr>
              <w:spacing w:after="0"/>
              <w:rPr>
                <w:sz w:val="19"/>
                <w:szCs w:val="19"/>
                <w:color w:val="auto"/>
              </w:rPr>
            </w:pPr>
          </w:p>
        </w:tc>
        <w:tc>
          <w:tcPr>
            <w:tcW w:w="120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r>
      <w:tr>
        <w:trPr>
          <w:trHeight w:val="230"/>
        </w:trPr>
        <w:tc>
          <w:tcPr>
            <w:tcW w:w="73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activities</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(23,271)</w:t>
            </w:r>
          </w:p>
        </w:tc>
        <w:tc>
          <w:tcPr>
            <w:tcW w:w="280" w:type="dxa"/>
            <w:vAlign w:val="bottom"/>
          </w:tcPr>
          <w:p>
            <w:pPr>
              <w:spacing w:after="0"/>
              <w:rPr>
                <w:sz w:val="20"/>
                <w:szCs w:val="20"/>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(48,649)</w:t>
            </w:r>
          </w:p>
        </w:tc>
        <w:tc>
          <w:tcPr>
            <w:tcW w:w="80" w:type="dxa"/>
            <w:vAlign w:val="bottom"/>
          </w:tcPr>
          <w:p>
            <w:pPr>
              <w:spacing w:after="0"/>
              <w:rPr>
                <w:sz w:val="20"/>
                <w:szCs w:val="20"/>
                <w:color w:val="auto"/>
              </w:rPr>
            </w:pPr>
          </w:p>
        </w:tc>
      </w:tr>
      <w:tr>
        <w:trPr>
          <w:trHeight w:val="230"/>
        </w:trPr>
        <w:tc>
          <w:tcPr>
            <w:tcW w:w="736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Investing activities</w:t>
            </w:r>
          </w:p>
        </w:tc>
        <w:tc>
          <w:tcPr>
            <w:tcW w:w="320" w:type="dxa"/>
            <w:vAlign w:val="bottom"/>
            <w:shd w:val="clear" w:color="auto" w:fill="E3E4E5"/>
          </w:tcPr>
          <w:p>
            <w:pPr>
              <w:spacing w:after="0"/>
              <w:rPr>
                <w:sz w:val="20"/>
                <w:szCs w:val="20"/>
                <w:color w:val="auto"/>
              </w:rPr>
            </w:pPr>
          </w:p>
        </w:tc>
        <w:tc>
          <w:tcPr>
            <w:tcW w:w="1500" w:type="dxa"/>
            <w:vAlign w:val="bottom"/>
            <w:gridSpan w:val="2"/>
            <w:shd w:val="clear" w:color="auto" w:fill="E3E4E5"/>
          </w:tcPr>
          <w:p>
            <w:pPr>
              <w:jc w:val="right"/>
              <w:ind w:right="220"/>
              <w:spacing w:after="0"/>
              <w:rPr>
                <w:sz w:val="20"/>
                <w:szCs w:val="20"/>
                <w:color w:val="auto"/>
              </w:rPr>
            </w:pPr>
            <w:r>
              <w:rPr>
                <w:rFonts w:ascii="Times New Roman" w:cs="Times New Roman" w:eastAsia="Times New Roman" w:hAnsi="Times New Roman"/>
                <w:sz w:val="20"/>
                <w:szCs w:val="20"/>
                <w:color w:val="414142"/>
              </w:rPr>
              <w:t>(403)</w:t>
            </w:r>
          </w:p>
        </w:tc>
        <w:tc>
          <w:tcPr>
            <w:tcW w:w="340" w:type="dxa"/>
            <w:vAlign w:val="bottom"/>
            <w:shd w:val="clear" w:color="auto" w:fill="E3E4E5"/>
          </w:tcPr>
          <w:p>
            <w:pPr>
              <w:spacing w:after="0"/>
              <w:rPr>
                <w:sz w:val="20"/>
                <w:szCs w:val="20"/>
                <w:color w:val="auto"/>
              </w:rPr>
            </w:pPr>
          </w:p>
        </w:tc>
        <w:tc>
          <w:tcPr>
            <w:tcW w:w="12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(3,440)</w:t>
            </w:r>
          </w:p>
        </w:tc>
      </w:tr>
      <w:tr>
        <w:trPr>
          <w:trHeight w:val="230"/>
        </w:trPr>
        <w:tc>
          <w:tcPr>
            <w:tcW w:w="7360" w:type="dxa"/>
            <w:vAlign w:val="bottom"/>
            <w:tcBorders>
              <w:bottom w:val="single" w:sz="8" w:color="E3E4E5"/>
            </w:tcBorders>
          </w:tcPr>
          <w:p>
            <w:pPr>
              <w:ind w:left="200"/>
              <w:spacing w:after="0"/>
              <w:rPr>
                <w:sz w:val="20"/>
                <w:szCs w:val="20"/>
                <w:color w:val="auto"/>
              </w:rPr>
            </w:pPr>
            <w:r>
              <w:rPr>
                <w:rFonts w:ascii="Times New Roman" w:cs="Times New Roman" w:eastAsia="Times New Roman" w:hAnsi="Times New Roman"/>
                <w:sz w:val="20"/>
                <w:szCs w:val="20"/>
                <w:color w:val="231F20"/>
              </w:rPr>
              <w:t>Financing activities</w:t>
            </w:r>
          </w:p>
        </w:tc>
        <w:tc>
          <w:tcPr>
            <w:tcW w:w="320" w:type="dxa"/>
            <w:vAlign w:val="bottom"/>
            <w:tcBorders>
              <w:bottom w:val="single" w:sz="8" w:color="231F20"/>
            </w:tcBorders>
          </w:tcPr>
          <w:p>
            <w:pPr>
              <w:spacing w:after="0"/>
              <w:rPr>
                <w:sz w:val="20"/>
                <w:szCs w:val="20"/>
                <w:color w:val="auto"/>
              </w:rPr>
            </w:pPr>
          </w:p>
        </w:tc>
        <w:tc>
          <w:tcPr>
            <w:tcW w:w="12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16,417</w:t>
            </w:r>
          </w:p>
        </w:tc>
        <w:tc>
          <w:tcPr>
            <w:tcW w:w="280" w:type="dxa"/>
            <w:vAlign w:val="bottom"/>
            <w:tcBorders>
              <w:bottom w:val="single" w:sz="8" w:color="E3E4E5"/>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52,050</w:t>
            </w:r>
          </w:p>
        </w:tc>
        <w:tc>
          <w:tcPr>
            <w:tcW w:w="80" w:type="dxa"/>
            <w:vAlign w:val="bottom"/>
            <w:tcBorders>
              <w:bottom w:val="single" w:sz="8" w:color="E3E4E5"/>
            </w:tcBorders>
          </w:tcPr>
          <w:p>
            <w:pPr>
              <w:spacing w:after="0"/>
              <w:rPr>
                <w:sz w:val="20"/>
                <w:szCs w:val="20"/>
                <w:color w:val="auto"/>
              </w:rPr>
            </w:pPr>
          </w:p>
        </w:tc>
      </w:tr>
      <w:tr>
        <w:trPr>
          <w:trHeight w:val="225"/>
        </w:trPr>
        <w:tc>
          <w:tcPr>
            <w:tcW w:w="7360" w:type="dxa"/>
            <w:vAlign w:val="bottom"/>
            <w:shd w:val="clear" w:color="auto" w:fill="E3E4E5"/>
          </w:tcPr>
          <w:p>
            <w:pPr>
              <w:spacing w:after="0" w:line="225" w:lineRule="exact"/>
              <w:rPr>
                <w:sz w:val="20"/>
                <w:szCs w:val="20"/>
                <w:color w:val="auto"/>
              </w:rPr>
            </w:pPr>
            <w:r>
              <w:rPr>
                <w:rFonts w:ascii="Times New Roman" w:cs="Times New Roman" w:eastAsia="Times New Roman" w:hAnsi="Times New Roman"/>
                <w:sz w:val="20"/>
                <w:szCs w:val="20"/>
                <w:color w:val="414142"/>
              </w:rPr>
              <w:t>Net decrease in cash and cash equivalents and restricted cash</w:t>
            </w:r>
          </w:p>
        </w:tc>
        <w:tc>
          <w:tcPr>
            <w:tcW w:w="320" w:type="dxa"/>
            <w:vAlign w:val="bottom"/>
            <w:tcBorders>
              <w:bottom w:val="single" w:sz="8" w:color="231F20"/>
            </w:tcBorders>
            <w:shd w:val="clear" w:color="auto" w:fill="E3E4E5"/>
          </w:tcPr>
          <w:p>
            <w:pPr>
              <w:jc w:val="right"/>
              <w:ind w:right="120"/>
              <w:spacing w:after="0" w:line="225" w:lineRule="exact"/>
              <w:rPr>
                <w:sz w:val="20"/>
                <w:szCs w:val="20"/>
                <w:color w:val="auto"/>
              </w:rPr>
            </w:pPr>
            <w:r>
              <w:rPr>
                <w:rFonts w:ascii="Times New Roman" w:cs="Times New Roman" w:eastAsia="Times New Roman" w:hAnsi="Times New Roman"/>
                <w:sz w:val="20"/>
                <w:szCs w:val="20"/>
                <w:color w:val="414142"/>
                <w:w w:val="79"/>
              </w:rPr>
              <w:t>$</w:t>
            </w:r>
          </w:p>
        </w:tc>
        <w:tc>
          <w:tcPr>
            <w:tcW w:w="1220" w:type="dxa"/>
            <w:vAlign w:val="bottom"/>
            <w:tcBorders>
              <w:bottom w:val="single" w:sz="8" w:color="231F20"/>
            </w:tcBorders>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(7,257)</w:t>
            </w:r>
          </w:p>
        </w:tc>
        <w:tc>
          <w:tcPr>
            <w:tcW w:w="280" w:type="dxa"/>
            <w:vAlign w:val="bottom"/>
            <w:shd w:val="clear" w:color="auto" w:fill="E3E4E5"/>
          </w:tcPr>
          <w:p>
            <w:pPr>
              <w:spacing w:after="0"/>
              <w:rPr>
                <w:sz w:val="19"/>
                <w:szCs w:val="19"/>
                <w:color w:val="auto"/>
              </w:rPr>
            </w:pPr>
          </w:p>
        </w:tc>
        <w:tc>
          <w:tcPr>
            <w:tcW w:w="340" w:type="dxa"/>
            <w:vAlign w:val="bottom"/>
            <w:tcBorders>
              <w:bottom w:val="single" w:sz="8" w:color="231F20"/>
            </w:tcBorders>
            <w:shd w:val="clear" w:color="auto" w:fill="E3E4E5"/>
          </w:tcPr>
          <w:p>
            <w:pPr>
              <w:jc w:val="right"/>
              <w:ind w:right="140"/>
              <w:spacing w:after="0" w:line="225" w:lineRule="exact"/>
              <w:rPr>
                <w:sz w:val="20"/>
                <w:szCs w:val="20"/>
                <w:color w:val="auto"/>
              </w:rPr>
            </w:pPr>
            <w:r>
              <w:rPr>
                <w:rFonts w:ascii="Times New Roman" w:cs="Times New Roman" w:eastAsia="Times New Roman" w:hAnsi="Times New Roman"/>
                <w:sz w:val="20"/>
                <w:szCs w:val="20"/>
                <w:color w:val="414142"/>
                <w:w w:val="79"/>
              </w:rPr>
              <w:t>$</w:t>
            </w:r>
          </w:p>
        </w:tc>
        <w:tc>
          <w:tcPr>
            <w:tcW w:w="1200" w:type="dxa"/>
            <w:vAlign w:val="bottom"/>
            <w:tcBorders>
              <w:bottom w:val="single" w:sz="8" w:color="231F20"/>
            </w:tcBorders>
            <w:shd w:val="clear" w:color="auto" w:fill="E3E4E5"/>
          </w:tcPr>
          <w:p>
            <w:pPr>
              <w:jc w:val="right"/>
              <w:spacing w:after="0" w:line="225" w:lineRule="exact"/>
              <w:rPr>
                <w:sz w:val="20"/>
                <w:szCs w:val="20"/>
                <w:color w:val="auto"/>
              </w:rPr>
            </w:pPr>
            <w:r>
              <w:rPr>
                <w:rFonts w:ascii="Times New Roman" w:cs="Times New Roman" w:eastAsia="Times New Roman" w:hAnsi="Times New Roman"/>
                <w:sz w:val="20"/>
                <w:szCs w:val="20"/>
                <w:color w:val="414142"/>
              </w:rPr>
              <w:t>(39)</w:t>
            </w:r>
          </w:p>
        </w:tc>
        <w:tc>
          <w:tcPr>
            <w:tcW w:w="80" w:type="dxa"/>
            <w:vAlign w:val="bottom"/>
            <w:shd w:val="clear" w:color="auto" w:fill="E3E4E5"/>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320" w:type="dxa"/>
            <w:vAlign w:val="bottom"/>
            <w:tcBorders>
              <w:bottom w:val="single" w:sz="8" w:color="231F20"/>
            </w:tcBorders>
          </w:tcPr>
          <w:p>
            <w:pPr>
              <w:spacing w:after="0" w:line="20" w:lineRule="exact"/>
              <w:rPr>
                <w:sz w:val="1"/>
                <w:szCs w:val="1"/>
                <w:color w:val="auto"/>
              </w:rPr>
            </w:pPr>
          </w:p>
        </w:tc>
        <w:tc>
          <w:tcPr>
            <w:tcW w:w="1220" w:type="dxa"/>
            <w:vAlign w:val="bottom"/>
            <w:tcBorders>
              <w:bottom w:val="single" w:sz="8" w:color="231F2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-193040</wp:posOffset>
            </wp:positionV>
            <wp:extent cx="2167890"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extLst>
                        <a:ext uri="{28A0092B-C50C-407E-A947-70E740481C1C}"/>
                      </a:extLst>
                    </a:blip>
                    <a:srcRect/>
                    <a:stretch>
                      <a:fillRect/>
                    </a:stretch>
                  </pic:blipFill>
                  <pic:spPr bwMode="auto">
                    <a:xfrm>
                      <a:off x="0" y="0"/>
                      <a:ext cx="2167890" cy="38100"/>
                    </a:xfrm>
                    <a:prstGeom prst="rect">
                      <a:avLst/>
                    </a:prstGeom>
                    <a:noFill/>
                  </pic:spPr>
                </pic:pic>
              </a:graphicData>
            </a:graphic>
          </wp:anchor>
        </w:drawing>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Our cash flows resulted in a net decrease in cash and cash equivalents and restricted cash of $7.3 million during the year ended December 31, 2025 as compared to the net decrease in cash of $39 thousand for the year ended December 31, 2024. For the year ended December 31, 2025, net cash used in operating activities totaled $23.3 million, a decrease of approximately $25.4 million compared to the same period in 2024 primarily due to favorable changes in net working capital of $22.0 million, which includes a decrease of $ 23.2 million in payments made for contingent consideration. This is partially offset by a change in net working capital for the timing of cash receipts from customers and payments to vendors of $1.2 million.</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Net cash used in investing activities during the year ended December 31, 2025 totaled $0.4 million, a decrease of $3.0 million compared to the same period in 2024. The decrease in net cash used in investing activities was primarily due to decreases in purchases of property and equipment and capital expenditures.</w:t>
      </w:r>
    </w:p>
    <w:p>
      <w:pPr>
        <w:spacing w:after="0" w:line="6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Net cash provided by financing activities during the year ended December 31, 2025 totaled $16.4 million, a decrease of $35.6 million compared to the same period in 2024. The net cash provided by financing activities for the year ended December 31, 2025 primarily resulted from $10.0 million in proceeds from the issuance of Tranche C under the Perceptive Term Loan Facility, $7.3 million in proceeds from the issuance of common stock under our ATM facility, and $0.5 million in proceeds from our ESPP, partially offset by payments of $0.8 million associated with our finance lease obligations and $ 0.5 million in equity financing costs. The net cash provided by financing activities for the year ended December 31, 2024 primarily resulted from $51.3 million in net proceeds from the issuance of common stock from an underwritten offering of common stock and a concurrent private placement and $0.6 million from the issuance of common stock under the ESPP.</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76</w:t>
      </w:r>
    </w:p>
    <w:p>
      <w:pPr>
        <w:sectPr>
          <w:pgSz w:w="11880" w:h="15480" w:orient="portrait"/>
          <w:cols w:equalWidth="0" w:num="1">
            <w:col w:w="10800"/>
          </w:cols>
          <w:pgMar w:left="540" w:top="750" w:right="54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231F20"/>
        </w:rPr>
        <w:t>Contractual Obligations and Commitments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231F20"/>
        </w:rPr>
        <w:t>The following table summarizes our non-cancelable contractual obligations and commitments as of December 31, 2025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99"/>
        </w:trPr>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380" w:type="dxa"/>
            <w:vAlign w:val="bottom"/>
            <w:gridSpan w:val="9"/>
          </w:tcPr>
          <w:p>
            <w:pPr>
              <w:jc w:val="right"/>
              <w:ind w:right="600"/>
              <w:spacing w:after="0"/>
              <w:rPr>
                <w:sz w:val="20"/>
                <w:szCs w:val="20"/>
                <w:color w:val="auto"/>
              </w:rPr>
            </w:pPr>
            <w:r>
              <w:rPr>
                <w:rFonts w:ascii="Times New Roman" w:cs="Times New Roman" w:eastAsia="Times New Roman" w:hAnsi="Times New Roman"/>
                <w:sz w:val="20"/>
                <w:szCs w:val="20"/>
                <w:b w:val="1"/>
                <w:bCs w:val="1"/>
                <w:color w:val="231F20"/>
              </w:rPr>
              <w:t xml:space="preserve">Payments due by period </w:t>
            </w:r>
            <w:r>
              <w:rPr>
                <w:rFonts w:ascii="Times New Roman" w:cs="Times New Roman" w:eastAsia="Times New Roman" w:hAnsi="Times New Roman"/>
                <w:sz w:val="26"/>
                <w:szCs w:val="26"/>
                <w:b w:val="1"/>
                <w:bCs w:val="1"/>
                <w:color w:val="231F20"/>
                <w:vertAlign w:val="superscript"/>
              </w:rPr>
              <w:t>(1)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r>
      <w:tr>
        <w:trPr>
          <w:trHeight w:val="216"/>
        </w:trPr>
        <w:tc>
          <w:tcPr>
            <w:tcW w:w="4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gridSpan w:val="2"/>
          </w:tcPr>
          <w:p>
            <w:pPr>
              <w:jc w:val="right"/>
              <w:ind w:right="100"/>
              <w:spacing w:after="0" w:line="215" w:lineRule="exact"/>
              <w:rPr>
                <w:sz w:val="20"/>
                <w:szCs w:val="20"/>
                <w:color w:val="auto"/>
              </w:rPr>
            </w:pPr>
            <w:r>
              <w:rPr>
                <w:rFonts w:ascii="Times New Roman" w:cs="Times New Roman" w:eastAsia="Times New Roman" w:hAnsi="Times New Roman"/>
                <w:sz w:val="20"/>
                <w:szCs w:val="20"/>
                <w:b w:val="1"/>
                <w:bCs w:val="1"/>
                <w:color w:val="231F20"/>
              </w:rPr>
              <w:t>Less than</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ind w:right="280"/>
              <w:spacing w:after="0" w:line="215" w:lineRule="exact"/>
              <w:rPr>
                <w:sz w:val="20"/>
                <w:szCs w:val="20"/>
                <w:color w:val="auto"/>
              </w:rPr>
            </w:pPr>
            <w:r>
              <w:rPr>
                <w:rFonts w:ascii="Times New Roman" w:cs="Times New Roman" w:eastAsia="Times New Roman" w:hAnsi="Times New Roman"/>
                <w:sz w:val="20"/>
                <w:szCs w:val="20"/>
                <w:b w:val="1"/>
                <w:bCs w:val="1"/>
                <w:color w:val="231F20"/>
              </w:rPr>
              <w:t>1 to 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280"/>
              <w:spacing w:after="0" w:line="215" w:lineRule="exact"/>
              <w:rPr>
                <w:sz w:val="20"/>
                <w:szCs w:val="20"/>
                <w:color w:val="auto"/>
              </w:rPr>
            </w:pPr>
            <w:r>
              <w:rPr>
                <w:rFonts w:ascii="Times New Roman" w:cs="Times New Roman" w:eastAsia="Times New Roman" w:hAnsi="Times New Roman"/>
                <w:sz w:val="20"/>
                <w:szCs w:val="20"/>
                <w:b w:val="1"/>
                <w:bCs w:val="1"/>
                <w:color w:val="231F20"/>
              </w:rPr>
              <w:t>4 to 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gridSpan w:val="2"/>
          </w:tcPr>
          <w:p>
            <w:pPr>
              <w:jc w:val="center"/>
              <w:spacing w:after="0" w:line="215" w:lineRule="exact"/>
              <w:rPr>
                <w:sz w:val="20"/>
                <w:szCs w:val="20"/>
                <w:color w:val="auto"/>
              </w:rPr>
            </w:pPr>
            <w:r>
              <w:rPr>
                <w:rFonts w:ascii="Times New Roman" w:cs="Times New Roman" w:eastAsia="Times New Roman" w:hAnsi="Times New Roman"/>
                <w:sz w:val="20"/>
                <w:szCs w:val="20"/>
                <w:b w:val="1"/>
                <w:bCs w:val="1"/>
                <w:color w:val="231F20"/>
                <w:w w:val="99"/>
              </w:rPr>
              <w:t>More than</w:t>
            </w:r>
          </w:p>
        </w:tc>
        <w:tc>
          <w:tcPr>
            <w:tcW w:w="60" w:type="dxa"/>
            <w:vAlign w:val="bottom"/>
          </w:tcPr>
          <w:p>
            <w:pPr>
              <w:spacing w:after="0"/>
              <w:rPr>
                <w:sz w:val="18"/>
                <w:szCs w:val="18"/>
                <w:color w:val="auto"/>
              </w:rPr>
            </w:pPr>
          </w:p>
        </w:tc>
      </w:tr>
      <w:tr>
        <w:trPr>
          <w:trHeight w:val="253"/>
        </w:trPr>
        <w:tc>
          <w:tcPr>
            <w:tcW w:w="4860" w:type="dxa"/>
            <w:vAlign w:val="bottom"/>
            <w:tcBorders>
              <w:bottom w:val="single" w:sz="8" w:color="E3E4E5"/>
            </w:tcBorders>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Total</w:t>
            </w:r>
          </w:p>
        </w:tc>
        <w:tc>
          <w:tcPr>
            <w:tcW w:w="12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231F20"/>
              </w:rPr>
              <w:t>1 year</w:t>
            </w:r>
          </w:p>
        </w:tc>
        <w:tc>
          <w:tcPr>
            <w:tcW w:w="12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years</w:t>
            </w:r>
          </w:p>
        </w:tc>
        <w:tc>
          <w:tcPr>
            <w:tcW w:w="10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231F20"/>
              </w:rPr>
              <w:t>years</w:t>
            </w:r>
          </w:p>
        </w:tc>
        <w:tc>
          <w:tcPr>
            <w:tcW w:w="10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920" w:type="dxa"/>
            <w:vAlign w:val="bottom"/>
            <w:tcBorders>
              <w:bottom w:val="single" w:sz="8" w:color="231F20"/>
            </w:tcBorders>
            <w:gridSpan w:val="2"/>
          </w:tcPr>
          <w:p>
            <w:pPr>
              <w:jc w:val="center"/>
              <w:ind w:right="240"/>
              <w:spacing w:after="0"/>
              <w:rPr>
                <w:sz w:val="20"/>
                <w:szCs w:val="20"/>
                <w:color w:val="auto"/>
              </w:rPr>
            </w:pPr>
            <w:r>
              <w:rPr>
                <w:rFonts w:ascii="Times New Roman" w:cs="Times New Roman" w:eastAsia="Times New Roman" w:hAnsi="Times New Roman"/>
                <w:sz w:val="20"/>
                <w:szCs w:val="20"/>
                <w:b w:val="1"/>
                <w:bCs w:val="1"/>
                <w:color w:val="231F20"/>
                <w:w w:val="99"/>
              </w:rPr>
              <w:t>5 years</w:t>
            </w:r>
          </w:p>
        </w:tc>
      </w:tr>
      <w:tr>
        <w:trPr>
          <w:trHeight w:val="239"/>
        </w:trPr>
        <w:tc>
          <w:tcPr>
            <w:tcW w:w="4860" w:type="dxa"/>
            <w:vAlign w:val="bottom"/>
            <w:shd w:val="clear" w:color="auto" w:fill="E3E4E5"/>
          </w:tcPr>
          <w:p>
            <w:pPr>
              <w:spacing w:after="0" w:line="238" w:lineRule="exact"/>
              <w:rPr>
                <w:sz w:val="20"/>
                <w:szCs w:val="20"/>
                <w:color w:val="auto"/>
              </w:rPr>
            </w:pPr>
            <w:r>
              <w:rPr>
                <w:rFonts w:ascii="Times New Roman" w:cs="Times New Roman" w:eastAsia="Times New Roman" w:hAnsi="Times New Roman"/>
                <w:sz w:val="20"/>
                <w:szCs w:val="20"/>
                <w:color w:val="414142"/>
              </w:rPr>
              <w:t xml:space="preserve">Borrowings and interest </w:t>
            </w:r>
            <w:r>
              <w:rPr>
                <w:rFonts w:ascii="Times New Roman" w:cs="Times New Roman" w:eastAsia="Times New Roman" w:hAnsi="Times New Roman"/>
                <w:sz w:val="26"/>
                <w:szCs w:val="26"/>
                <w:color w:val="414142"/>
                <w:vertAlign w:val="superscript"/>
              </w:rPr>
              <w:t>(2)</w:t>
            </w:r>
          </w:p>
        </w:tc>
        <w:tc>
          <w:tcPr>
            <w:tcW w:w="20" w:type="dxa"/>
            <w:vAlign w:val="bottom"/>
          </w:tcPr>
          <w:p>
            <w:pPr>
              <w:spacing w:after="0"/>
              <w:rPr>
                <w:sz w:val="20"/>
                <w:szCs w:val="20"/>
                <w:color w:val="auto"/>
              </w:rPr>
            </w:pP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7"/>
                <w:szCs w:val="17"/>
                <w:color w:val="414142"/>
                <w:w w:val="70"/>
                <w:shd w:val="clear" w:color="auto" w:fill="E3E4E5"/>
              </w:rPr>
              <w:t>$</w:t>
            </w:r>
          </w:p>
        </w:tc>
        <w:tc>
          <w:tcPr>
            <w:tcW w:w="92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shd w:val="clear" w:color="auto" w:fill="E3E4E5"/>
              </w:rPr>
              <w:t>62,335</w:t>
            </w:r>
          </w:p>
        </w:tc>
        <w:tc>
          <w:tcPr>
            <w:tcW w:w="12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7"/>
                <w:szCs w:val="17"/>
                <w:color w:val="414142"/>
                <w:w w:val="70"/>
              </w:rPr>
              <w:t>$</w:t>
            </w:r>
          </w:p>
        </w:tc>
        <w:tc>
          <w:tcPr>
            <w:tcW w:w="94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6,444</w:t>
            </w:r>
          </w:p>
        </w:tc>
        <w:tc>
          <w:tcPr>
            <w:tcW w:w="12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7"/>
                <w:szCs w:val="17"/>
                <w:color w:val="414142"/>
                <w:w w:val="70"/>
                <w:shd w:val="clear" w:color="auto" w:fill="E3E4E5"/>
              </w:rPr>
              <w:t>$</w:t>
            </w:r>
          </w:p>
        </w:tc>
        <w:tc>
          <w:tcPr>
            <w:tcW w:w="92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shd w:val="clear" w:color="auto" w:fill="E3E4E5"/>
              </w:rPr>
              <w:t>55,891</w:t>
            </w:r>
          </w:p>
        </w:tc>
        <w:tc>
          <w:tcPr>
            <w:tcW w:w="10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80" w:type="dxa"/>
            <w:vAlign w:val="bottom"/>
            <w:shd w:val="clear" w:color="auto" w:fill="E3E4E5"/>
          </w:tcPr>
          <w:p>
            <w:pPr>
              <w:jc w:val="right"/>
              <w:ind w:right="15"/>
              <w:spacing w:after="0"/>
              <w:rPr>
                <w:sz w:val="20"/>
                <w:szCs w:val="20"/>
                <w:color w:val="auto"/>
              </w:rPr>
            </w:pPr>
            <w:r>
              <w:rPr>
                <w:rFonts w:ascii="Times New Roman" w:cs="Times New Roman" w:eastAsia="Times New Roman" w:hAnsi="Times New Roman"/>
                <w:sz w:val="17"/>
                <w:szCs w:val="17"/>
                <w:color w:val="414142"/>
                <w:w w:val="70"/>
              </w:rPr>
              <w:t>$</w:t>
            </w:r>
          </w:p>
        </w:tc>
        <w:tc>
          <w:tcPr>
            <w:tcW w:w="92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0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7"/>
                <w:szCs w:val="17"/>
                <w:color w:val="414142"/>
                <w:w w:val="70"/>
              </w:rPr>
              <w:t>$</w:t>
            </w:r>
          </w:p>
        </w:tc>
        <w:tc>
          <w:tcPr>
            <w:tcW w:w="920" w:type="dxa"/>
            <w:vAlign w:val="bottom"/>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14142"/>
              </w:rPr>
              <w:t>—</w:t>
            </w:r>
          </w:p>
        </w:tc>
      </w:tr>
      <w:tr>
        <w:trPr>
          <w:trHeight w:val="244"/>
        </w:trPr>
        <w:tc>
          <w:tcPr>
            <w:tcW w:w="486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obligations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41,323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4,165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8,692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8,935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19,531</w:t>
            </w:r>
          </w:p>
        </w:tc>
        <w:tc>
          <w:tcPr>
            <w:tcW w:w="60" w:type="dxa"/>
            <w:vAlign w:val="bottom"/>
          </w:tcPr>
          <w:p>
            <w:pPr>
              <w:spacing w:after="0"/>
              <w:rPr>
                <w:sz w:val="21"/>
                <w:szCs w:val="21"/>
                <w:color w:val="auto"/>
              </w:rPr>
            </w:pPr>
          </w:p>
        </w:tc>
      </w:tr>
      <w:tr>
        <w:trPr>
          <w:trHeight w:val="244"/>
        </w:trPr>
        <w:tc>
          <w:tcPr>
            <w:tcW w:w="48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Finance lease obligations</w:t>
            </w:r>
          </w:p>
        </w:tc>
        <w:tc>
          <w:tcPr>
            <w:tcW w:w="20" w:type="dxa"/>
            <w:vAlign w:val="bottom"/>
            <w:shd w:val="clear" w:color="auto" w:fill="E3E4E5"/>
          </w:tcPr>
          <w:p>
            <w:pPr>
              <w:spacing w:after="0"/>
              <w:rPr>
                <w:sz w:val="21"/>
                <w:szCs w:val="21"/>
                <w:color w:val="auto"/>
              </w:rPr>
            </w:pPr>
          </w:p>
        </w:tc>
        <w:tc>
          <w:tcPr>
            <w:tcW w:w="160" w:type="dxa"/>
            <w:vAlign w:val="bottom"/>
            <w:tcBorders>
              <w:bottom w:val="single" w:sz="8" w:color="231F20"/>
            </w:tcBorders>
            <w:shd w:val="clear" w:color="auto" w:fill="E3E4E5"/>
          </w:tcPr>
          <w:p>
            <w:pPr>
              <w:spacing w:after="0"/>
              <w:rPr>
                <w:sz w:val="21"/>
                <w:szCs w:val="21"/>
                <w:color w:val="auto"/>
              </w:rPr>
            </w:pPr>
          </w:p>
        </w:tc>
        <w:tc>
          <w:tcPr>
            <w:tcW w:w="920" w:type="dxa"/>
            <w:vAlign w:val="bottom"/>
            <w:tcBorders>
              <w:bottom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2,173</w:t>
            </w:r>
          </w:p>
        </w:tc>
        <w:tc>
          <w:tcPr>
            <w:tcW w:w="12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40" w:type="dxa"/>
            <w:vAlign w:val="bottom"/>
            <w:tcBorders>
              <w:bottom w:val="single" w:sz="8" w:color="231F20"/>
            </w:tcBorders>
            <w:shd w:val="clear" w:color="auto" w:fill="E3E4E5"/>
          </w:tcPr>
          <w:p>
            <w:pPr>
              <w:spacing w:after="0"/>
              <w:rPr>
                <w:sz w:val="21"/>
                <w:szCs w:val="21"/>
                <w:color w:val="auto"/>
              </w:rPr>
            </w:pPr>
          </w:p>
        </w:tc>
        <w:tc>
          <w:tcPr>
            <w:tcW w:w="940" w:type="dxa"/>
            <w:vAlign w:val="bottom"/>
            <w:tcBorders>
              <w:bottom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1,134</w:t>
            </w:r>
          </w:p>
        </w:tc>
        <w:tc>
          <w:tcPr>
            <w:tcW w:w="12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60" w:type="dxa"/>
            <w:vAlign w:val="bottom"/>
            <w:tcBorders>
              <w:bottom w:val="single" w:sz="8" w:color="231F20"/>
            </w:tcBorders>
            <w:shd w:val="clear" w:color="auto" w:fill="E3E4E5"/>
          </w:tcPr>
          <w:p>
            <w:pPr>
              <w:spacing w:after="0"/>
              <w:rPr>
                <w:sz w:val="21"/>
                <w:szCs w:val="21"/>
                <w:color w:val="auto"/>
              </w:rPr>
            </w:pPr>
          </w:p>
        </w:tc>
        <w:tc>
          <w:tcPr>
            <w:tcW w:w="920" w:type="dxa"/>
            <w:vAlign w:val="bottom"/>
            <w:tcBorders>
              <w:bottom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824</w:t>
            </w:r>
          </w:p>
        </w:tc>
        <w:tc>
          <w:tcPr>
            <w:tcW w:w="10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80" w:type="dxa"/>
            <w:vAlign w:val="bottom"/>
            <w:tcBorders>
              <w:bottom w:val="single" w:sz="8" w:color="231F20"/>
            </w:tcBorders>
            <w:shd w:val="clear" w:color="auto" w:fill="E3E4E5"/>
          </w:tcPr>
          <w:p>
            <w:pPr>
              <w:spacing w:after="0"/>
              <w:rPr>
                <w:sz w:val="21"/>
                <w:szCs w:val="21"/>
                <w:color w:val="auto"/>
              </w:rPr>
            </w:pPr>
          </w:p>
        </w:tc>
        <w:tc>
          <w:tcPr>
            <w:tcW w:w="920" w:type="dxa"/>
            <w:vAlign w:val="bottom"/>
            <w:tcBorders>
              <w:bottom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215</w:t>
            </w:r>
          </w:p>
        </w:tc>
        <w:tc>
          <w:tcPr>
            <w:tcW w:w="10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40" w:type="dxa"/>
            <w:vAlign w:val="bottom"/>
            <w:tcBorders>
              <w:bottom w:val="single" w:sz="8" w:color="231F20"/>
            </w:tcBorders>
            <w:shd w:val="clear" w:color="auto" w:fill="E3E4E5"/>
          </w:tcPr>
          <w:p>
            <w:pPr>
              <w:spacing w:after="0"/>
              <w:rPr>
                <w:sz w:val="21"/>
                <w:szCs w:val="21"/>
                <w:color w:val="auto"/>
              </w:rPr>
            </w:pPr>
          </w:p>
        </w:tc>
        <w:tc>
          <w:tcPr>
            <w:tcW w:w="920" w:type="dxa"/>
            <w:vAlign w:val="bottom"/>
            <w:tcBorders>
              <w:bottom w:val="single" w:sz="8" w:color="231F20"/>
            </w:tcBorders>
            <w:gridSpan w:val="2"/>
            <w:shd w:val="clear" w:color="auto" w:fill="E3E4E5"/>
          </w:tcPr>
          <w:p>
            <w:pPr>
              <w:jc w:val="right"/>
              <w:ind w:right="80"/>
              <w:spacing w:after="0"/>
              <w:rPr>
                <w:sz w:val="20"/>
                <w:szCs w:val="20"/>
                <w:color w:val="auto"/>
              </w:rPr>
            </w:pPr>
            <w:r>
              <w:rPr>
                <w:rFonts w:ascii="Times New Roman" w:cs="Times New Roman" w:eastAsia="Times New Roman" w:hAnsi="Times New Roman"/>
                <w:sz w:val="20"/>
                <w:szCs w:val="20"/>
                <w:color w:val="414142"/>
              </w:rPr>
              <w:t>—</w:t>
            </w:r>
          </w:p>
        </w:tc>
      </w:tr>
      <w:tr>
        <w:trPr>
          <w:trHeight w:val="239"/>
        </w:trPr>
        <w:tc>
          <w:tcPr>
            <w:tcW w:w="4860" w:type="dxa"/>
            <w:vAlign w:val="bottom"/>
          </w:tcPr>
          <w:p>
            <w:pPr>
              <w:ind w:left="100"/>
              <w:spacing w:after="0"/>
              <w:rPr>
                <w:sz w:val="20"/>
                <w:szCs w:val="20"/>
                <w:color w:val="auto"/>
              </w:rPr>
            </w:pPr>
            <w:r>
              <w:rPr>
                <w:rFonts w:ascii="Times New Roman" w:cs="Times New Roman" w:eastAsia="Times New Roman" w:hAnsi="Times New Roman"/>
                <w:sz w:val="20"/>
                <w:szCs w:val="20"/>
                <w:color w:val="231F20"/>
              </w:rPr>
              <w:t>Total</w:t>
            </w:r>
          </w:p>
        </w:tc>
        <w:tc>
          <w:tcPr>
            <w:tcW w:w="2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105,831</w:t>
            </w:r>
          </w:p>
        </w:tc>
        <w:tc>
          <w:tcPr>
            <w:tcW w:w="1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4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11,743</w:t>
            </w:r>
          </w:p>
        </w:tc>
        <w:tc>
          <w:tcPr>
            <w:tcW w:w="12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65,407</w:t>
            </w:r>
          </w:p>
        </w:tc>
        <w:tc>
          <w:tcPr>
            <w:tcW w:w="1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80" w:type="dxa"/>
            <w:vAlign w:val="bottom"/>
            <w:tcBorders>
              <w:bottom w:val="single" w:sz="8" w:color="231F20"/>
            </w:tcBorders>
          </w:tcPr>
          <w:p>
            <w:pPr>
              <w:jc w:val="right"/>
              <w:ind w:right="15"/>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9,150</w:t>
            </w:r>
          </w:p>
        </w:tc>
        <w:tc>
          <w:tcPr>
            <w:tcW w:w="1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1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8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19,531</w:t>
            </w:r>
          </w:p>
        </w:tc>
        <w:tc>
          <w:tcPr>
            <w:tcW w:w="60" w:type="dxa"/>
            <w:vAlign w:val="bottom"/>
            <w:tcBorders>
              <w:bottom w:val="single" w:sz="8" w:color="231F20"/>
            </w:tcBorders>
          </w:tcPr>
          <w:p>
            <w:pPr>
              <w:spacing w:after="0"/>
              <w:rPr>
                <w:sz w:val="20"/>
                <w:szCs w:val="20"/>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92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8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3063240</wp:posOffset>
            </wp:positionH>
            <wp:positionV relativeFrom="paragraph">
              <wp:posOffset>-991870</wp:posOffset>
            </wp:positionV>
            <wp:extent cx="3773170"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extLst>
                        <a:ext uri="{28A0092B-C50C-407E-A947-70E740481C1C}"/>
                      </a:extLst>
                    </a:blip>
                    <a:srcRect/>
                    <a:stretch>
                      <a:fillRect/>
                    </a:stretch>
                  </pic:blipFill>
                  <pic:spPr bwMode="auto">
                    <a:xfrm>
                      <a:off x="0" y="0"/>
                      <a:ext cx="3773170" cy="38100"/>
                    </a:xfrm>
                    <a:prstGeom prst="rect">
                      <a:avLst/>
                    </a:prstGeom>
                    <a:noFill/>
                  </pic:spPr>
                </pic:pic>
              </a:graphicData>
            </a:graphic>
          </wp:anchor>
        </w:drawing>
      </w:r>
    </w:p>
    <w:p>
      <w:pPr>
        <w:spacing w:after="0" w:line="42" w:lineRule="exact"/>
        <w:rPr>
          <w:sz w:val="20"/>
          <w:szCs w:val="20"/>
          <w:color w:val="auto"/>
        </w:rPr>
      </w:pPr>
    </w:p>
    <w:p>
      <w:pPr>
        <w:ind w:left="360" w:hanging="360"/>
        <w:spacing w:after="0"/>
        <w:tabs>
          <w:tab w:leader="none" w:pos="360" w:val="left"/>
        </w:tabs>
        <w:numPr>
          <w:ilvl w:val="0"/>
          <w:numId w:val="47"/>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18"/>
          <w:szCs w:val="18"/>
          <w:color w:val="231F20"/>
        </w:rPr>
        <w:t>Royalty payments that we may owe are not included as the amount and timing of such payments is uncertain.</w:t>
      </w:r>
    </w:p>
    <w:p>
      <w:pPr>
        <w:spacing w:after="0" w:line="51" w:lineRule="exact"/>
        <w:rPr>
          <w:rFonts w:ascii="Times New Roman" w:cs="Times New Roman" w:eastAsia="Times New Roman" w:hAnsi="Times New Roman"/>
          <w:sz w:val="26"/>
          <w:szCs w:val="26"/>
          <w:color w:val="231F20"/>
          <w:vertAlign w:val="superscript"/>
        </w:rPr>
      </w:pPr>
    </w:p>
    <w:p>
      <w:pPr>
        <w:ind w:left="360" w:hanging="360"/>
        <w:spacing w:after="0" w:line="199" w:lineRule="auto"/>
        <w:tabs>
          <w:tab w:leader="none" w:pos="360" w:val="left"/>
        </w:tabs>
        <w:numPr>
          <w:ilvl w:val="0"/>
          <w:numId w:val="47"/>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18"/>
          <w:szCs w:val="18"/>
          <w:color w:val="231F20"/>
        </w:rPr>
        <w:t>Includes the Perceptive Term Loan payments of principal and interest. Interest amounts associated with the Perceptive Term Loan are variable and estimated based on the interest rate in effect at December 31, 2025.</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Off-Balance Sheet Arrangements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December 31, 2025, we have not entered into any off-balance sheet arrangements.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Critical Accounting Policies and Significant Judgments and Estimates</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accordance with accounting principles generally accepted in the United States, we are required to make estimates and assumptions that affect the amounts reported in the financial statements and accompanying notes. Certain of these estimates significantly influence the portrayal of our financial condition and results of operations and require us to make difficult, subjective or complex judgments. These estimates form the basis for making judgments about the carrying values of assets and liabilities and recognized revenue and expenses that are not readily apparent from other sources. Actual results could differ from those estimates and assumptions. Our critical accounting policies are described in greater detail below and in Note 2 to our financial statements in Item 8 of this Annual Report on Form 10-K.</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We recognize revenue when our customers obtain control of promised goods or services, in an amount that reflects the consideration which we expect to receive in exchange for our goods or services. To determine revenue recognition for our arrangements with our customers, we perform a five-step process, which includes: (i) identifying the contract(s) with a customer; (ii) identifying the performance obligations in the contract; (iii) determining the transaction price; (iv) allocating the transaction price to the performance obligations in the contract; and (v) recognizing revenue when (or as) we satisfy our performance obligations. The Company generates revenues from (i) Diagnostic Tests and (ii) assay development, testing services, and licensing our technologies (Development Services).</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Company recognizes revenues related to blood-based lung diagnostic billings based on estimates of the amounts ultimately expected to be collected from customers on a portfolio approach. In determining the amount to accrue for a delivered test, the Company considers factors such as test type, payment history, payer coverage, whether there is a reimbursement contract between the payer and the Company, payment as a percentage of agreed upon rate (if applicable), amount paid per test and any current developments or changes that could impact reimbursement. Variable consideration, if any, is estimated based on an analysis of historical experience and adjusted as better estimates become available. These estimates require significant judgment by management.</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The Company also provides services to patients with whom the Company does not have contracts as defined in Financial Accounting Standards Board (FASB) Accounting Standards Codification 606 (ASC 606). The Company recognizes revenue for these patients when contracts, as defined in ASC 606, are established at the amount of consideration to which it expects to be entitled, or when the Company receives substantially all of the consideration subsequent to satisfaction and delivery of the performance obligations.</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Recent Accounting Pronouncements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See Note 3 to our financial statements in Item 8 of this Annual Report on Form 10-K.</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77</w:t>
      </w:r>
    </w:p>
    <w:p>
      <w:pPr>
        <w:sectPr>
          <w:pgSz w:w="11880" w:h="15480" w:orient="portrait"/>
          <w:cols w:equalWidth="0" w:num="1">
            <w:col w:w="10800"/>
          </w:cols>
          <w:pgMar w:left="540" w:top="746" w:right="54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231F20"/>
        </w:rPr>
        <w:t>Implications of Being a Smaller Reporting Company</w:t>
      </w:r>
    </w:p>
    <w:p>
      <w:pPr>
        <w:spacing w:after="0" w:line="12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shares held by non-affiliates exceeds $250 million as of the end of that year’s second fiscal quarter, or (ii) our annual revenues exceeded $100 million during such completed fiscal year and the market value of our common shares held by non-affiliates exceeds $700 million as of the end of that year’s second fiscal quarter.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7A. Quantitative and Qualitative Disclosures About Market Risk.</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We are exposed to market risk in the ordinary course of our business. Market risk represents the risk of loss that may impact our financial position due to adverse changes in financial market prices and rates.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Rate Risk</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are exposed to market risk for changes in interest rates related primarily to our cash and cash equivalents, marketable securities and our indebtedness, including our outstanding Perceptive Term Loan. As of December 31, 2025, we had $50.0 million outstanding on the Perceptive Term Loan Facility which has an annual rate equal to the greater of (a) forward-looking one-month term SOFR as posted by CME Group Inc. and (b) 3.0% per annum, plus an applicable margin of 9.0%. Historically, we have not entered into derivative agreements such as interest rate caps and swaps to manage our floating interest rate exposure.</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Periodically throughout the year, we have maintained balances in various operating accounts in excess of federally insured limits. Our cash and cash equivalents are funds held in checking and bank savings accounts, primarily at one U.S. financial institutions. We consider all highly liquid instruments purchased with an original maturity of three months or less to be cash equivalents. We continually monitor our positions with, and the credit quality of, the financial institutions with which we invest.</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As of December 31, 2025, a hypothetical 100 basis point increase in interest rates would have an estimated $ 0.5 million impact per year on our financial position and results of operations, based on the current Perceptive Term Loan principal remaining outstanding through maturity.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financial statements and supplementary data are as set forth in the index to the financial statements on page F-1.</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 Changes in and Disagreements with Accountants on Accounting and Financial Disclosure.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None.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9A. Controls and Procedures.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Evaluation of Disclosure Controls and Procedures</w:t>
      </w:r>
    </w:p>
    <w:p>
      <w:pPr>
        <w:spacing w:after="0" w:line="12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Based on their evaluation as of the end of the period covered by this Annual Report on Form 10-K, our Chief Executive Officer and Chief Financial Officer have concluded that, as of such date, our disclosure controls and procedures were effective at the reasonable assurance level.</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Management’s Report on Internal Control over Financial Reporting</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Management is responsible for establishing and maintaining adequate internal control over financial reporting for the Company, as such term is defined in Exchange Act Rule 13a- 15(f). Under the supervision and with the participation of our Chief Executive Officer and Chief Financial Officer, we conducted an evaluation of the effectiveness of our internal control over financial reporting as of</w:t>
      </w:r>
    </w:p>
    <w:p>
      <w:pPr>
        <w:sectPr>
          <w:pgSz w:w="11880" w:h="15480" w:orient="portrait"/>
          <w:cols w:equalWidth="0" w:num="1">
            <w:col w:w="10800"/>
          </w:cols>
          <w:pgMar w:left="540" w:top="746" w:right="540" w:bottom="0" w:gutter="0" w:footer="0" w:header="0"/>
        </w:sect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78</w:t>
      </w:r>
    </w:p>
    <w:p>
      <w:pPr>
        <w:sectPr>
          <w:pgSz w:w="11880" w:h="15480" w:orient="portrait"/>
          <w:cols w:equalWidth="0" w:num="1">
            <w:col w:w="10800"/>
          </w:cols>
          <w:pgMar w:left="540" w:top="746" w:right="540" w:bottom="0" w:gutter="0" w:footer="0" w:header="0"/>
          <w:type w:val="continuous"/>
        </w:sectPr>
      </w:pPr>
    </w:p>
    <w:bookmarkStart w:id="80" w:name="page81"/>
    <w:bookmarkEnd w:id="80"/>
    <w:p>
      <w:pPr>
        <w:jc w:val="both"/>
        <w:spacing w:after="0" w:line="252" w:lineRule="auto"/>
        <w:rPr>
          <w:sz w:val="20"/>
          <w:szCs w:val="20"/>
          <w:color w:val="auto"/>
        </w:rPr>
      </w:pPr>
      <w:r>
        <w:rPr>
          <w:rFonts w:ascii="Times New Roman" w:cs="Times New Roman" w:eastAsia="Times New Roman" w:hAnsi="Times New Roman"/>
          <w:sz w:val="20"/>
          <w:szCs w:val="20"/>
          <w:color w:val="231F20"/>
        </w:rPr>
        <w:t>December 31, 2025 based on the criteria established in "Internal Control – Integrated Framework" issued by the Committee of Sponsoring Organizations of the Treadway Commission (COSO), using the 2013 framework. Based on our assessment, our Chief Executive Officer and Chief Financial Officer concluded that, as of December 31, 2025, the Company's internal control over financial reporting was effective based on the criteria set forth by COSO.</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This Annual Report on Form 10-K does not include an attestation report of our independent registered public accounting firm regarding internal controls over financial reporting. Pursuant to Item 308(b) of Regulation S-K, management’s report is not subject to attestation by our independent registered public accounting firm because the Company is neither an “accelerated filer” nor a “large accelerated filer” as those terms are defined by the SEC.</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Changes in Internal Control over Financial Reporting</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During the quarter ended December 31, 2025, there were no changes that materially affected, or are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9B. Other Information.</w:t>
      </w:r>
    </w:p>
    <w:p>
      <w:pPr>
        <w:spacing w:after="0" w:line="124"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20"/>
          <w:szCs w:val="20"/>
          <w:color w:val="231F20"/>
        </w:rPr>
        <w:t>None of our directors or officers adopted, modified, or terminated a “Rule 10b5-1 trading arrangement” or “non-Rule 10b5-1 trading arrangement,” as each term is defined in Item 408 of Regulation S-K, during the quarter ended December 31, 2025.</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9C. Disclosure Regarding Foreign Jurisdictions that Prevent Inspections.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79</w:t>
      </w:r>
    </w:p>
    <w:p>
      <w:pPr>
        <w:sectPr>
          <w:pgSz w:w="11880" w:h="15480" w:orient="portrait"/>
          <w:cols w:equalWidth="0" w:num="1">
            <w:col w:w="10800"/>
          </w:cols>
          <w:pgMar w:left="540" w:top="750" w:right="540" w:bottom="0" w:gutter="0" w:footer="0" w:header="0"/>
          <w:type w:val="continuous"/>
        </w:sectPr>
      </w:pPr>
    </w:p>
    <w:bookmarkStart w:id="81" w:name="page82"/>
    <w:bookmarkEnd w:id="81"/>
    <w:p>
      <w:pPr>
        <w:ind w:left="4980"/>
        <w:spacing w:after="0"/>
        <w:rPr>
          <w:sz w:val="20"/>
          <w:szCs w:val="20"/>
          <w:color w:val="auto"/>
        </w:rPr>
      </w:pPr>
      <w:r>
        <w:rPr>
          <w:rFonts w:ascii="Times New Roman" w:cs="Times New Roman" w:eastAsia="Times New Roman" w:hAnsi="Times New Roman"/>
          <w:sz w:val="20"/>
          <w:szCs w:val="20"/>
          <w:b w:val="1"/>
          <w:bCs w:val="1"/>
          <w:color w:val="231F20"/>
        </w:rPr>
        <w:t>PART III</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10. Directors, Executive Officers and Corporate Governance.</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The information required by this item with respect to directors is incorporated by reference from the information under the captions "Board and Corporate Governance Matters—Proposal One: Election of Directors" and "—Director Independence" contained in our Proxy Statement to be filed with the Securities and Exchange Commission within 120 days of the fiscal year ended December 31, 2025 in connection with the solicitation of proxies for our 2026 Annual Meeting of Stockholders (the Proxy Statement). Certain information required by this item concerning executive officers is set forth in the Proxy Statement under the captions "Executive Compensation—Compensation of Named Executive Officers" and “Board and Corporate Governance Matters—Overview of Our Nominees and Continuing Directors” and is incorporated herein by reference.</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Item 405 of Regulation S-K calls for disclosure of any known late filing or failure by an insider to file a report required by Section 16(a) of the Exchange Act. This disclosure, if applicable, is contained in the section entitled "Stock Ownership—Delinquent Section 16(a) Reports" in the Proxy Statement and is incorporated herein by reference.</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have adopted a Code of Business Conduct and Ethics that applies to all of our officers and employees, including our President and Chief Executive Officer, our Chief Financial Officer and other employees who perform financial or accounting functions. The Code of Business Conduct and Ethics sets forth the basic principles that guide the business conduct of our employees. Stockholders may request a free copy of our Code of Business Conduct and Ethics by contacting Biodesix, Inc., Attention: Chief Financial Officer, 919 West Dillon Rd, Louisville, Colorado 80027.</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To date, there have been no waivers under our Code of Business Conduct and Ethics. We intend to disclose future amendments to certain provisions of our Code of Business Conduct and Ethics or waivers of such Codes granted to executive officers and directors on our website at http://www.biodesix.com within four business days following the date of such amendment or waiver.</w:t>
      </w:r>
    </w:p>
    <w:p>
      <w:pPr>
        <w:spacing w:after="0" w:line="6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has a Policy Relating to Insider Trading governing the purchase, sale, and disposition of the Company’s securities by directors and officers that is reasonably designed to promote compliance with U.S. insider trading laws, rules and regulations, and applicable listing standards. In addition, with regard to the Company’s trading in its own securities, it is the Company’s policy to comply with the federal securities laws and the applicable exchange listing requirements. For more information, please refer to the Policy Relating to Insider Trading filed as Exhibit 19.1.</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Board of Directors has appointed an Audit Committee, comprised of Ms. Jean Franchi, as Chairwoman, Messrs. Hany Massarany, Lawrence T. Kennedy, Jr., and Dr. Matthew Strobeck. The Board of Directors has determined that Ms. Franchi qualifies as an Audit Committee Financial Expert under the definition outlined by the Securities and Exchange Commission. In addition, each of the members of the Audit Committee qualifies as an "independent director" under the current rules of The Nasdaq Stock Market and Securities and Exchange Commission rules and regulations.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11. Executive Compensation.</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from the information under "Executive Compensation" contained in the Proxy Statement and is incorporated herein by reference.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12. Security Ownership of Certain Beneficial Owners and Management and Related Stockholder Matters.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from the information under the captions "Stock Ownership—Security Ownership of Certain Beneficial Owners and Management", "Executive Compensation", and "Equity Compensation Plan Information" contained in the Proxy Statement and is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13. Certain Relationships and Related Transactions, and Director Independence.</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from the information under the caption "Board and Corporate Governance Matters—Policies and Procedures for Related-Party Transactions" and "—Director Independence" contained in the Proxy Statement and is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14. Principal Accountant Fees and Services.</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information required by this item is incorporated by reference from the information under the caption "Audit Matters—Principal Accountant Fees and Services" contained in the Proxy Statement and is incorporated herein by reference.</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80</w:t>
      </w:r>
    </w:p>
    <w:p>
      <w:pPr>
        <w:sectPr>
          <w:pgSz w:w="11880" w:h="15480" w:orient="portrait"/>
          <w:cols w:equalWidth="0" w:num="1">
            <w:col w:w="10800"/>
          </w:cols>
          <w:pgMar w:left="540" w:top="746" w:right="540" w:bottom="0" w:gutter="0" w:footer="0" w:header="0"/>
          <w:type w:val="continuous"/>
        </w:sectPr>
      </w:pPr>
    </w:p>
    <w:bookmarkStart w:id="82" w:name="page83"/>
    <w:bookmarkEnd w:id="82"/>
    <w:p>
      <w:pPr>
        <w:jc w:val="center"/>
        <w:ind w:right="-159"/>
        <w:spacing w:after="0"/>
        <w:rPr>
          <w:sz w:val="20"/>
          <w:szCs w:val="20"/>
          <w:color w:val="auto"/>
        </w:rPr>
      </w:pPr>
      <w:r>
        <w:rPr>
          <w:rFonts w:ascii="Times New Roman" w:cs="Times New Roman" w:eastAsia="Times New Roman" w:hAnsi="Times New Roman"/>
          <w:sz w:val="20"/>
          <w:szCs w:val="20"/>
          <w:b w:val="1"/>
          <w:bCs w:val="1"/>
          <w:color w:val="231F20"/>
        </w:rPr>
        <w:t>PART IV</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15. Exhibit and Financial Statement Schedules.</w:t>
      </w:r>
    </w:p>
    <w:p>
      <w:pPr>
        <w:spacing w:after="0" w:line="124" w:lineRule="exact"/>
        <w:rPr>
          <w:sz w:val="20"/>
          <w:szCs w:val="20"/>
          <w:color w:val="auto"/>
        </w:rPr>
      </w:pPr>
    </w:p>
    <w:p>
      <w:pPr>
        <w:ind w:left="720" w:right="6780" w:hanging="720"/>
        <w:spacing w:after="0" w:line="365" w:lineRule="auto"/>
        <w:tabs>
          <w:tab w:leader="none" w:pos="720" w:val="left"/>
        </w:tabs>
        <w:numPr>
          <w:ilvl w:val="0"/>
          <w:numId w:val="48"/>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Documents filed as a part of the report. 1. Financial Statements</w:t>
      </w:r>
    </w:p>
    <w:p>
      <w:pPr>
        <w:ind w:left="720"/>
        <w:spacing w:after="0"/>
        <w:rPr>
          <w:sz w:val="20"/>
          <w:szCs w:val="20"/>
          <w:color w:val="auto"/>
        </w:rPr>
      </w:pPr>
      <w:r>
        <w:rPr>
          <w:rFonts w:ascii="Times New Roman" w:cs="Times New Roman" w:eastAsia="Times New Roman" w:hAnsi="Times New Roman"/>
          <w:sz w:val="20"/>
          <w:szCs w:val="20"/>
          <w:color w:val="231F20"/>
        </w:rPr>
        <w:t>Reference is made to the Index to Financial Statements of Biodesix, Inc. included in Item 8 of Part II hereof.</w:t>
      </w:r>
    </w:p>
    <w:p>
      <w:pPr>
        <w:spacing w:after="0" w:line="120" w:lineRule="exact"/>
        <w:rPr>
          <w:sz w:val="20"/>
          <w:szCs w:val="20"/>
          <w:color w:val="auto"/>
        </w:rPr>
      </w:pPr>
    </w:p>
    <w:p>
      <w:pPr>
        <w:ind w:left="1080" w:hanging="360"/>
        <w:spacing w:after="0"/>
        <w:tabs>
          <w:tab w:leader="none" w:pos="1080" w:val="left"/>
        </w:tabs>
        <w:numPr>
          <w:ilvl w:val="0"/>
          <w:numId w:val="49"/>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Financial Statement Schedules</w:t>
      </w:r>
    </w:p>
    <w:p>
      <w:pPr>
        <w:spacing w:after="0" w:line="120" w:lineRule="exact"/>
        <w:rPr>
          <w:sz w:val="20"/>
          <w:szCs w:val="20"/>
          <w:color w:val="auto"/>
        </w:rPr>
      </w:pPr>
    </w:p>
    <w:p>
      <w:pPr>
        <w:ind w:left="720"/>
        <w:spacing w:after="0" w:line="277" w:lineRule="auto"/>
        <w:rPr>
          <w:sz w:val="20"/>
          <w:szCs w:val="20"/>
          <w:color w:val="auto"/>
        </w:rPr>
      </w:pPr>
      <w:r>
        <w:rPr>
          <w:rFonts w:ascii="Times New Roman" w:cs="Times New Roman" w:eastAsia="Times New Roman" w:hAnsi="Times New Roman"/>
          <w:sz w:val="20"/>
          <w:szCs w:val="20"/>
          <w:color w:val="231F20"/>
        </w:rPr>
        <w:t>All schedules have been omitted because they are not required, not applicable, or the required information is included in the financial statements or notes thereto.</w:t>
      </w:r>
    </w:p>
    <w:p>
      <w:pPr>
        <w:spacing w:after="0" w:line="49" w:lineRule="exact"/>
        <w:rPr>
          <w:sz w:val="20"/>
          <w:szCs w:val="20"/>
          <w:color w:val="auto"/>
        </w:rPr>
      </w:pPr>
    </w:p>
    <w:p>
      <w:pPr>
        <w:ind w:left="1080" w:right="200" w:hanging="360"/>
        <w:spacing w:after="0" w:line="277" w:lineRule="auto"/>
        <w:tabs>
          <w:tab w:leader="none" w:pos="1080" w:val="left"/>
        </w:tabs>
        <w:numPr>
          <w:ilvl w:val="1"/>
          <w:numId w:val="50"/>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See Item 15(b) below. Each management contract or compensating plan or arrangement required to be filed has been identified.</w:t>
      </w:r>
    </w:p>
    <w:p>
      <w:pPr>
        <w:spacing w:after="0" w:line="49" w:lineRule="exact"/>
        <w:rPr>
          <w:rFonts w:ascii="Times New Roman" w:cs="Times New Roman" w:eastAsia="Times New Roman" w:hAnsi="Times New Roman"/>
          <w:sz w:val="20"/>
          <w:szCs w:val="20"/>
          <w:color w:val="231F20"/>
        </w:rPr>
      </w:pPr>
    </w:p>
    <w:p>
      <w:pPr>
        <w:ind w:left="720" w:hanging="720"/>
        <w:spacing w:after="0"/>
        <w:tabs>
          <w:tab w:leader="none" w:pos="720" w:val="left"/>
        </w:tabs>
        <w:numPr>
          <w:ilvl w:val="0"/>
          <w:numId w:val="51"/>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Exhibits.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Item 16. Form 10-K Summary.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Not applicable.</w:t>
      </w:r>
    </w:p>
    <w:p>
      <w:pPr>
        <w:sectPr>
          <w:pgSz w:w="11880" w:h="15480" w:orient="portrait"/>
          <w:cols w:equalWidth="0" w:num="1">
            <w:col w:w="10640"/>
          </w:cols>
          <w:pgMar w:left="540" w:top="746" w:right="7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0"/>
          <w:szCs w:val="20"/>
          <w:color w:val="231F20"/>
        </w:rPr>
        <w:t>81</w:t>
      </w:r>
    </w:p>
    <w:p>
      <w:pPr>
        <w:sectPr>
          <w:pgSz w:w="11880" w:h="15480" w:orient="portrait"/>
          <w:cols w:equalWidth="0" w:num="1">
            <w:col w:w="10640"/>
          </w:cols>
          <w:pgMar w:left="540" w:top="746" w:right="700" w:bottom="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74"/>
        </w:trPr>
        <w:tc>
          <w:tcPr>
            <w:tcW w:w="8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760" w:type="dxa"/>
            <w:vAlign w:val="bottom"/>
          </w:tcPr>
          <w:p>
            <w:pPr>
              <w:ind w:left="3780"/>
              <w:spacing w:after="0"/>
              <w:rPr>
                <w:sz w:val="20"/>
                <w:szCs w:val="20"/>
                <w:color w:val="auto"/>
              </w:rPr>
            </w:pPr>
            <w:r>
              <w:rPr>
                <w:rFonts w:ascii="Times New Roman" w:cs="Times New Roman" w:eastAsia="Times New Roman" w:hAnsi="Times New Roman"/>
                <w:sz w:val="20"/>
                <w:szCs w:val="20"/>
                <w:b w:val="1"/>
                <w:bCs w:val="1"/>
                <w:color w:val="231F20"/>
              </w:rPr>
              <w:t>Exhibit Index</w:t>
            </w:r>
          </w:p>
        </w:tc>
      </w:tr>
      <w:tr>
        <w:trPr>
          <w:trHeight w:val="431"/>
        </w:trPr>
        <w:tc>
          <w:tcPr>
            <w:tcW w:w="88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Exhibit</w:t>
            </w:r>
          </w:p>
        </w:tc>
        <w:tc>
          <w:tcPr>
            <w:tcW w:w="160" w:type="dxa"/>
            <w:vAlign w:val="bottom"/>
          </w:tcPr>
          <w:p>
            <w:pPr>
              <w:spacing w:after="0"/>
              <w:rPr>
                <w:sz w:val="24"/>
                <w:szCs w:val="24"/>
                <w:color w:val="auto"/>
              </w:rPr>
            </w:pPr>
          </w:p>
        </w:tc>
        <w:tc>
          <w:tcPr>
            <w:tcW w:w="9760" w:type="dxa"/>
            <w:vAlign w:val="bottom"/>
          </w:tcPr>
          <w:p>
            <w:pPr>
              <w:spacing w:after="0"/>
              <w:rPr>
                <w:sz w:val="24"/>
                <w:szCs w:val="24"/>
                <w:color w:val="auto"/>
              </w:rPr>
            </w:pPr>
          </w:p>
        </w:tc>
      </w:tr>
      <w:tr>
        <w:trPr>
          <w:trHeight w:val="253"/>
        </w:trPr>
        <w:tc>
          <w:tcPr>
            <w:tcW w:w="88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b w:val="1"/>
                <w:bCs w:val="1"/>
                <w:color w:val="231F20"/>
              </w:rPr>
              <w:t>Number</w:t>
            </w:r>
          </w:p>
        </w:tc>
        <w:tc>
          <w:tcPr>
            <w:tcW w:w="160" w:type="dxa"/>
            <w:vAlign w:val="bottom"/>
          </w:tcPr>
          <w:p>
            <w:pPr>
              <w:spacing w:after="0"/>
              <w:rPr>
                <w:sz w:val="22"/>
                <w:szCs w:val="22"/>
                <w:color w:val="auto"/>
              </w:rPr>
            </w:pPr>
          </w:p>
        </w:tc>
        <w:tc>
          <w:tcPr>
            <w:tcW w:w="976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b w:val="1"/>
                <w:bCs w:val="1"/>
                <w:color w:val="231F20"/>
              </w:rPr>
              <w:t>Description</w:t>
            </w:r>
          </w:p>
        </w:tc>
      </w:tr>
      <w:tr>
        <w:trPr>
          <w:trHeight w:val="32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3.1**</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Amended and Restated Certificate of Incorporation of Biodesix, Inc., dated October 30, 2020 (incorporated by reference to</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Exhibit 3.1 to the Company’s Quarterly Report on Form 10-Q filed with the SEC on December 10, 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3.2**</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Amended and Restated Bylaws of Biodesix, Inc. (incorporated by reference to Exhibit 3.2 to the Company’s Quarterly Report on</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Form 10-Q filed with the SEC on October 12, 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3.3**</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Certificate of Amendment to the Amended and Restated Certificate of Incorporation of Biodesix, Inc. (incorporated by reference</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to Exhibit 3.1 to the Company's Current Report on Form 8-K filed with the SEC on September 15, 2025).</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3.4**</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Certificate of Elimination of the Series A Non-Voting Convertible Preferred Stock of Biodesix, Inc. (incorporated by reference</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to Exhibit 3.2 to the Company's Current Report on Form 8-K filed with the SEC on September 15, 2025).</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4.1**</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Specimen stock certificate evidencing shares of Common Stock (incorporated by reference to Exhibit 4.1 to the Company’s</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Registration Statement on Form S-1/A filed with the SEC on October 21, 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4.2**</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Eleventh Amended and Restated Investor Rights Agreement, by and among Biodesix, Inc. and the investors listed on Exhibit A</w:t>
            </w:r>
          </w:p>
        </w:tc>
      </w:tr>
      <w:tr>
        <w:trPr>
          <w:trHeight w:val="207"/>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thereto, dated October 10, 2018 (incorporated by reference to Exhibit 4.2 to the Company’s Registration Statement on Form S-1</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filed with the SEC on October 2, 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4.3**</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Warrant held by Innovatus Life Sciences Lending Fund I, LP, to Purchase Series G Preferred Stock, dated February 23, 2018</w:t>
            </w:r>
          </w:p>
        </w:tc>
      </w:tr>
      <w:tr>
        <w:trPr>
          <w:trHeight w:val="207"/>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(incorporated by reference to Exhibit 4.3 to the Company’s Registration Statement on Form S-1 filed with the SEC on October 2,</w:t>
            </w:r>
          </w:p>
        </w:tc>
      </w:tr>
      <w:tr>
        <w:trPr>
          <w:trHeight w:val="240"/>
        </w:trPr>
        <w:tc>
          <w:tcPr>
            <w:tcW w:w="880" w:type="dxa"/>
            <w:vAlign w:val="bottom"/>
          </w:tcPr>
          <w:p>
            <w:pPr>
              <w:spacing w:after="0"/>
              <w:rPr>
                <w:sz w:val="20"/>
                <w:szCs w:val="20"/>
                <w:color w:val="auto"/>
              </w:rPr>
            </w:pP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4.4**</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Description of Securities Registered under Section 12 of the Securities Exchange Act of 1934 (incorporated by reference to</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Exhibit 4.5 to the Company's Annual Report on Form 10-K filed with the SEC on March 16, 2021).</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4.5**</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Form of Note, dated November 21, 2022, issued by the Company to Perceptive Credit Holdings IV, LP. (incorporated by</w:t>
            </w:r>
          </w:p>
        </w:tc>
      </w:tr>
      <w:tr>
        <w:trPr>
          <w:trHeight w:val="207"/>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reference to Exhibit 4.1 and Exhibit 10.1 in the Company's Current Report on Form 8-K filed with the SEC on November 21,</w:t>
            </w:r>
          </w:p>
        </w:tc>
      </w:tr>
      <w:tr>
        <w:trPr>
          <w:trHeight w:val="240"/>
        </w:trPr>
        <w:tc>
          <w:tcPr>
            <w:tcW w:w="880" w:type="dxa"/>
            <w:vAlign w:val="bottom"/>
          </w:tcPr>
          <w:p>
            <w:pPr>
              <w:spacing w:after="0"/>
              <w:rPr>
                <w:sz w:val="20"/>
                <w:szCs w:val="20"/>
                <w:color w:val="auto"/>
              </w:rPr>
            </w:pP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2022).</w:t>
            </w:r>
          </w:p>
        </w:tc>
      </w:tr>
      <w:tr>
        <w:trPr>
          <w:trHeight w:val="304"/>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4.6**</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9"/>
                <w:szCs w:val="19"/>
                <w:color w:val="231F20"/>
              </w:rPr>
              <w:t>Warrant to Purchase Stock, dated November 21, 2022, issued by the Company to Perceptive Credit Holdings IV, LP.</w:t>
            </w:r>
          </w:p>
        </w:tc>
      </w:tr>
      <w:tr>
        <w:trPr>
          <w:trHeight w:val="218"/>
        </w:trPr>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9"/>
                <w:szCs w:val="19"/>
                <w:color w:val="231F20"/>
              </w:rPr>
              <w:t>(incorporated by reference to Exhibit 4.2 in the Company's Current Report on Form 8-K filed with the SEC on November</w:t>
            </w:r>
          </w:p>
        </w:tc>
      </w:tr>
      <w:tr>
        <w:trPr>
          <w:trHeight w:val="255"/>
        </w:trPr>
        <w:tc>
          <w:tcPr>
            <w:tcW w:w="880" w:type="dxa"/>
            <w:vAlign w:val="bottom"/>
          </w:tcPr>
          <w:p>
            <w:pPr>
              <w:spacing w:after="0"/>
              <w:rPr>
                <w:sz w:val="22"/>
                <w:szCs w:val="22"/>
                <w:color w:val="auto"/>
              </w:rPr>
            </w:pP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231F20"/>
              </w:rPr>
              <w:t>21, 2022).</w:t>
            </w:r>
          </w:p>
        </w:tc>
      </w:tr>
      <w:tr>
        <w:trPr>
          <w:trHeight w:val="292"/>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4.7**</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Warrant to Purchase Stock, dated May 10, 2023, issued by the Company to Perceptive Credit Holdings IV, LP (incorporated by</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reference to Exhibit 4.1 to the Company's Quarterly Report on Form 10-Q filed with the SEC on May 11, 2023).</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4.8**</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First Amendment to Warrant Certificate, dated February 28, 2025, issued by the Company to Perceptive Credit Holdings IV, LP</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(incorporated by reference to Exhibit 4.8 to the Company's Annual Report on Form 10-K filed with the SEC on March 3, 2025).</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4.9**</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First Amendment to Warrant Certificate, dated May 12, 2025, issued by the Company to Perceptive Credit Holdings IV, LP</w:t>
            </w:r>
          </w:p>
        </w:tc>
      </w:tr>
      <w:tr>
        <w:trPr>
          <w:trHeight w:val="207"/>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(incorporated by reference to Exhibit 4.1 to the Company's Quarterly Report on Form 10-Q filed with the SEC on May 13,</w:t>
            </w:r>
          </w:p>
        </w:tc>
      </w:tr>
      <w:tr>
        <w:trPr>
          <w:trHeight w:val="240"/>
        </w:trPr>
        <w:tc>
          <w:tcPr>
            <w:tcW w:w="880" w:type="dxa"/>
            <w:vAlign w:val="bottom"/>
          </w:tcPr>
          <w:p>
            <w:pPr>
              <w:spacing w:after="0"/>
              <w:rPr>
                <w:sz w:val="20"/>
                <w:szCs w:val="20"/>
                <w:color w:val="auto"/>
              </w:rPr>
            </w:pP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2025).</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4.10**</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Second Amendment to Warrant Certificate, dated May 12, 2025, issued by the Company to Perceptive Credit Holdings IV, LP</w:t>
            </w:r>
          </w:p>
        </w:tc>
      </w:tr>
      <w:tr>
        <w:trPr>
          <w:trHeight w:val="207"/>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(incorporated by reference to Exhibit 4.2 to the Company's Quarterly Report on Form 10-Q filed with the SEC on May 13,</w:t>
            </w:r>
          </w:p>
        </w:tc>
      </w:tr>
      <w:tr>
        <w:trPr>
          <w:trHeight w:val="240"/>
        </w:trPr>
        <w:tc>
          <w:tcPr>
            <w:tcW w:w="880" w:type="dxa"/>
            <w:vAlign w:val="bottom"/>
          </w:tcPr>
          <w:p>
            <w:pPr>
              <w:spacing w:after="0"/>
              <w:rPr>
                <w:sz w:val="20"/>
                <w:szCs w:val="20"/>
                <w:color w:val="auto"/>
              </w:rPr>
            </w:pPr>
          </w:p>
        </w:tc>
        <w:tc>
          <w:tcPr>
            <w:tcW w:w="99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2025).</w:t>
            </w:r>
          </w:p>
        </w:tc>
      </w:tr>
      <w:tr>
        <w:trPr>
          <w:trHeight w:val="327"/>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4.11*</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Warrant to Purchase Stock, dated February 25, 2026, issued by the Company to Perceptive Credit Holdings IV, LP.</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10.1+**</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Biodesix, Inc. Amended and Restated 2006 Employee, Director and Consultant Stock Plan, as amended to date (incorporated by</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reference to Exhibit 10.1 to the Company’s Registration Statement on Form S-1/A filed with the SEC on October 9, 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10.2.1+**</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Form of Stock Option Grant Notice under the Amended and Restated 2006 Employee, Director and Consultant Stock Plan</w:t>
            </w:r>
          </w:p>
        </w:tc>
      </w:tr>
      <w:tr>
        <w:trPr>
          <w:trHeight w:val="207"/>
        </w:trPr>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(incorporated by reference to Exhibit 10.2.1 to the Company’s Registration Statement on Form S-1/A filed with the SEC on</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October 9, 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10.2.2+**</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Form of Option Agreement under the Amended and Restated 2006 Employee, Director and Consultant Stock Plan (incorporated</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by reference to Exhibit 10.2.2 to the Company’s Registration Statement on Form S-1/A filed with the SEC on October 9, 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10.2.3+**</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Form of Notice of Exercise under the Amended and Restated 2006 Employee, Director and Consultant Stock Plan (incorporated</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by reference to Exhibit 10.2.3 to the Company’s Registration Statement on Form S-1/A filed with the SEC on October 9, 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10.3+**</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Biodesix, Inc. 2016 Equity Incentive Plan, as amended to date (incorporated by reference to Exhibit 10.3 to the Company’s</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Registration Statement on Form S-1 filed with the SEC on October 2, 2020).</w:t>
            </w:r>
          </w:p>
        </w:tc>
      </w:tr>
      <w:tr>
        <w:trPr>
          <w:trHeight w:val="293"/>
        </w:trPr>
        <w:tc>
          <w:tcPr>
            <w:tcW w:w="880" w:type="dxa"/>
            <w:vAlign w:val="bottom"/>
          </w:tcPr>
          <w:p>
            <w:pPr>
              <w:ind w:left="100"/>
              <w:spacing w:after="0"/>
              <w:rPr>
                <w:sz w:val="20"/>
                <w:szCs w:val="20"/>
                <w:color w:val="auto"/>
              </w:rPr>
            </w:pPr>
            <w:r>
              <w:rPr>
                <w:rFonts w:ascii="Times New Roman" w:cs="Times New Roman" w:eastAsia="Times New Roman" w:hAnsi="Times New Roman"/>
                <w:sz w:val="18"/>
                <w:szCs w:val="18"/>
                <w:color w:val="231F20"/>
              </w:rPr>
              <w:t>10.4.1+**</w:t>
            </w:r>
          </w:p>
        </w:tc>
        <w:tc>
          <w:tcPr>
            <w:tcW w:w="160" w:type="dxa"/>
            <w:vAlign w:val="bottom"/>
          </w:tcPr>
          <w:p>
            <w:pPr>
              <w:spacing w:after="0"/>
              <w:rPr>
                <w:sz w:val="24"/>
                <w:szCs w:val="24"/>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Form of Stock Option Grant Notice under the 2016 Equity Incentive Plan (incorporated by reference to Exhibit 10.4.1 to the</w:t>
            </w:r>
          </w:p>
        </w:tc>
      </w:tr>
      <w:tr>
        <w:trPr>
          <w:trHeight w:val="240"/>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760" w:type="dxa"/>
            <w:vAlign w:val="bottom"/>
          </w:tcPr>
          <w:p>
            <w:pPr>
              <w:ind w:left="320"/>
              <w:spacing w:after="0"/>
              <w:rPr>
                <w:sz w:val="20"/>
                <w:szCs w:val="20"/>
                <w:color w:val="auto"/>
              </w:rPr>
            </w:pPr>
            <w:r>
              <w:rPr>
                <w:rFonts w:ascii="Times New Roman" w:cs="Times New Roman" w:eastAsia="Times New Roman" w:hAnsi="Times New Roman"/>
                <w:sz w:val="18"/>
                <w:szCs w:val="18"/>
                <w:color w:val="231F20"/>
              </w:rPr>
              <w:t>Company’s Registration Statement on Form S-1/A filed with the SEC on October 9, 2020).</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560705</wp:posOffset>
                </wp:positionH>
                <wp:positionV relativeFrom="paragraph">
                  <wp:posOffset>-7960360</wp:posOffset>
                </wp:positionV>
                <wp:extent cx="1016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160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15pt,-626.7999pt" to="52.15pt,-626.7999pt" o:allowincell="f" strokecolor="#FFFFFF" strokeweight="0.25pt"/>
            </w:pict>
          </mc:Fallback>
        </mc:AlternateConten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82</w:t>
      </w:r>
    </w:p>
    <w:p>
      <w:pPr>
        <w:sectPr>
          <w:pgSz w:w="11880" w:h="15480" w:orient="portrait"/>
          <w:cols w:equalWidth="0" w:num="1">
            <w:col w:w="10800"/>
          </w:cols>
          <w:pgMar w:left="540" w:top="746" w:right="540" w:bottom="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10.4.2+**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 of Option Agreement under the 2016 Equity Incentive Plan (incorporated by reference to Exhibit 10.4.2 to the Company’s</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Registration Statement on Form S-1/A filed with the SEC on October 9,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10.4.3+**</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 of Notice of Exercise under the 2016 Equity Incentive Plan (incorporated by reference to Exhibit 10.4.3 to the Company’s</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Registration Statement on Form S-1/A filed with the SEC on October 9,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10.5+**</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Biodesix, Inc. 2020 Equity Incentive Plan (incorporated by reference to Exhibit 10.5 to the Company’s Registration Statement</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on Form S-1/A filed with the SEC on October 26,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10.5.1+**</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Forms of Stock Option Grant Notice, Option Agreement and Notice of Exercise under the 2020 Equity Incentive Plan</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(incorporated by reference to Exhibit 10.5.1 to the Company's Annual Report on Form 10-K filed with the SEC on March 16,</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2021).</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10.5.2+**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Forms of Restricted Stock Unit Award Grant Notice and Award Agreement under the 2020 Equity Incentive Plan (incorporated</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by reference to Exhibit 10.5.2 to the Company's Quarterly Report on Form 10-Q filed with the SEC on August 10, 2021).</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10.6+**</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Biodesix, Inc. 2020 Employee Stock Purchase Plan (incorporated by reference to Exhibit 10.6 to the Company’s Registration</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Statement on Form S-1/A filed with the SEC on October 26,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10.7+**</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Biodesix, Inc., Third Amended Bonus-to-Options Program, adopted by the Board of Directors on December 31, 2015</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(incorporated by reference to Exhibit 10.5.3 to the Company’s Registration Statement on Form S-1 filed with the SEC on</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October 2,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10.8.1+**</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Biodesix, Inc. 2021 Senior Management Bonus to Equity Plan (incorporated by reference to Exhibit 10.1 to the Company’s</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Quarterly Report on Form 10-Q filed with the SEC on August 4, 2022).</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10.8.2+**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Amendment No. 1 to the Biodesix, Inc. 2021 Senior Management Bonus to Equity Plan (incorporated by reference to Exhibit</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10.2 to the Company’s Quarterly Report on Form 10-Q filed with the SEC on August 4, 2022).</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10.8.3+**</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Amendment No. 2 to the Biodesix, Inc. 2021 Senior Management Bonus to Equity Plan (incorporated by reference to Exhibit</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10.8.3 to the Company’s Annual Report on Form 10-K filed with the SEC on March 6, 2023).</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10.9.1+**</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 of Stock Option Grant Notice under the Biodesix, Inc. Bonus-To-Options Program (incorporated by reference to Exhibit</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10.6.1 to the Company’s Registration Statement on Form S-1/A filed with the SEC on October 9,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10.9.2+**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 of Option Agreement under the Biodesix, Inc. Bonus-To-Options Program (incorporated by reference to Exhibit 10.6.2 to</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the Company’s Registration Statement on Form S-1/A filed with the SEC on October 9,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10.10+**</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 of Indemnification Agreement, by and between Biodesix, Inc. and each of its directors and executive officers (incorporated</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by reference to Exhibit 10.7 to the Company’s Registration Statement on Form S-1/A filed with the SEC on October 14,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10.11†+**</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 of Executive Severance and Change in Control Agreement, dated April 23, 2024 by and among the Company and each of</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its executive officers (incorporated by reference to Exhibit 10.42 to the Company's Registration Statement on Form S-1 filed</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with the SEC on April 23, 2024).</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10.12.1†**</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Lease Assignment of De Soto Facility, dated November 1, 2019 (incorporated by reference to Exhibit 10.13 to the Company’s</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Registration Statement on Form S-1 filed with the SEC on October 2,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10.12.2**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De Soto Amendment to Commercial Lease Agreement, effective April 4, 2023, by and between Biodesix, Inc. and De Soto</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Investments, LLC (incorporated by reference to Exhibit 10.2 to the Company's Quarterly Report on Form 10-Q filed with the</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SEC on May 11, 2023).</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10.12.3**</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De Soto Amendment to Lease Agreement, effective July 1, 2025 by and between Biodesix, Inc. and De Soto Investments, LLC</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(incorporated by reference to Exhibit 10.1 to the Company's Quarterly Report on Form 10-Q filed with the SEC on November 3,</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2025).</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10.13.1**</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Lease agreement by and between Centennial Valley Properties I, LLC and Biodesix, Inc. dated March 11, 2022 (incorporated by</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reference to Exhibit 10.1 to the Company’s Quarterly Report on Form 10-Q filed with the SEC on May 11, 2022).</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10.13.2**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First Amendment to Lease Agreement by and between Centennial Valley Properties I, LLC and Biodesix, Inc. dated March 11,</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2022 (incorporated by reference to Exhibit 10.2 to the Company’s Quarterly Report on Form 10-Q filed with the SEC on May</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11, 2022).</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10.14**</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Patent Assignment between Biodesix, Inc., and Integrated Diagnostics, Inc., dated June 30, 2018 (incorporated by reference to</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Exhibit 10.15 to the Company’s Registration Statement on Form S-1 filed with the SEC on October 2,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10.15†**</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IP Assignment Agreement between Oncimmune Limited, and Biodesix, Inc., dated October 31, 2019 (incorporated by reference</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to Exhibit 10.15 to the Company’s Registration Statement on Form S-1/A filed with the SEC on October 9,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10.16†**</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IP License Agreement between Oncimmune Limited, and Biodesix, Inc., dated October 31, 2019 (incorporated by reference to</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Exhibit 10.16 to the Company’s Registration Statement on Form S-1/A filed with the SEC on October 9,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10.17†**</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Non-Exclusive License Agreement between Bio-Rad Laboratories, Inc., and Biodesix, Inc., dated August 1, 2019 (incorporated</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by reference to Exhibit 10.17 to the Company’s Registration Statement on Form S-1/A filed with the SEC on October 9, 2020).</w:t>
            </w:r>
          </w:p>
        </w:tc>
      </w:tr>
    </w:tbl>
    <w:p>
      <w:pPr>
        <w:spacing w:after="0" w:line="200" w:lineRule="exact"/>
        <w:rPr>
          <w:sz w:val="20"/>
          <w:szCs w:val="20"/>
          <w:color w:val="auto"/>
        </w:rPr>
      </w:pPr>
    </w:p>
    <w:p>
      <w:pPr>
        <w:sectPr>
          <w:pgSz w:w="11880" w:h="15480" w:orient="portrait"/>
          <w:cols w:equalWidth="0" w:num="1">
            <w:col w:w="10600"/>
          </w:cols>
          <w:pgMar w:left="640" w:top="751" w:right="640" w:bottom="0" w:gutter="0" w:footer="0" w:header="0"/>
        </w:sect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83</w:t>
      </w:r>
    </w:p>
    <w:p>
      <w:pPr>
        <w:sectPr>
          <w:pgSz w:w="11880" w:h="15480" w:orient="portrait"/>
          <w:cols w:equalWidth="0" w:num="1">
            <w:col w:w="10600"/>
          </w:cols>
          <w:pgMar w:left="640" w:top="751" w:right="640" w:bottom="0" w:gutter="0" w:footer="0" w:header="0"/>
          <w:type w:val="continuous"/>
        </w:sectPr>
      </w:pPr>
    </w:p>
    <w:bookmarkStart w:id="85" w:name="page86"/>
    <w:bookmarkEnd w:id="85"/>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10.18†**</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Supply Agreement between Biodesix, Inc., and Oncimmune, dated October 31, 2019 (incorporated by reference to Exhibit 10.18</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to the Company’s Registration Statement on Form S-1/A filed with the SEC on October 9,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10.19†**</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Supply Agreement between Bio-Rad Laboratories, Inc., and Biodesix, Inc., dated August 1, 2019 (incorporated by reference to</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Exhibit 10.19 to the Company’s Registration Statement on Form S-1/A filed with the SEC on October 9,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10.20†**</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Co-Development and Collaboration Agreement between AVEO Pharmaceuticals, Inc., and Biodesix, Inc., dated April 9, 2014,</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as amended October 14, 2016 (incorporated by reference to Exhibit 10.20 to the Company’s Registration Statement on Form S-</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1/A filed with the SEC on October 9,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10.21.1†**</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Asset Purchase Agreement among Biodesix, Inc., Integrated Diagnostics, Inc., and the stockholders of Integrated Diagnostics,</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Inc., listed therein, dated June 30, 2018 (incorporated by reference to Exhibit 10.23 to the Company’s Registration Statement on</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 S-1 filed with the SEC on October 2,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10.21.2**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Amendment No. 2 to Asset Purchase Agreement and Plan of Reorganization (incorporated by reference to Exhibit 10.38 to the</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Company's Quarterly Report on Form 10-Q filed with the SEC on August 10, 2021).</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10.21.3**</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Amendment No. 3 to Asset Purchase Agreement and Plan of Reorganization (incorporated by reference to Exhibit 10.6 to the</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Company's Quarterly Report on Form 10-Q filed with the SEC on May 11, 2022).</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Asset Purchase Agreement between Oncimmune Limited and Biodesix, Inc., dated June 27, 2019, as amended to date</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(incorporated by reference to Exhibit 10.24 to the Company’s Registration Statement on Form S-1 filed with the SEC on October</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 2020).</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10.23**</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First Amendment to the Non-Exclusive License Agreement between Bio-Rad Laboratories, Inc., and Biodesix, Inc., dated May</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24, 2021 (incorporated by reference to Exhibit 10.37 to the Company's Quarterly Report on Form 10-Q filed with the SEC on</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August 10, 2021).</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10.24**</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Second Amendment to Supply Agreement between Bio-Rad Laboratories, Inc., and Biodesix, Inc., dated May 22, 2024</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(incorporated by reference to Exhibit 10.1 to the Company's Quarterly Report on Form 10-Q filed with the SEC on August 7,</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2024).</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10.25**</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Form of Subscription Agreement with resale registration rights provision, dated April 7, 2022 (incorporated by reference to</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Exhibit 10.1 to the Company's Current Report on Form 8-K filed with the SEC on April 11, 2022).</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10.26**</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Credit Agreement and Guaranty, dated as of November 16, 2022, by and among the Company and Perceptive Credit Holdings</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IV, LP. (incorporated by reference to Exhibit 10.1 to the Company's Current Report on Form 8-K filed with the SEC on</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November 21, 2022).</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10.27**</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First Amendment to Credit Agreement and Guaranty, dated May 10, 2023, by and among the Company and Perceptive Credit</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Holdings IV, LP (incorporated by reference to Exhibit 10.3 to the Company's Quarterly Report on Form 10-Q filed with the SEC</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on May 11, 2023).</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10.28**</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Second Amendment to Credit Agreement and Guaranty, dated August 4, 2023, by and among the Company and Perceptive</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Credit Holdings IV, LP (incorporated by reference to Exhibit 10.2 to the Company's Quarterly Report on Form 10-Q filed with</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the SEC on August 7, 2023).</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10.29**</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Limited Waiver, dated February 14, 2024, by and between Biodesix, Inc. and Perceptive Credit Holdings IV, LP (incorporated</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by reference to Exhibit 10.34 to the Company's Annual Report on Form 10-K filed with the SEC on March 1, 2023).</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10.30**</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Third Amendment to Credit Agreement and Guaranty, dated February 29, 2024, by and among the Company and Perceptive</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Credit Holdings IV, LP (incorporated by reference to Exhibit 10.35 to the Company's Annual Report on Form 10-K filed with</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the SEC on March 1, 2023).</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10.32**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Fourth Amendment to Credit Agreement and Guaranty, dated October 30, 2024, by and between the Company and Perceptive</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Credit Holdings IV, LP (incorporated by reference to Exhibit 10.1 to the Company's Quarterly Report on Form 10-Q filed with</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the SEC on November 1, 2024).</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10.31**</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Fifth Amendment to Credit Agreement and Guaranty, dated February 28, 2025, by and between the Company and Perceptive</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Credit Holdings IV, LP (incorporated by reference to Exhibit 10.36 to the Company's Annual Report on Form 10-K filed with</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the SEC on March 3, 2025).</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10.32*</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Sixth Amendment to Credit Agreement and Guaranty, dated February 25, 2026, by and between the Company and Perceptive</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Credit Holdings IV, LP.</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10.33**</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Security Agreement, dated as of November 21, 2022, by and among the Company and Perceptive Credit Holdings IV, LP</w:t>
            </w:r>
          </w:p>
        </w:tc>
      </w:tr>
      <w:tr>
        <w:trPr>
          <w:trHeight w:val="207"/>
        </w:trPr>
        <w:tc>
          <w:tcPr>
            <w:tcW w:w="1040" w:type="dxa"/>
            <w:vAlign w:val="bottom"/>
          </w:tcPr>
          <w:p>
            <w:pPr>
              <w:spacing w:after="0"/>
              <w:rPr>
                <w:sz w:val="17"/>
                <w:szCs w:val="17"/>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(incorporated by reference to Exhibit 10.2 to the Company's current report on Form 8-K filed with the SEC on November 21,</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2022).</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10.34**</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Registration Rights Agreement, dated as of April 5, 2024 between Biodesix, Inc. and the Investors (incorporated by reference to</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Exhibit 10.3 to the Company's Current Report on Form 8-K filed with the SEC on April 9, 2024).</w:t>
            </w:r>
          </w:p>
        </w:tc>
      </w:tr>
      <w:tr>
        <w:trPr>
          <w:trHeight w:val="2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231F20"/>
              </w:rPr>
              <w:t>19.1**</w:t>
            </w: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Policy Relating to Insider Trading (incorporated by reference to Exhibit 19.1 to the Company's Annual Report on Form 10-K</w:t>
            </w:r>
          </w:p>
        </w:tc>
      </w:tr>
      <w:tr>
        <w:trPr>
          <w:trHeight w:val="240"/>
        </w:trPr>
        <w:tc>
          <w:tcPr>
            <w:tcW w:w="1040" w:type="dxa"/>
            <w:vAlign w:val="bottom"/>
          </w:tcPr>
          <w:p>
            <w:pPr>
              <w:spacing w:after="0"/>
              <w:rPr>
                <w:sz w:val="20"/>
                <w:szCs w:val="20"/>
                <w:color w:val="auto"/>
              </w:rPr>
            </w:pPr>
          </w:p>
        </w:tc>
        <w:tc>
          <w:tcPr>
            <w:tcW w:w="9560" w:type="dxa"/>
            <w:vAlign w:val="bottom"/>
          </w:tcPr>
          <w:p>
            <w:pPr>
              <w:ind w:left="220"/>
              <w:spacing w:after="0"/>
              <w:rPr>
                <w:sz w:val="20"/>
                <w:szCs w:val="20"/>
                <w:color w:val="auto"/>
              </w:rPr>
            </w:pPr>
            <w:r>
              <w:rPr>
                <w:rFonts w:ascii="Times New Roman" w:cs="Times New Roman" w:eastAsia="Times New Roman" w:hAnsi="Times New Roman"/>
                <w:sz w:val="18"/>
                <w:szCs w:val="18"/>
                <w:color w:val="231F20"/>
              </w:rPr>
              <w:t>filed with the SEC on March 3, 2025).</w:t>
            </w:r>
          </w:p>
        </w:tc>
      </w:tr>
    </w:tbl>
    <w:p>
      <w:pPr>
        <w:spacing w:after="0" w:line="200" w:lineRule="exact"/>
        <w:rPr>
          <w:sz w:val="20"/>
          <w:szCs w:val="20"/>
          <w:color w:val="auto"/>
        </w:rPr>
      </w:pPr>
    </w:p>
    <w:p>
      <w:pPr>
        <w:sectPr>
          <w:pgSz w:w="11880" w:h="15480" w:orient="portrait"/>
          <w:cols w:equalWidth="0" w:num="1">
            <w:col w:w="10600"/>
          </w:cols>
          <w:pgMar w:left="640" w:top="751" w:right="640" w:bottom="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84</w:t>
      </w:r>
    </w:p>
    <w:p>
      <w:pPr>
        <w:sectPr>
          <w:pgSz w:w="11880" w:h="15480" w:orient="portrait"/>
          <w:cols w:equalWidth="0" w:num="1">
            <w:col w:w="10600"/>
          </w:cols>
          <w:pgMar w:left="640" w:top="751" w:right="640" w:bottom="0" w:gutter="0" w:footer="0" w:header="0"/>
          <w:type w:val="continuous"/>
        </w:sectPr>
      </w:pPr>
    </w:p>
    <w:bookmarkStart w:id="86" w:name="page87"/>
    <w:bookmarkEnd w:id="86"/>
    <w:tbl>
      <w:tblPr>
        <w:tblLayout w:type="fixed"/>
        <w:tblInd w:w="100" w:type="dxa"/>
        <w:tblCellMar>
          <w:top w:w="0" w:type="dxa"/>
          <w:left w:w="0" w:type="dxa"/>
          <w:bottom w:w="0" w:type="dxa"/>
          <w:right w:w="0" w:type="dxa"/>
        </w:tblCellMar>
      </w:tblPr>
      <w:tr>
        <w:trPr>
          <w:trHeight w:val="240"/>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231F20"/>
              </w:rPr>
              <w:t>23.1*</w:t>
            </w: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Consent of independent registered public accounting firm.</w:t>
            </w:r>
          </w:p>
        </w:tc>
      </w:tr>
      <w:tr>
        <w:trPr>
          <w:trHeight w:val="32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231F20"/>
              </w:rPr>
              <w:t>24.1*</w:t>
            </w: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Power of Attorney (included on the signature page of this Annual Report on Form 10-K).</w:t>
            </w:r>
          </w:p>
        </w:tc>
      </w:tr>
      <w:tr>
        <w:trPr>
          <w:trHeight w:val="29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231F20"/>
              </w:rPr>
              <w:t>31.1*</w:t>
            </w: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Certification of Principal Executive Officer Pursuant to Rules 13a-14(a) and 15d-14(a) under the Securities Exchange Act of</w:t>
            </w:r>
          </w:p>
        </w:tc>
      </w:tr>
      <w:tr>
        <w:trPr>
          <w:trHeight w:val="240"/>
        </w:trPr>
        <w:tc>
          <w:tcPr>
            <w:tcW w:w="1020" w:type="dxa"/>
            <w:vAlign w:val="bottom"/>
          </w:tcPr>
          <w:p>
            <w:pPr>
              <w:spacing w:after="0"/>
              <w:rPr>
                <w:sz w:val="20"/>
                <w:szCs w:val="20"/>
                <w:color w:val="auto"/>
              </w:rPr>
            </w:pP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1934, as Adopted Pursuant to Section 302 of the Sarbanes-Oxley Act of 2002.</w:t>
            </w:r>
          </w:p>
        </w:tc>
      </w:tr>
      <w:tr>
        <w:trPr>
          <w:trHeight w:val="29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231F20"/>
              </w:rPr>
              <w:t>31.2*</w:t>
            </w: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Certification of Principal Financial Officer Pursuant to Rules 13a-14(a) and 15d-14(a) under the Securities Exchange Act of</w:t>
            </w:r>
          </w:p>
        </w:tc>
      </w:tr>
      <w:tr>
        <w:trPr>
          <w:trHeight w:val="240"/>
        </w:trPr>
        <w:tc>
          <w:tcPr>
            <w:tcW w:w="1020" w:type="dxa"/>
            <w:vAlign w:val="bottom"/>
          </w:tcPr>
          <w:p>
            <w:pPr>
              <w:spacing w:after="0"/>
              <w:rPr>
                <w:sz w:val="20"/>
                <w:szCs w:val="20"/>
                <w:color w:val="auto"/>
              </w:rPr>
            </w:pP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1934, as Adopted Pursuant to Section 302 of the Sarbanes-Oxley Act of 2002.</w:t>
            </w:r>
          </w:p>
        </w:tc>
      </w:tr>
      <w:tr>
        <w:trPr>
          <w:trHeight w:val="29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231F20"/>
              </w:rPr>
              <w:t>32.1***</w:t>
            </w: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Certification of Principal Executive Officer Pursuant to 18 U.S.C. Section 1350, as Adopted Pursuant to Section 906 of the</w:t>
            </w:r>
          </w:p>
        </w:tc>
      </w:tr>
      <w:tr>
        <w:trPr>
          <w:trHeight w:val="240"/>
        </w:trPr>
        <w:tc>
          <w:tcPr>
            <w:tcW w:w="1020" w:type="dxa"/>
            <w:vAlign w:val="bottom"/>
          </w:tcPr>
          <w:p>
            <w:pPr>
              <w:spacing w:after="0"/>
              <w:rPr>
                <w:sz w:val="20"/>
                <w:szCs w:val="20"/>
                <w:color w:val="auto"/>
              </w:rPr>
            </w:pP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Sarbanes-Oxley Act of 2002.</w:t>
            </w:r>
          </w:p>
        </w:tc>
      </w:tr>
      <w:tr>
        <w:trPr>
          <w:trHeight w:val="29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231F20"/>
              </w:rPr>
              <w:t>32.2***</w:t>
            </w: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Certification of Principal Financial Officer Pursuant to 18 U.S.C. Section 1350, as Adopted Pursuant to Section 906 of the</w:t>
            </w:r>
          </w:p>
        </w:tc>
      </w:tr>
      <w:tr>
        <w:trPr>
          <w:trHeight w:val="240"/>
        </w:trPr>
        <w:tc>
          <w:tcPr>
            <w:tcW w:w="1020" w:type="dxa"/>
            <w:vAlign w:val="bottom"/>
          </w:tcPr>
          <w:p>
            <w:pPr>
              <w:spacing w:after="0"/>
              <w:rPr>
                <w:sz w:val="20"/>
                <w:szCs w:val="20"/>
                <w:color w:val="auto"/>
              </w:rPr>
            </w:pP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Sarbanes-Oxley Act of 2002.</w:t>
            </w:r>
          </w:p>
        </w:tc>
      </w:tr>
      <w:tr>
        <w:trPr>
          <w:trHeight w:val="29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231F20"/>
              </w:rPr>
              <w:t>97.1**</w:t>
            </w: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Policy Relating to Recovery of Erroneously Award Compensation (incorporated by reference to Exhibit 97.1 to the Company's</w:t>
            </w:r>
          </w:p>
        </w:tc>
      </w:tr>
      <w:tr>
        <w:trPr>
          <w:trHeight w:val="240"/>
        </w:trPr>
        <w:tc>
          <w:tcPr>
            <w:tcW w:w="1020" w:type="dxa"/>
            <w:vAlign w:val="bottom"/>
          </w:tcPr>
          <w:p>
            <w:pPr>
              <w:spacing w:after="0"/>
              <w:rPr>
                <w:sz w:val="20"/>
                <w:szCs w:val="20"/>
                <w:color w:val="auto"/>
              </w:rPr>
            </w:pP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Annual Report on Form 10-K filed with the SEC on March 1, 2023).</w:t>
            </w:r>
          </w:p>
        </w:tc>
      </w:tr>
      <w:tr>
        <w:trPr>
          <w:trHeight w:val="293"/>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231F20"/>
              </w:rPr>
              <w:t>101.INS*</w:t>
            </w: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Inline XBRL Instance Document – the instance document does not appear in the Interactive Data File because XBRL tags are</w:t>
            </w:r>
          </w:p>
        </w:tc>
      </w:tr>
      <w:tr>
        <w:trPr>
          <w:trHeight w:val="240"/>
        </w:trPr>
        <w:tc>
          <w:tcPr>
            <w:tcW w:w="1020" w:type="dxa"/>
            <w:vAlign w:val="bottom"/>
          </w:tcPr>
          <w:p>
            <w:pPr>
              <w:spacing w:after="0"/>
              <w:rPr>
                <w:sz w:val="20"/>
                <w:szCs w:val="20"/>
                <w:color w:val="auto"/>
              </w:rPr>
            </w:pP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embedded within the Inline XBRL document.</w:t>
            </w:r>
          </w:p>
        </w:tc>
      </w:tr>
      <w:tr>
        <w:trPr>
          <w:trHeight w:val="32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231F20"/>
              </w:rPr>
              <w:t>101.SCH*</w:t>
            </w:r>
          </w:p>
        </w:tc>
        <w:tc>
          <w:tcPr>
            <w:tcW w:w="9580" w:type="dxa"/>
            <w:vAlign w:val="bottom"/>
          </w:tcPr>
          <w:p>
            <w:pPr>
              <w:ind w:left="240"/>
              <w:spacing w:after="0"/>
              <w:rPr>
                <w:sz w:val="20"/>
                <w:szCs w:val="20"/>
                <w:color w:val="auto"/>
              </w:rPr>
            </w:pPr>
            <w:r>
              <w:rPr>
                <w:rFonts w:ascii="Times New Roman" w:cs="Times New Roman" w:eastAsia="Times New Roman" w:hAnsi="Times New Roman"/>
                <w:sz w:val="18"/>
                <w:szCs w:val="18"/>
                <w:color w:val="231F20"/>
              </w:rPr>
              <w:t>Inline XBRL Taxonomy Extension Schema with Embedded Linkbase Documents</w:t>
            </w:r>
          </w:p>
        </w:tc>
      </w:tr>
    </w:tbl>
    <w:p>
      <w:pPr>
        <w:spacing w:after="0" w:line="87" w:lineRule="exact"/>
        <w:rPr>
          <w:sz w:val="20"/>
          <w:szCs w:val="20"/>
          <w:color w:val="auto"/>
        </w:rPr>
      </w:pPr>
    </w:p>
    <w:p>
      <w:pPr>
        <w:ind w:left="1360" w:hanging="1252"/>
        <w:spacing w:after="0"/>
        <w:tabs>
          <w:tab w:leader="none" w:pos="1360" w:val="left"/>
        </w:tabs>
        <w:numPr>
          <w:ilvl w:val="1"/>
          <w:numId w:val="5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Cover Page Interactive Data File (embedded within the Inline XBRL document)</w:t>
      </w:r>
    </w:p>
    <w:p>
      <w:pPr>
        <w:spacing w:after="0" w:line="200" w:lineRule="exact"/>
        <w:rPr>
          <w:rFonts w:ascii="Times New Roman" w:cs="Times New Roman" w:eastAsia="Times New Roman" w:hAnsi="Times New Roman"/>
          <w:sz w:val="18"/>
          <w:szCs w:val="18"/>
          <w:color w:val="231F20"/>
        </w:rPr>
      </w:pPr>
    </w:p>
    <w:p>
      <w:pPr>
        <w:spacing w:after="0" w:line="270" w:lineRule="exact"/>
        <w:rPr>
          <w:rFonts w:ascii="Times New Roman" w:cs="Times New Roman" w:eastAsia="Times New Roman" w:hAnsi="Times New Roman"/>
          <w:sz w:val="18"/>
          <w:szCs w:val="18"/>
          <w:color w:val="231F20"/>
        </w:rPr>
      </w:pPr>
    </w:p>
    <w:p>
      <w:pPr>
        <w:ind w:right="740"/>
        <w:spacing w:after="0" w:line="344" w:lineRule="auto"/>
        <w:tabs>
          <w:tab w:leader="none" w:pos="90" w:val="left"/>
        </w:tabs>
        <w:numPr>
          <w:ilvl w:val="0"/>
          <w:numId w:val="52"/>
        </w:numPr>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Portions of this exhibit have been omitted as the Registrant has determined that the omitted information (i) is not material and (ii) would likely cause competitive harm to the Registrant if publicly disclosed. + Indicates management contract or compensatory plan.</w:t>
      </w:r>
    </w:p>
    <w:p>
      <w:pPr>
        <w:ind w:right="9760"/>
        <w:spacing w:after="0" w:line="375" w:lineRule="auto"/>
        <w:rPr>
          <w:rFonts w:ascii="Times New Roman" w:cs="Times New Roman" w:eastAsia="Times New Roman" w:hAnsi="Times New Roman"/>
          <w:sz w:val="12"/>
          <w:szCs w:val="12"/>
          <w:color w:val="231F20"/>
        </w:rPr>
      </w:pPr>
      <w:r>
        <w:rPr>
          <w:rFonts w:ascii="Times New Roman" w:cs="Times New Roman" w:eastAsia="Times New Roman" w:hAnsi="Times New Roman"/>
          <w:sz w:val="11"/>
          <w:szCs w:val="11"/>
          <w:color w:val="231F20"/>
        </w:rPr>
        <w:t>* Filed herewith. ** Previously filed.</w:t>
      </w:r>
    </w:p>
    <w:p>
      <w:pPr>
        <w:spacing w:after="0"/>
        <w:rPr>
          <w:rFonts w:ascii="Times New Roman" w:cs="Times New Roman" w:eastAsia="Times New Roman" w:hAnsi="Times New Roman"/>
          <w:sz w:val="12"/>
          <w:szCs w:val="12"/>
          <w:color w:val="231F20"/>
        </w:rPr>
      </w:pPr>
      <w:r>
        <w:rPr>
          <w:rFonts w:ascii="Times New Roman" w:cs="Times New Roman" w:eastAsia="Times New Roman" w:hAnsi="Times New Roman"/>
          <w:sz w:val="12"/>
          <w:szCs w:val="12"/>
          <w:color w:val="231F20"/>
        </w:rPr>
        <w:t>*** Furnished herewith.</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-639445</wp:posOffset>
                </wp:positionV>
                <wp:extent cx="1828800" cy="0"/>
                <wp:wrapNone/>
                <wp:docPr id="25" name="Shape 2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828800" cy="4763"/>
                        </a:xfrm>
                        <a:prstGeom prst="line">
                          <a:avLst/>
                        </a:prstGeom>
                        <a:solidFill>
                          <a:srgbClr val="FFFFFF"/>
                        </a:solidFill>
                        <a:ln w="6350">
                          <a:solidFill>
                            <a:srgbClr val="231F20"/>
                          </a:solidFill>
                          <a:miter lim="800000"/>
                          <a:headEnd/>
                          <a:tailEnd/>
                        </a:ln>
                      </wps:spPr>
                      <wps:bodyPr/>
                    </wps:wsp>
                  </a:graphicData>
                </a:graphic>
              </wp:anchor>
            </w:drawing>
          </mc:Choice>
          <mc:Fallback>
            <w:pict>
              <v:line id="Shape 25" o:spid="_x0000_s105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50.3499pt" to="144pt,-50.3499pt" o:allowincell="f" strokecolor="#231F20" strokeweight="0.5pt"/>
            </w:pict>
          </mc:Fallback>
        </mc:AlternateContent>
      </w:r>
    </w:p>
    <w:p>
      <w:pPr>
        <w:sectPr>
          <w:pgSz w:w="11880" w:h="15480" w:orient="portrait"/>
          <w:cols w:equalWidth="0" w:num="1">
            <w:col w:w="10700"/>
          </w:cols>
          <w:pgMar w:left="540" w:top="751" w:right="6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231F20"/>
        </w:rPr>
        <w:t>85</w:t>
      </w:r>
    </w:p>
    <w:p>
      <w:pPr>
        <w:sectPr>
          <w:pgSz w:w="11880" w:h="15480" w:orient="portrait"/>
          <w:cols w:equalWidth="0" w:num="1">
            <w:col w:w="10700"/>
          </w:cols>
          <w:pgMar w:left="540" w:top="751" w:right="640" w:bottom="0" w:gutter="0" w:footer="0" w:header="0"/>
          <w:type w:val="continuous"/>
        </w:sectPr>
      </w:pPr>
    </w:p>
    <w:bookmarkStart w:id="87" w:name="page88"/>
    <w:bookmarkEnd w:id="87"/>
    <w:p>
      <w:pPr>
        <w:jc w:val="center"/>
        <w:ind w:right="-479"/>
        <w:spacing w:after="0"/>
        <w:rPr>
          <w:sz w:val="20"/>
          <w:szCs w:val="20"/>
          <w:color w:val="auto"/>
        </w:rPr>
      </w:pPr>
      <w:r>
        <w:rPr>
          <w:rFonts w:ascii="Times New Roman" w:cs="Times New Roman" w:eastAsia="Times New Roman" w:hAnsi="Times New Roman"/>
          <w:sz w:val="20"/>
          <w:szCs w:val="20"/>
          <w:b w:val="1"/>
          <w:bCs w:val="1"/>
          <w:color w:val="231F20"/>
        </w:rPr>
        <w:t>SIGNATURES</w:t>
      </w:r>
    </w:p>
    <w:p>
      <w:pPr>
        <w:spacing w:after="0" w:line="1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20"/>
          <w:szCs w:val="20"/>
          <w:color w:val="231F20"/>
        </w:rPr>
        <w:t>Pursuant to the requirements of Section 13 or 15(d)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20"/>
          <w:szCs w:val="20"/>
          <w:b w:val="1"/>
          <w:bCs w:val="1"/>
          <w:color w:val="231F20"/>
        </w:rPr>
        <w:t>.</w:t>
      </w:r>
    </w:p>
    <w:p>
      <w:pPr>
        <w:spacing w:after="0" w:line="166"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0"/>
          <w:szCs w:val="20"/>
          <w:color w:val="231F20"/>
        </w:rPr>
        <w:t>Biodesix, Inc.</w:t>
      </w:r>
    </w:p>
    <w:p>
      <w:pPr>
        <w:spacing w:after="0" w:line="260" w:lineRule="exact"/>
        <w:rPr>
          <w:sz w:val="20"/>
          <w:szCs w:val="20"/>
          <w:color w:val="auto"/>
        </w:rPr>
      </w:pPr>
    </w:p>
    <w:p>
      <w:pPr>
        <w:spacing w:after="0"/>
        <w:tabs>
          <w:tab w:leader="none" w:pos="5440" w:val="left"/>
          <w:tab w:leader="none" w:pos="6840" w:val="left"/>
        </w:tabs>
        <w:rPr>
          <w:sz w:val="20"/>
          <w:szCs w:val="20"/>
          <w:color w:val="auto"/>
        </w:rPr>
      </w:pPr>
      <w:r>
        <w:rPr>
          <w:rFonts w:ascii="Times New Roman" w:cs="Times New Roman" w:eastAsia="Times New Roman" w:hAnsi="Times New Roman"/>
          <w:sz w:val="20"/>
          <w:szCs w:val="20"/>
          <w:color w:val="231F20"/>
        </w:rPr>
        <w:t>Date: February 26, 2026</w:t>
      </w:r>
      <w:r>
        <w:rPr>
          <w:sz w:val="20"/>
          <w:szCs w:val="20"/>
          <w:color w:val="auto"/>
        </w:rPr>
        <w:tab/>
      </w:r>
      <w:r>
        <w:rPr>
          <w:rFonts w:ascii="Times New Roman" w:cs="Times New Roman" w:eastAsia="Times New Roman" w:hAnsi="Times New Roman"/>
          <w:sz w:val="20"/>
          <w:szCs w:val="20"/>
          <w:color w:val="231F20"/>
        </w:rPr>
        <w:t>By:</w:t>
      </w:r>
      <w:r>
        <w:rPr>
          <w:sz w:val="20"/>
          <w:szCs w:val="20"/>
          <w:color w:val="auto"/>
        </w:rPr>
        <w:tab/>
      </w:r>
      <w:r>
        <w:rPr>
          <w:rFonts w:ascii="Times New Roman" w:cs="Times New Roman" w:eastAsia="Times New Roman" w:hAnsi="Times New Roman"/>
          <w:sz w:val="20"/>
          <w:szCs w:val="20"/>
          <w:color w:val="231F20"/>
        </w:rPr>
        <w:t>/s/ CHRISTOPHER C. VAZQUEZ</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3671570</wp:posOffset>
                </wp:positionH>
                <wp:positionV relativeFrom="paragraph">
                  <wp:posOffset>13970</wp:posOffset>
                </wp:positionV>
                <wp:extent cx="3186430" cy="0"/>
                <wp:wrapNone/>
                <wp:docPr id="26" name="Shape 2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18643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26" o:spid="_x0000_s105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9.1pt,1.1pt" to="540pt,1.1pt" o:allowincell="f" strokecolor="#231F20" strokeweight="0.25pt"/>
            </w:pict>
          </mc:Fallback>
        </mc:AlternateContent>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20"/>
          <w:szCs w:val="20"/>
          <w:i w:val="1"/>
          <w:iCs w:val="1"/>
          <w:color w:val="231F20"/>
        </w:rPr>
        <w:t>Christopher C. Vazquez</w:t>
      </w:r>
    </w:p>
    <w:p>
      <w:pPr>
        <w:spacing w:after="0" w:line="27"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i w:val="1"/>
          <w:iCs w:val="1"/>
          <w:color w:val="231F20"/>
        </w:rPr>
        <w:t>Chief Accounting Officer</w:t>
      </w:r>
    </w:p>
    <w:p>
      <w:pPr>
        <w:spacing w:after="0" w:line="29"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i w:val="1"/>
          <w:iCs w:val="1"/>
          <w:color w:val="231F20"/>
        </w:rPr>
        <w:t>(Principal Accounting Officer)</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231F20"/>
        </w:rPr>
        <w:t>POWER OF ATTORNEY</w:t>
      </w:r>
    </w:p>
    <w:p>
      <w:pPr>
        <w:spacing w:after="0" w:line="12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Each person whose signature appears below constitutes and appoints Scott Hutton and Robin Harper Cowie, and each of them, his or her true and lawful agent, proxy and attorney-in- fact, with full power of substitution and resubstitution, for him or her and in his or her name, place and stead, in any and all capacities, to file with the Securities and Exchange Commission this Form 10-K and any and all amendments and exhibits thereto, and all documents in connection therewith, granting unto each such attorney-in- fact and agent full power and authority to do and perform each and every act and thing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hereof.</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Pursuant to the requirements of the Securities Exchange Act of 1934, as amended, this Report has been signed below by the following persons on behalf of the Registrant in the capacities and on the dates indicated.</w:t>
      </w:r>
    </w:p>
    <w:p>
      <w:pPr>
        <w:spacing w:after="0" w:line="174" w:lineRule="exact"/>
        <w:rPr>
          <w:sz w:val="20"/>
          <w:szCs w:val="20"/>
          <w:color w:val="auto"/>
        </w:rPr>
      </w:pPr>
    </w:p>
    <w:p>
      <w:pPr>
        <w:ind w:left="1580"/>
        <w:spacing w:after="0"/>
        <w:tabs>
          <w:tab w:leader="none" w:pos="6180" w:val="left"/>
          <w:tab w:leader="none" w:pos="9820" w:val="left"/>
        </w:tabs>
        <w:rPr>
          <w:sz w:val="20"/>
          <w:szCs w:val="20"/>
          <w:color w:val="auto"/>
        </w:rPr>
      </w:pPr>
      <w:r>
        <w:rPr>
          <w:rFonts w:ascii="Times New Roman" w:cs="Times New Roman" w:eastAsia="Times New Roman" w:hAnsi="Times New Roman"/>
          <w:sz w:val="16"/>
          <w:szCs w:val="16"/>
          <w:b w:val="1"/>
          <w:bCs w:val="1"/>
          <w:color w:val="231F20"/>
        </w:rPr>
        <w:t>Name</w:t>
      </w:r>
      <w:r>
        <w:rPr>
          <w:sz w:val="20"/>
          <w:szCs w:val="20"/>
          <w:color w:val="auto"/>
        </w:rPr>
        <w:tab/>
      </w:r>
      <w:r>
        <w:rPr>
          <w:rFonts w:ascii="Times New Roman" w:cs="Times New Roman" w:eastAsia="Times New Roman" w:hAnsi="Times New Roman"/>
          <w:sz w:val="16"/>
          <w:szCs w:val="16"/>
          <w:b w:val="1"/>
          <w:bCs w:val="1"/>
          <w:color w:val="231F20"/>
        </w:rPr>
        <w:t>Title</w:t>
      </w:r>
      <w:r>
        <w:rPr>
          <w:sz w:val="20"/>
          <w:szCs w:val="20"/>
          <w:color w:val="auto"/>
        </w:rPr>
        <w:tab/>
      </w:r>
      <w:r>
        <w:rPr>
          <w:rFonts w:ascii="Times New Roman" w:cs="Times New Roman" w:eastAsia="Times New Roman" w:hAnsi="Times New Roman"/>
          <w:sz w:val="16"/>
          <w:szCs w:val="16"/>
          <w:b w:val="1"/>
          <w:bCs w:val="1"/>
          <w:color w:val="231F20"/>
        </w:rPr>
        <w:t>Date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13335</wp:posOffset>
                </wp:positionV>
                <wp:extent cx="2262505"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26250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05pt" to="178.15pt,1.05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2262505</wp:posOffset>
                </wp:positionH>
                <wp:positionV relativeFrom="paragraph">
                  <wp:posOffset>13335</wp:posOffset>
                </wp:positionV>
                <wp:extent cx="71120" cy="0"/>
                <wp:wrapNone/>
                <wp:docPr id="28" name="Shape 2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28" o:spid="_x0000_s105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15pt,1.05pt" to="183.75pt,1.05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2333625</wp:posOffset>
                </wp:positionH>
                <wp:positionV relativeFrom="paragraph">
                  <wp:posOffset>13335</wp:posOffset>
                </wp:positionV>
                <wp:extent cx="3429000" cy="0"/>
                <wp:wrapNone/>
                <wp:docPr id="29" name="Shape 2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42900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29" o:spid="_x0000_s105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75pt,1.05pt" to="453.75pt,1.05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5762625</wp:posOffset>
                </wp:positionH>
                <wp:positionV relativeFrom="paragraph">
                  <wp:posOffset>13335</wp:posOffset>
                </wp:positionV>
                <wp:extent cx="889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90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53.75pt,1.05pt" to="460.75pt,1.05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5851525</wp:posOffset>
                </wp:positionH>
                <wp:positionV relativeFrom="paragraph">
                  <wp:posOffset>13335</wp:posOffset>
                </wp:positionV>
                <wp:extent cx="1006475" cy="0"/>
                <wp:wrapNone/>
                <wp:docPr id="31" name="Shape 3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00647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31" o:spid="_x0000_s105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60.75pt,1.05pt" to="540pt,1.05pt" o:allowincell="f" strokecolor="#231F20" strokeweight="0.25pt"/>
            </w:pict>
          </mc:Fallback>
        </mc:AlternateConten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SCOTT HUTTON</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President, Chief Executive Officer (Principal Executive Officer)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Scott Hutton</w:t>
            </w:r>
          </w:p>
        </w:tc>
        <w:tc>
          <w:tcPr>
            <w:tcW w:w="54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ROBIN HARPER COWIE</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Chief Financial Officer, Secretary and Treasurer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Robin Harper Cowie</w:t>
            </w:r>
          </w:p>
        </w:tc>
        <w:tc>
          <w:tcPr>
            <w:tcW w:w="54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CHRISTOPHER C. VAZQUEZ</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Chief Accounting Officer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11"/>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Christopher C. Vazquez</w:t>
            </w:r>
          </w:p>
        </w:tc>
        <w:tc>
          <w:tcPr>
            <w:tcW w:w="54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7"/>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JOHN PATIENCE</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Chairman and 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John Patience</w:t>
            </w:r>
          </w:p>
        </w:tc>
        <w:tc>
          <w:tcPr>
            <w:tcW w:w="54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JEAN FRANCHI</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Jean Franchi</w:t>
            </w:r>
          </w:p>
        </w:tc>
        <w:tc>
          <w:tcPr>
            <w:tcW w:w="54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JON FAIZ KAYYEM</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11"/>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rPr>
              <w:t>Jon Faiz Kayyem, Ph.D.</w:t>
            </w:r>
          </w:p>
        </w:tc>
        <w:tc>
          <w:tcPr>
            <w:tcW w:w="54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7"/>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LAWRENCE T. KENNEDY, JR.</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11"/>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Lawrence T. Kennedy, Jr.</w:t>
            </w:r>
          </w:p>
        </w:tc>
        <w:tc>
          <w:tcPr>
            <w:tcW w:w="546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327"/>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w w:val="99"/>
              </w:rPr>
              <w:t>/s/ HANY MASSARANY</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Hany Massarany</w:t>
            </w:r>
          </w:p>
        </w:tc>
        <w:tc>
          <w:tcPr>
            <w:tcW w:w="546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327"/>
        </w:trPr>
        <w:tc>
          <w:tcPr>
            <w:tcW w:w="35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color w:val="231F20"/>
              </w:rPr>
              <w:t>/s/ MATTHEW STROBECK</w:t>
            </w:r>
          </w:p>
        </w:tc>
        <w:tc>
          <w:tcPr>
            <w:tcW w:w="5460" w:type="dxa"/>
            <w:vAlign w:val="bottom"/>
          </w:tcPr>
          <w:p>
            <w:pPr>
              <w:ind w:left="120"/>
              <w:spacing w:after="0"/>
              <w:rPr>
                <w:sz w:val="20"/>
                <w:szCs w:val="20"/>
                <w:color w:val="auto"/>
              </w:rPr>
            </w:pPr>
            <w:r>
              <w:rPr>
                <w:rFonts w:ascii="Times New Roman" w:cs="Times New Roman" w:eastAsia="Times New Roman" w:hAnsi="Times New Roman"/>
                <w:sz w:val="20"/>
                <w:szCs w:val="20"/>
                <w:color w:val="231F20"/>
              </w:rPr>
              <w:t>Director</w:t>
            </w:r>
          </w:p>
        </w:tc>
        <w:tc>
          <w:tcPr>
            <w:tcW w:w="1680" w:type="dxa"/>
            <w:vAlign w:val="bottom"/>
          </w:tcPr>
          <w:p>
            <w:pPr>
              <w:ind w:left="200"/>
              <w:spacing w:after="0"/>
              <w:rPr>
                <w:sz w:val="20"/>
                <w:szCs w:val="20"/>
                <w:color w:val="auto"/>
              </w:rPr>
            </w:pPr>
            <w:r>
              <w:rPr>
                <w:rFonts w:ascii="Times New Roman" w:cs="Times New Roman" w:eastAsia="Times New Roman" w:hAnsi="Times New Roman"/>
                <w:sz w:val="20"/>
                <w:szCs w:val="20"/>
                <w:color w:val="231F20"/>
                <w:w w:val="99"/>
              </w:rPr>
              <w:t>February 26, 2026</w:t>
            </w:r>
          </w:p>
        </w:tc>
      </w:tr>
      <w:tr>
        <w:trPr>
          <w:trHeight w:val="206"/>
        </w:trPr>
        <w:tc>
          <w:tcPr>
            <w:tcW w:w="3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231F20"/>
                <w:w w:val="99"/>
              </w:rPr>
              <w:t>Matthew Strobeck, Ph.D.</w:t>
            </w:r>
          </w:p>
        </w:tc>
        <w:tc>
          <w:tcPr>
            <w:tcW w:w="5460" w:type="dxa"/>
            <w:vAlign w:val="bottom"/>
          </w:tcPr>
          <w:p>
            <w:pPr>
              <w:spacing w:after="0"/>
              <w:rPr>
                <w:sz w:val="17"/>
                <w:szCs w:val="17"/>
                <w:color w:val="auto"/>
              </w:rPr>
            </w:pPr>
          </w:p>
        </w:tc>
        <w:tc>
          <w:tcPr>
            <w:tcW w:w="16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2262505</wp:posOffset>
                </wp:positionH>
                <wp:positionV relativeFrom="paragraph">
                  <wp:posOffset>-2960370</wp:posOffset>
                </wp:positionV>
                <wp:extent cx="71120" cy="0"/>
                <wp:wrapNone/>
                <wp:docPr id="32" name="Shape 3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2" o:spid="_x0000_s105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15pt,-233.0999pt" to="183.75pt,-233.0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2262505</wp:posOffset>
                </wp:positionH>
                <wp:positionV relativeFrom="paragraph">
                  <wp:posOffset>-2609215</wp:posOffset>
                </wp:positionV>
                <wp:extent cx="71120" cy="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3" o:spid="_x0000_s10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15pt,-205.4499pt" to="183.75pt,-205.4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2262505</wp:posOffset>
                </wp:positionH>
                <wp:positionV relativeFrom="paragraph">
                  <wp:posOffset>-1903730</wp:posOffset>
                </wp:positionV>
                <wp:extent cx="71120" cy="0"/>
                <wp:wrapNone/>
                <wp:docPr id="34" name="Shape 3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4" o:spid="_x0000_s105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15pt,-149.8999pt" to="183.75pt,-149.8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2262505</wp:posOffset>
                </wp:positionH>
                <wp:positionV relativeFrom="paragraph">
                  <wp:posOffset>-1552575</wp:posOffset>
                </wp:positionV>
                <wp:extent cx="71120" cy="0"/>
                <wp:wrapNone/>
                <wp:docPr id="35" name="Shape 3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5" o:spid="_x0000_s106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15pt,-122.2499pt" to="183.75pt,-122.24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2262505</wp:posOffset>
                </wp:positionH>
                <wp:positionV relativeFrom="paragraph">
                  <wp:posOffset>-492760</wp:posOffset>
                </wp:positionV>
                <wp:extent cx="71120" cy="0"/>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6" o:spid="_x0000_s106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15pt,-38.7999pt" to="183.75pt,-38.7999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2262505</wp:posOffset>
                </wp:positionH>
                <wp:positionV relativeFrom="paragraph">
                  <wp:posOffset>-141605</wp:posOffset>
                </wp:positionV>
                <wp:extent cx="71120" cy="0"/>
                <wp:wrapNone/>
                <wp:docPr id="37" name="Shape 3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120"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37" o:spid="_x0000_s106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8.15pt,-11.1499pt" to="183.75pt,-11.1499pt" o:allowincell="f" strokecolor="#FFFFFF" strokeweight="0.25pt"/>
            </w:pict>
          </mc:Fallback>
        </mc:AlternateConten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86</w:t>
      </w:r>
    </w:p>
    <w:p>
      <w:pPr>
        <w:sectPr>
          <w:pgSz w:w="11880" w:h="15480" w:orient="portrait"/>
          <w:cols w:equalWidth="0" w:num="1">
            <w:col w:w="10800"/>
          </w:cols>
          <w:pgMar w:left="540" w:top="746" w:right="540" w:bottom="0" w:gutter="0" w:footer="0" w:header="0"/>
          <w:type w:val="continuous"/>
        </w:sectPr>
      </w:pPr>
    </w:p>
    <w:bookmarkStart w:id="88" w:name="page89"/>
    <w:bookmarkEnd w:id="88"/>
    <w:tbl>
      <w:tblPr>
        <w:tblLayout w:type="fixed"/>
        <w:tblInd w:w="0" w:type="dxa"/>
        <w:tblCellMar>
          <w:top w:w="0" w:type="dxa"/>
          <w:left w:w="0" w:type="dxa"/>
          <w:bottom w:w="0" w:type="dxa"/>
          <w:right w:w="0" w:type="dxa"/>
        </w:tblCellMar>
      </w:tblPr>
      <w:tr>
        <w:trPr>
          <w:trHeight w:val="274"/>
        </w:trPr>
        <w:tc>
          <w:tcPr>
            <w:tcW w:w="962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Item 8. Financial Statements and Supplementary Data</w:t>
            </w:r>
          </w:p>
        </w:tc>
        <w:tc>
          <w:tcPr>
            <w:tcW w:w="1160" w:type="dxa"/>
            <w:vAlign w:val="bottom"/>
          </w:tcPr>
          <w:p>
            <w:pPr>
              <w:spacing w:after="0"/>
              <w:rPr>
                <w:sz w:val="23"/>
                <w:szCs w:val="23"/>
                <w:color w:val="auto"/>
              </w:rPr>
            </w:pPr>
          </w:p>
        </w:tc>
      </w:tr>
      <w:tr>
        <w:trPr>
          <w:trHeight w:val="590"/>
        </w:trPr>
        <w:tc>
          <w:tcPr>
            <w:tcW w:w="9620" w:type="dxa"/>
            <w:vAlign w:val="bottom"/>
          </w:tcPr>
          <w:p>
            <w:pPr>
              <w:ind w:left="4700"/>
              <w:spacing w:after="0"/>
              <w:rPr>
                <w:sz w:val="20"/>
                <w:szCs w:val="20"/>
                <w:color w:val="auto"/>
              </w:rPr>
            </w:pPr>
            <w:r>
              <w:rPr>
                <w:rFonts w:ascii="Times New Roman" w:cs="Times New Roman" w:eastAsia="Times New Roman" w:hAnsi="Times New Roman"/>
                <w:sz w:val="20"/>
                <w:szCs w:val="20"/>
                <w:b w:val="1"/>
                <w:bCs w:val="1"/>
                <w:color w:val="231F20"/>
              </w:rPr>
              <w:t>BIODESIX, Inc.</w:t>
            </w:r>
          </w:p>
        </w:tc>
        <w:tc>
          <w:tcPr>
            <w:tcW w:w="1160" w:type="dxa"/>
            <w:vAlign w:val="bottom"/>
          </w:tcPr>
          <w:p>
            <w:pPr>
              <w:spacing w:after="0"/>
              <w:rPr>
                <w:sz w:val="24"/>
                <w:szCs w:val="24"/>
                <w:color w:val="auto"/>
              </w:rPr>
            </w:pPr>
          </w:p>
        </w:tc>
      </w:tr>
      <w:tr>
        <w:trPr>
          <w:trHeight w:val="470"/>
        </w:trPr>
        <w:tc>
          <w:tcPr>
            <w:tcW w:w="9620" w:type="dxa"/>
            <w:vAlign w:val="bottom"/>
          </w:tcPr>
          <w:p>
            <w:pPr>
              <w:ind w:left="3600"/>
              <w:spacing w:after="0"/>
              <w:rPr>
                <w:sz w:val="20"/>
                <w:szCs w:val="20"/>
                <w:color w:val="auto"/>
              </w:rPr>
            </w:pPr>
            <w:r>
              <w:rPr>
                <w:rFonts w:ascii="Times New Roman" w:cs="Times New Roman" w:eastAsia="Times New Roman" w:hAnsi="Times New Roman"/>
                <w:sz w:val="20"/>
                <w:szCs w:val="20"/>
                <w:b w:val="1"/>
                <w:bCs w:val="1"/>
                <w:color w:val="231F20"/>
              </w:rPr>
              <w:t>INDEX TO FINANCIAL STATEMENTS</w:t>
            </w:r>
          </w:p>
        </w:tc>
        <w:tc>
          <w:tcPr>
            <w:tcW w:w="1160" w:type="dxa"/>
            <w:vAlign w:val="bottom"/>
          </w:tcPr>
          <w:p>
            <w:pPr>
              <w:spacing w:after="0"/>
              <w:rPr>
                <w:sz w:val="24"/>
                <w:szCs w:val="24"/>
                <w:color w:val="auto"/>
              </w:rPr>
            </w:pPr>
          </w:p>
        </w:tc>
      </w:tr>
      <w:tr>
        <w:trPr>
          <w:trHeight w:val="511"/>
        </w:trPr>
        <w:tc>
          <w:tcPr>
            <w:tcW w:w="9620" w:type="dxa"/>
            <w:vAlign w:val="bottom"/>
          </w:tcPr>
          <w:p>
            <w:pPr>
              <w:spacing w:after="0"/>
              <w:rPr>
                <w:sz w:val="20"/>
                <w:szCs w:val="20"/>
                <w:color w:val="auto"/>
              </w:rPr>
            </w:pPr>
            <w:r>
              <w:rPr>
                <w:rFonts w:ascii="Times New Roman" w:cs="Times New Roman" w:eastAsia="Times New Roman" w:hAnsi="Times New Roman"/>
                <w:sz w:val="20"/>
                <w:szCs w:val="20"/>
                <w:color w:val="231F20"/>
              </w:rPr>
              <w:t>Report of Independent Registered Public Accounting Firm (KPMG LLP, Denver, CO, Auditor Firm ID: 185)</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F-2</w:t>
            </w:r>
          </w:p>
        </w:tc>
      </w:tr>
      <w:tr>
        <w:trPr>
          <w:trHeight w:val="398"/>
        </w:trPr>
        <w:tc>
          <w:tcPr>
            <w:tcW w:w="9620" w:type="dxa"/>
            <w:vAlign w:val="bottom"/>
          </w:tcPr>
          <w:p>
            <w:pPr>
              <w:spacing w:after="0"/>
              <w:rPr>
                <w:sz w:val="20"/>
                <w:szCs w:val="20"/>
                <w:color w:val="auto"/>
              </w:rPr>
            </w:pPr>
            <w:r>
              <w:rPr>
                <w:rFonts w:ascii="Times New Roman" w:cs="Times New Roman" w:eastAsia="Times New Roman" w:hAnsi="Times New Roman"/>
                <w:sz w:val="20"/>
                <w:szCs w:val="20"/>
                <w:color w:val="231F20"/>
              </w:rPr>
              <w:t>Balance Sheets as of December 31, 2025 and 2024</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F-3</w:t>
            </w:r>
          </w:p>
        </w:tc>
      </w:tr>
      <w:tr>
        <w:trPr>
          <w:trHeight w:val="398"/>
        </w:trPr>
        <w:tc>
          <w:tcPr>
            <w:tcW w:w="9620" w:type="dxa"/>
            <w:vAlign w:val="bottom"/>
          </w:tcPr>
          <w:p>
            <w:pPr>
              <w:spacing w:after="0"/>
              <w:rPr>
                <w:sz w:val="20"/>
                <w:szCs w:val="20"/>
                <w:color w:val="auto"/>
              </w:rPr>
            </w:pPr>
            <w:r>
              <w:rPr>
                <w:rFonts w:ascii="Times New Roman" w:cs="Times New Roman" w:eastAsia="Times New Roman" w:hAnsi="Times New Roman"/>
                <w:sz w:val="20"/>
                <w:szCs w:val="20"/>
                <w:color w:val="231F20"/>
              </w:rPr>
              <w:t>Statements of Operations for the Years Ended December 31, 2025 and 2024</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F-4</w:t>
            </w:r>
          </w:p>
        </w:tc>
      </w:tr>
      <w:tr>
        <w:trPr>
          <w:trHeight w:val="398"/>
        </w:trPr>
        <w:tc>
          <w:tcPr>
            <w:tcW w:w="9620" w:type="dxa"/>
            <w:vAlign w:val="bottom"/>
          </w:tcPr>
          <w:p>
            <w:pPr>
              <w:spacing w:after="0"/>
              <w:rPr>
                <w:sz w:val="20"/>
                <w:szCs w:val="20"/>
                <w:color w:val="auto"/>
              </w:rPr>
            </w:pPr>
            <w:r>
              <w:rPr>
                <w:rFonts w:ascii="Times New Roman" w:cs="Times New Roman" w:eastAsia="Times New Roman" w:hAnsi="Times New Roman"/>
                <w:sz w:val="20"/>
                <w:szCs w:val="20"/>
                <w:color w:val="231F20"/>
              </w:rPr>
              <w:t>Statements of Stockholders’ (Deficit) Equity for the Years Ended December 31, 2025 and 2024</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F-5</w:t>
            </w:r>
          </w:p>
        </w:tc>
      </w:tr>
      <w:tr>
        <w:trPr>
          <w:trHeight w:val="398"/>
        </w:trPr>
        <w:tc>
          <w:tcPr>
            <w:tcW w:w="9620" w:type="dxa"/>
            <w:vAlign w:val="bottom"/>
          </w:tcPr>
          <w:p>
            <w:pPr>
              <w:spacing w:after="0"/>
              <w:rPr>
                <w:sz w:val="20"/>
                <w:szCs w:val="20"/>
                <w:color w:val="auto"/>
              </w:rPr>
            </w:pPr>
            <w:r>
              <w:rPr>
                <w:rFonts w:ascii="Times New Roman" w:cs="Times New Roman" w:eastAsia="Times New Roman" w:hAnsi="Times New Roman"/>
                <w:sz w:val="20"/>
                <w:szCs w:val="20"/>
                <w:color w:val="231F20"/>
              </w:rPr>
              <w:t>Statements of Cash Flows for the Years Ended December 31, 2025 and 2024</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F-6</w:t>
            </w:r>
          </w:p>
        </w:tc>
      </w:tr>
      <w:tr>
        <w:trPr>
          <w:trHeight w:val="398"/>
        </w:trPr>
        <w:tc>
          <w:tcPr>
            <w:tcW w:w="9620" w:type="dxa"/>
            <w:vAlign w:val="bottom"/>
          </w:tcPr>
          <w:p>
            <w:pPr>
              <w:spacing w:after="0"/>
              <w:rPr>
                <w:sz w:val="20"/>
                <w:szCs w:val="20"/>
                <w:color w:val="auto"/>
              </w:rPr>
            </w:pPr>
            <w:r>
              <w:rPr>
                <w:rFonts w:ascii="Times New Roman" w:cs="Times New Roman" w:eastAsia="Times New Roman" w:hAnsi="Times New Roman"/>
                <w:sz w:val="20"/>
                <w:szCs w:val="20"/>
                <w:color w:val="231F20"/>
              </w:rPr>
              <w:t>Notes to Financial Statements</w:t>
            </w:r>
          </w:p>
        </w:tc>
        <w:tc>
          <w:tcPr>
            <w:tcW w:w="1160" w:type="dxa"/>
            <w:vAlign w:val="bottom"/>
          </w:tcPr>
          <w:p>
            <w:pPr>
              <w:ind w:left="880"/>
              <w:spacing w:after="0"/>
              <w:rPr>
                <w:sz w:val="20"/>
                <w:szCs w:val="20"/>
                <w:color w:val="auto"/>
              </w:rPr>
            </w:pPr>
            <w:r>
              <w:rPr>
                <w:rFonts w:ascii="Times New Roman" w:cs="Times New Roman" w:eastAsia="Times New Roman" w:hAnsi="Times New Roman"/>
                <w:sz w:val="20"/>
                <w:szCs w:val="20"/>
                <w:color w:val="231F20"/>
                <w:w w:val="93"/>
              </w:rPr>
              <w:t>F-8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-1429385</wp:posOffset>
            </wp:positionV>
            <wp:extent cx="6858000" cy="14192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4">
                      <a:extLst>
                        <a:ext uri="{28A0092B-C50C-407E-A947-70E740481C1C}"/>
                      </a:extLst>
                    </a:blip>
                    <a:srcRect/>
                    <a:stretch>
                      <a:fillRect/>
                    </a:stretch>
                  </pic:blipFill>
                  <pic:spPr bwMode="auto">
                    <a:xfrm>
                      <a:off x="0" y="0"/>
                      <a:ext cx="6858000" cy="1419225"/>
                    </a:xfrm>
                    <a:prstGeom prst="rect">
                      <a:avLst/>
                    </a:prstGeom>
                    <a:noFill/>
                  </pic:spPr>
                </pic:pic>
              </a:graphicData>
            </a:graphic>
          </wp:anchor>
        </w:drawing>
      </w:r>
    </w:p>
    <w:p>
      <w:pPr>
        <w:sectPr>
          <w:pgSz w:w="11880" w:h="15480" w:orient="portrait"/>
          <w:cols w:equalWidth="0" w:num="1">
            <w:col w:w="10780"/>
          </w:cols>
          <w:pgMar w:left="540" w:top="746" w:right="5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F-1</w:t>
      </w:r>
    </w:p>
    <w:p>
      <w:pPr>
        <w:sectPr>
          <w:pgSz w:w="11880" w:h="15480" w:orient="portrait"/>
          <w:cols w:equalWidth="0" w:num="1">
            <w:col w:w="10780"/>
          </w:cols>
          <w:pgMar w:left="540" w:top="746" w:right="560" w:bottom="0" w:gutter="0" w:footer="0" w:header="0"/>
          <w:type w:val="continuous"/>
        </w:sectPr>
      </w:pPr>
    </w:p>
    <w:bookmarkStart w:id="89" w:name="page90"/>
    <w:bookmarkEnd w:id="89"/>
    <w:p>
      <w:pPr>
        <w:jc w:val="center"/>
        <w:spacing w:after="0"/>
        <w:rPr>
          <w:sz w:val="20"/>
          <w:szCs w:val="20"/>
          <w:color w:val="auto"/>
        </w:rPr>
      </w:pPr>
      <w:r>
        <w:rPr>
          <w:rFonts w:ascii="Times New Roman" w:cs="Times New Roman" w:eastAsia="Times New Roman" w:hAnsi="Times New Roman"/>
          <w:sz w:val="20"/>
          <w:szCs w:val="20"/>
          <w:b w:val="1"/>
          <w:bCs w:val="1"/>
          <w:color w:val="231F20"/>
        </w:rPr>
        <w:t>Report of Independent Registered Public Accounting Firm</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To the Stockholders and the Board of Directors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Biodesix, Inc.:</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Opinion on the Financial Statements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We have audited the accompanying balance sheets of Biodesix, Inc. (the Company) as of December 31, 2025 and 2024, the related statements of operations, stockholders’ (deficit) equity, and cash flows for the years then ended December 31, 2025, and the related notes (collectively, the financial statements). In our opinion, the financial statements present fairly, in all material respects, the financial position of the Company as of December 31, 2025 and 2024, and the results of its operations and its cash flows for the years then ended December 31, 2025, in conformity with U.S. generally accepted accounting principles.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Basis for Opinion</w:t>
      </w:r>
    </w:p>
    <w:p>
      <w:pPr>
        <w:spacing w:after="0" w:line="12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0"/>
          <w:szCs w:val="20"/>
          <w:color w:val="231F20"/>
        </w:rPr>
        <w:t>These financial statements are the responsibility of the Company’s management. Our responsibility is to express an opinion on these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4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0"/>
          <w:szCs w:val="20"/>
          <w:color w:val="231F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Critical Audit Matter</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a critical audit matter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Measurement of diagnostic tests revenue</w:t>
      </w:r>
    </w:p>
    <w:p>
      <w:pPr>
        <w:spacing w:after="0" w:line="1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231F20"/>
        </w:rPr>
        <w:t>As discussed in Notes 2 and 11 to the financial statements, the Company derives revenue from two sources: (i) diagnostic tests, providing lung diagnostic testing services for healthcare providers associated with blood-based tests and (ii) development services to biopharmaceutical, life sciences and diagnostic companies. For diagnostic tests revenue, the Company estimates the transaction price, which is the amount of consideration it expects to be entitled to receive in exchange for providing services based on its historical collection experience, using a portfolio approach by considering payment history, historical price concessions and reimbursement contracts, among other factors including variable consideration. The Company recognized revenues of $79.2 million for the year ended December 31, 2025, related to diagnostic tests revenue.</w:t>
      </w:r>
    </w:p>
    <w:p>
      <w:pPr>
        <w:spacing w:after="0" w:line="8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231F20"/>
        </w:rPr>
        <w:t>We identified the evaluation of diagnostic tests revenue as a critical audit matter. Subjective auditor judgment was required to evaluate the measurement of diagnostic tests revenue, specifically the estimation of the amount of diagnostic tests revenue expected to be collectible from payors.</w:t>
      </w:r>
    </w:p>
    <w:p>
      <w:pPr>
        <w:spacing w:after="0" w:line="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following are the primary procedures we performed to address this critical audit matter. We evaluated the design of an internal control related to the estimation of the amount of diagnostic tests revenue expected to be collected, including managements consideration of the impact of payment histories. We compared diagnostic tests revenue recorded by the Company to subsequent cash receipts. For a sample of tests, we evaluated collections of revenue to identify whether the estimation method required adjustment. This included comparing collections to certain relevant documentation, including explanation of benefits and test results. In addition,</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w:t>
      </w:r>
    </w:p>
    <w:p>
      <w:pPr>
        <w:sectPr>
          <w:pgSz w:w="11880" w:h="15480" w:orient="portrait"/>
          <w:cols w:equalWidth="0" w:num="1">
            <w:col w:w="10800"/>
          </w:cols>
          <w:pgMar w:left="540" w:top="746" w:right="540" w:bottom="0" w:gutter="0" w:footer="0" w:header="0"/>
        </w:sectPr>
      </w:pPr>
    </w:p>
    <w:bookmarkStart w:id="90" w:name="page91"/>
    <w:bookmarkEnd w:id="90"/>
    <w:p>
      <w:pPr>
        <w:spacing w:after="0" w:line="277" w:lineRule="auto"/>
        <w:rPr>
          <w:sz w:val="20"/>
          <w:szCs w:val="20"/>
          <w:color w:val="auto"/>
        </w:rPr>
      </w:pPr>
      <w:r>
        <w:rPr>
          <w:rFonts w:ascii="Times New Roman" w:cs="Times New Roman" w:eastAsia="Times New Roman" w:hAnsi="Times New Roman"/>
          <w:sz w:val="20"/>
          <w:szCs w:val="20"/>
          <w:color w:val="231F20"/>
        </w:rPr>
        <w:t>we inquired of the individuals responsible for monitoring and tracking the status of anticipated collections to understand the progress of these activities and any impact on management’s estimates.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/s/ KPMG LLP</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We have served as the Company’s auditor since 2016.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Denver, Colorado</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February 26, 2026</w:t>
      </w:r>
    </w:p>
    <w:p>
      <w:pPr>
        <w:sectPr>
          <w:pgSz w:w="11880" w:h="15480" w:orient="portrait"/>
          <w:cols w:equalWidth="0" w:num="1">
            <w:col w:w="10800"/>
          </w:cols>
          <w:pgMar w:left="540" w:top="750"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F-3</w:t>
      </w:r>
    </w:p>
    <w:p>
      <w:pPr>
        <w:sectPr>
          <w:pgSz w:w="11880" w:h="15480" w:orient="portrait"/>
          <w:cols w:equalWidth="0" w:num="1">
            <w:col w:w="10800"/>
          </w:cols>
          <w:pgMar w:left="540" w:top="750" w:right="540" w:bottom="0" w:gutter="0" w:footer="0" w:header="0"/>
          <w:type w:val="continuous"/>
        </w:sectPr>
      </w:pPr>
    </w:p>
    <w:bookmarkStart w:id="91" w:name="page92"/>
    <w:bookmarkEnd w:id="91"/>
    <w:p>
      <w:pPr>
        <w:ind w:left="4660"/>
        <w:spacing w:after="0"/>
        <w:rPr>
          <w:sz w:val="20"/>
          <w:szCs w:val="20"/>
          <w:color w:val="auto"/>
        </w:rPr>
      </w:pPr>
      <w:r>
        <w:rPr>
          <w:rFonts w:ascii="Times New Roman" w:cs="Times New Roman" w:eastAsia="Times New Roman" w:hAnsi="Times New Roman"/>
          <w:sz w:val="20"/>
          <w:szCs w:val="20"/>
          <w:b w:val="1"/>
          <w:bCs w:val="1"/>
          <w:color w:val="231F20"/>
        </w:rPr>
        <w:t>BIODESIX, INC.</w:t>
      </w:r>
    </w:p>
    <w:p>
      <w:pPr>
        <w:spacing w:after="0" w:line="20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231F20"/>
        </w:rPr>
        <w:t>Balance Sheets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 except share data)</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920" w:type="dxa"/>
            <w:vAlign w:val="bottom"/>
            <w:tcBorders>
              <w:bottom w:val="single" w:sz="8" w:color="E5E6E7"/>
            </w:tcBorders>
          </w:tcPr>
          <w:p>
            <w:pPr>
              <w:spacing w:after="0"/>
              <w:rPr>
                <w:sz w:val="22"/>
                <w:szCs w:val="22"/>
                <w:color w:val="auto"/>
              </w:rPr>
            </w:pPr>
          </w:p>
        </w:tc>
        <w:tc>
          <w:tcPr>
            <w:tcW w:w="1900" w:type="dxa"/>
            <w:vAlign w:val="bottom"/>
            <w:tcBorders>
              <w:bottom w:val="single" w:sz="8" w:color="414142"/>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160" w:type="dxa"/>
            <w:vAlign w:val="bottom"/>
            <w:tcBorders>
              <w:bottom w:val="single" w:sz="8" w:color="E5E6E7"/>
            </w:tcBorders>
          </w:tcPr>
          <w:p>
            <w:pPr>
              <w:spacing w:after="0"/>
              <w:rPr>
                <w:sz w:val="22"/>
                <w:szCs w:val="22"/>
                <w:color w:val="auto"/>
              </w:rPr>
            </w:pPr>
          </w:p>
        </w:tc>
        <w:tc>
          <w:tcPr>
            <w:tcW w:w="1820" w:type="dxa"/>
            <w:vAlign w:val="bottom"/>
            <w:tcBorders>
              <w:bottom w:val="single" w:sz="8" w:color="414142"/>
            </w:tcBorders>
            <w:gridSpan w:val="3"/>
          </w:tcPr>
          <w:p>
            <w:pPr>
              <w:jc w:val="right"/>
              <w:ind w:right="160"/>
              <w:spacing w:after="0"/>
              <w:rPr>
                <w:sz w:val="20"/>
                <w:szCs w:val="20"/>
                <w:color w:val="auto"/>
              </w:rPr>
            </w:pPr>
            <w:r>
              <w:rPr>
                <w:rFonts w:ascii="Times New Roman" w:cs="Times New Roman" w:eastAsia="Times New Roman" w:hAnsi="Times New Roman"/>
                <w:sz w:val="20"/>
                <w:szCs w:val="20"/>
                <w:b w:val="1"/>
                <w:bCs w:val="1"/>
                <w:color w:val="231F20"/>
              </w:rPr>
              <w:t>December 31, 2024</w:t>
            </w:r>
          </w:p>
        </w:tc>
      </w:tr>
      <w:tr>
        <w:trPr>
          <w:trHeight w:val="239"/>
        </w:trPr>
        <w:tc>
          <w:tcPr>
            <w:tcW w:w="6920" w:type="dxa"/>
            <w:vAlign w:val="bottom"/>
            <w:shd w:val="clear" w:color="auto" w:fill="E5E6E7"/>
          </w:tcPr>
          <w:p>
            <w:pPr>
              <w:ind w:left="5080"/>
              <w:spacing w:after="0"/>
              <w:rPr>
                <w:sz w:val="20"/>
                <w:szCs w:val="20"/>
                <w:color w:val="auto"/>
              </w:rPr>
            </w:pPr>
            <w:r>
              <w:rPr>
                <w:rFonts w:ascii="Times New Roman" w:cs="Times New Roman" w:eastAsia="Times New Roman" w:hAnsi="Times New Roman"/>
                <w:sz w:val="20"/>
                <w:szCs w:val="20"/>
                <w:b w:val="1"/>
                <w:bCs w:val="1"/>
                <w:color w:val="414142"/>
              </w:rPr>
              <w:t>Assets</w:t>
            </w:r>
          </w:p>
        </w:tc>
        <w:tc>
          <w:tcPr>
            <w:tcW w:w="700" w:type="dxa"/>
            <w:vAlign w:val="bottom"/>
            <w:shd w:val="clear" w:color="auto" w:fill="E5E6E7"/>
          </w:tcPr>
          <w:p>
            <w:pPr>
              <w:spacing w:after="0"/>
              <w:rPr>
                <w:sz w:val="20"/>
                <w:szCs w:val="20"/>
                <w:color w:val="auto"/>
              </w:rPr>
            </w:pPr>
          </w:p>
        </w:tc>
        <w:tc>
          <w:tcPr>
            <w:tcW w:w="120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560" w:type="dxa"/>
            <w:vAlign w:val="bottom"/>
            <w:shd w:val="clear" w:color="auto" w:fill="E5E6E7"/>
          </w:tcPr>
          <w:p>
            <w:pPr>
              <w:spacing w:after="0"/>
              <w:rPr>
                <w:sz w:val="20"/>
                <w:szCs w:val="20"/>
                <w:color w:val="auto"/>
              </w:rPr>
            </w:pPr>
          </w:p>
        </w:tc>
        <w:tc>
          <w:tcPr>
            <w:tcW w:w="118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r>
      <w:tr>
        <w:trPr>
          <w:trHeight w:val="244"/>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231F20"/>
              </w:rPr>
              <w:t>Current assets</w:t>
            </w: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Cash and cash equivalents</w:t>
            </w:r>
          </w:p>
        </w:tc>
        <w:tc>
          <w:tcPr>
            <w:tcW w:w="700" w:type="dxa"/>
            <w:vAlign w:val="bottom"/>
            <w:shd w:val="clear" w:color="auto" w:fill="E3E4E5"/>
          </w:tcPr>
          <w:p>
            <w:pPr>
              <w:jc w:val="right"/>
              <w:ind w:right="500"/>
              <w:spacing w:after="0"/>
              <w:rPr>
                <w:sz w:val="20"/>
                <w:szCs w:val="20"/>
                <w:color w:val="auto"/>
              </w:rPr>
            </w:pPr>
            <w:r>
              <w:rPr>
                <w:rFonts w:ascii="Times New Roman" w:cs="Times New Roman" w:eastAsia="Times New Roman" w:hAnsi="Times New Roman"/>
                <w:sz w:val="20"/>
                <w:szCs w:val="20"/>
                <w:color w:val="414142"/>
                <w:w w:val="79"/>
              </w:rPr>
              <w:t>$</w:t>
            </w:r>
          </w:p>
        </w:tc>
        <w:tc>
          <w:tcPr>
            <w:tcW w:w="12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18,987</w:t>
            </w:r>
          </w:p>
        </w:tc>
        <w:tc>
          <w:tcPr>
            <w:tcW w:w="160" w:type="dxa"/>
            <w:vAlign w:val="bottom"/>
            <w:shd w:val="clear" w:color="auto" w:fill="E5E6E7"/>
          </w:tcPr>
          <w:p>
            <w:pPr>
              <w:spacing w:after="0"/>
              <w:rPr>
                <w:sz w:val="21"/>
                <w:szCs w:val="21"/>
                <w:color w:val="auto"/>
              </w:rPr>
            </w:pPr>
          </w:p>
        </w:tc>
        <w:tc>
          <w:tcPr>
            <w:tcW w:w="560" w:type="dxa"/>
            <w:vAlign w:val="bottom"/>
            <w:shd w:val="clear" w:color="auto" w:fill="E3E4E5"/>
          </w:tcPr>
          <w:p>
            <w:pPr>
              <w:jc w:val="right"/>
              <w:ind w:right="360"/>
              <w:spacing w:after="0"/>
              <w:rPr>
                <w:sz w:val="20"/>
                <w:szCs w:val="20"/>
                <w:color w:val="auto"/>
              </w:rPr>
            </w:pPr>
            <w:r>
              <w:rPr>
                <w:rFonts w:ascii="Times New Roman" w:cs="Times New Roman" w:eastAsia="Times New Roman" w:hAnsi="Times New Roman"/>
                <w:sz w:val="20"/>
                <w:szCs w:val="20"/>
                <w:color w:val="414142"/>
                <w:w w:val="79"/>
              </w:rPr>
              <w:t>$</w:t>
            </w: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26,245</w:t>
            </w:r>
          </w:p>
        </w:tc>
        <w:tc>
          <w:tcPr>
            <w:tcW w:w="80" w:type="dxa"/>
            <w:vAlign w:val="bottom"/>
            <w:shd w:val="clear" w:color="auto" w:fill="E3E4E5"/>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receivable, net of allowance for credit losses of $62 and $481</w:t>
            </w:r>
          </w:p>
        </w:tc>
        <w:tc>
          <w:tcPr>
            <w:tcW w:w="70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9,036</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8,603</w:t>
            </w:r>
          </w:p>
        </w:tc>
        <w:tc>
          <w:tcPr>
            <w:tcW w:w="8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Other current assets</w:t>
            </w:r>
          </w:p>
        </w:tc>
        <w:tc>
          <w:tcPr>
            <w:tcW w:w="700" w:type="dxa"/>
            <w:vAlign w:val="bottom"/>
            <w:tcBorders>
              <w:bottom w:val="single" w:sz="8" w:color="231F20"/>
            </w:tcBorders>
            <w:shd w:val="clear" w:color="auto" w:fill="E3E4E5"/>
          </w:tcPr>
          <w:p>
            <w:pPr>
              <w:spacing w:after="0"/>
              <w:rPr>
                <w:sz w:val="21"/>
                <w:szCs w:val="21"/>
                <w:color w:val="auto"/>
              </w:rPr>
            </w:pPr>
          </w:p>
        </w:tc>
        <w:tc>
          <w:tcPr>
            <w:tcW w:w="1200" w:type="dxa"/>
            <w:vAlign w:val="bottom"/>
            <w:tcBorders>
              <w:bottom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4,495</w:t>
            </w:r>
          </w:p>
        </w:tc>
        <w:tc>
          <w:tcPr>
            <w:tcW w:w="160" w:type="dxa"/>
            <w:vAlign w:val="bottom"/>
            <w:shd w:val="clear" w:color="auto" w:fill="E5E6E7"/>
          </w:tcPr>
          <w:p>
            <w:pPr>
              <w:spacing w:after="0"/>
              <w:rPr>
                <w:sz w:val="21"/>
                <w:szCs w:val="21"/>
                <w:color w:val="auto"/>
              </w:rPr>
            </w:pPr>
          </w:p>
        </w:tc>
        <w:tc>
          <w:tcPr>
            <w:tcW w:w="560" w:type="dxa"/>
            <w:vAlign w:val="bottom"/>
            <w:tcBorders>
              <w:bottom w:val="single" w:sz="8" w:color="231F20"/>
            </w:tcBorders>
            <w:shd w:val="clear" w:color="auto" w:fill="E3E4E5"/>
          </w:tcPr>
          <w:p>
            <w:pPr>
              <w:spacing w:after="0"/>
              <w:rPr>
                <w:sz w:val="21"/>
                <w:szCs w:val="21"/>
                <w:color w:val="auto"/>
              </w:rPr>
            </w:pPr>
          </w:p>
        </w:tc>
        <w:tc>
          <w:tcPr>
            <w:tcW w:w="11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4,636</w:t>
            </w:r>
          </w:p>
        </w:tc>
        <w:tc>
          <w:tcPr>
            <w:tcW w:w="80" w:type="dxa"/>
            <w:vAlign w:val="bottom"/>
            <w:tcBorders>
              <w:bottom w:val="single" w:sz="8" w:color="231F20"/>
            </w:tcBorders>
            <w:shd w:val="clear" w:color="auto" w:fill="E3E4E5"/>
          </w:tcPr>
          <w:p>
            <w:pPr>
              <w:spacing w:after="0"/>
              <w:rPr>
                <w:sz w:val="21"/>
                <w:szCs w:val="21"/>
                <w:color w:val="auto"/>
              </w:rPr>
            </w:pPr>
          </w:p>
        </w:tc>
      </w:tr>
      <w:tr>
        <w:trPr>
          <w:trHeight w:val="239"/>
        </w:trPr>
        <w:tc>
          <w:tcPr>
            <w:tcW w:w="692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Total current assets</w:t>
            </w:r>
          </w:p>
        </w:tc>
        <w:tc>
          <w:tcPr>
            <w:tcW w:w="7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32,518</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39,484</w:t>
            </w:r>
          </w:p>
        </w:tc>
        <w:tc>
          <w:tcPr>
            <w:tcW w:w="80" w:type="dxa"/>
            <w:vAlign w:val="bottom"/>
          </w:tcPr>
          <w:p>
            <w:pPr>
              <w:spacing w:after="0"/>
              <w:rPr>
                <w:sz w:val="20"/>
                <w:szCs w:val="20"/>
                <w:color w:val="auto"/>
              </w:rPr>
            </w:pPr>
          </w:p>
        </w:tc>
      </w:tr>
      <w:tr>
        <w:trPr>
          <w:trHeight w:val="274"/>
        </w:trPr>
        <w:tc>
          <w:tcPr>
            <w:tcW w:w="6920" w:type="dxa"/>
            <w:vAlign w:val="bottom"/>
            <w:shd w:val="clear" w:color="auto" w:fill="E5E6E7"/>
          </w:tcPr>
          <w:p>
            <w:pPr>
              <w:spacing w:after="0" w:line="230" w:lineRule="exact"/>
              <w:rPr>
                <w:sz w:val="20"/>
                <w:szCs w:val="20"/>
                <w:color w:val="auto"/>
              </w:rPr>
            </w:pPr>
            <w:r>
              <w:rPr>
                <w:rFonts w:ascii="Times New Roman" w:cs="Times New Roman" w:eastAsia="Times New Roman" w:hAnsi="Times New Roman"/>
                <w:sz w:val="20"/>
                <w:szCs w:val="20"/>
                <w:color w:val="414142"/>
              </w:rPr>
              <w:t>Non</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current assets</w:t>
            </w:r>
          </w:p>
        </w:tc>
        <w:tc>
          <w:tcPr>
            <w:tcW w:w="700" w:type="dxa"/>
            <w:vAlign w:val="bottom"/>
            <w:shd w:val="clear" w:color="auto" w:fill="E5E6E7"/>
          </w:tcPr>
          <w:p>
            <w:pPr>
              <w:spacing w:after="0"/>
              <w:rPr>
                <w:sz w:val="23"/>
                <w:szCs w:val="23"/>
                <w:color w:val="auto"/>
              </w:rPr>
            </w:pPr>
          </w:p>
        </w:tc>
        <w:tc>
          <w:tcPr>
            <w:tcW w:w="1200" w:type="dxa"/>
            <w:vAlign w:val="bottom"/>
            <w:shd w:val="clear" w:color="auto" w:fill="E5E6E7"/>
          </w:tcPr>
          <w:p>
            <w:pPr>
              <w:spacing w:after="0"/>
              <w:rPr>
                <w:sz w:val="23"/>
                <w:szCs w:val="23"/>
                <w:color w:val="auto"/>
              </w:rPr>
            </w:pPr>
          </w:p>
        </w:tc>
        <w:tc>
          <w:tcPr>
            <w:tcW w:w="160" w:type="dxa"/>
            <w:vAlign w:val="bottom"/>
            <w:shd w:val="clear" w:color="auto" w:fill="E5E6E7"/>
          </w:tcPr>
          <w:p>
            <w:pPr>
              <w:spacing w:after="0"/>
              <w:rPr>
                <w:sz w:val="23"/>
                <w:szCs w:val="23"/>
                <w:color w:val="auto"/>
              </w:rPr>
            </w:pPr>
          </w:p>
        </w:tc>
        <w:tc>
          <w:tcPr>
            <w:tcW w:w="560" w:type="dxa"/>
            <w:vAlign w:val="bottom"/>
            <w:shd w:val="clear" w:color="auto" w:fill="E5E6E7"/>
          </w:tcPr>
          <w:p>
            <w:pPr>
              <w:spacing w:after="0"/>
              <w:rPr>
                <w:sz w:val="23"/>
                <w:szCs w:val="23"/>
                <w:color w:val="auto"/>
              </w:rPr>
            </w:pPr>
          </w:p>
        </w:tc>
        <w:tc>
          <w:tcPr>
            <w:tcW w:w="1180" w:type="dxa"/>
            <w:vAlign w:val="bottom"/>
            <w:shd w:val="clear" w:color="auto" w:fill="E5E6E7"/>
          </w:tcPr>
          <w:p>
            <w:pPr>
              <w:spacing w:after="0"/>
              <w:rPr>
                <w:sz w:val="23"/>
                <w:szCs w:val="23"/>
                <w:color w:val="auto"/>
              </w:rPr>
            </w:pPr>
          </w:p>
        </w:tc>
        <w:tc>
          <w:tcPr>
            <w:tcW w:w="80" w:type="dxa"/>
            <w:vAlign w:val="bottom"/>
            <w:shd w:val="clear" w:color="auto" w:fill="E5E6E7"/>
          </w:tcPr>
          <w:p>
            <w:pPr>
              <w:spacing w:after="0"/>
              <w:rPr>
                <w:sz w:val="23"/>
                <w:szCs w:val="23"/>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Property and equipment, net</w:t>
            </w:r>
          </w:p>
        </w:tc>
        <w:tc>
          <w:tcPr>
            <w:tcW w:w="70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24,817</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27,828</w:t>
            </w:r>
          </w:p>
        </w:tc>
        <w:tc>
          <w:tcPr>
            <w:tcW w:w="8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Intangible assets, net</w:t>
            </w:r>
          </w:p>
        </w:tc>
        <w:tc>
          <w:tcPr>
            <w:tcW w:w="700" w:type="dxa"/>
            <w:vAlign w:val="bottom"/>
            <w:shd w:val="clear" w:color="auto" w:fill="E3E4E5"/>
          </w:tcPr>
          <w:p>
            <w:pPr>
              <w:spacing w:after="0"/>
              <w:rPr>
                <w:sz w:val="21"/>
                <w:szCs w:val="21"/>
                <w:color w:val="auto"/>
              </w:rPr>
            </w:pPr>
          </w:p>
        </w:tc>
        <w:tc>
          <w:tcPr>
            <w:tcW w:w="12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3,883</w:t>
            </w:r>
          </w:p>
        </w:tc>
        <w:tc>
          <w:tcPr>
            <w:tcW w:w="160" w:type="dxa"/>
            <w:vAlign w:val="bottom"/>
            <w:shd w:val="clear" w:color="auto" w:fill="E3E4E5"/>
          </w:tcPr>
          <w:p>
            <w:pPr>
              <w:spacing w:after="0"/>
              <w:rPr>
                <w:sz w:val="21"/>
                <w:szCs w:val="21"/>
                <w:color w:val="auto"/>
              </w:rPr>
            </w:pPr>
          </w:p>
        </w:tc>
        <w:tc>
          <w:tcPr>
            <w:tcW w:w="56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5,874</w:t>
            </w:r>
          </w:p>
        </w:tc>
        <w:tc>
          <w:tcPr>
            <w:tcW w:w="80" w:type="dxa"/>
            <w:vAlign w:val="bottom"/>
            <w:shd w:val="clear" w:color="auto" w:fill="E3E4E5"/>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Operating lease right-of-use assets</w:t>
            </w:r>
          </w:p>
        </w:tc>
        <w:tc>
          <w:tcPr>
            <w:tcW w:w="70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2,997</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1,767</w:t>
            </w:r>
          </w:p>
        </w:tc>
        <w:tc>
          <w:tcPr>
            <w:tcW w:w="8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Goodwill</w:t>
            </w:r>
          </w:p>
        </w:tc>
        <w:tc>
          <w:tcPr>
            <w:tcW w:w="700" w:type="dxa"/>
            <w:vAlign w:val="bottom"/>
            <w:shd w:val="clear" w:color="auto" w:fill="E3E4E5"/>
          </w:tcPr>
          <w:p>
            <w:pPr>
              <w:spacing w:after="0"/>
              <w:rPr>
                <w:sz w:val="21"/>
                <w:szCs w:val="21"/>
                <w:color w:val="auto"/>
              </w:rPr>
            </w:pPr>
          </w:p>
        </w:tc>
        <w:tc>
          <w:tcPr>
            <w:tcW w:w="12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15,031</w:t>
            </w:r>
          </w:p>
        </w:tc>
        <w:tc>
          <w:tcPr>
            <w:tcW w:w="160" w:type="dxa"/>
            <w:vAlign w:val="bottom"/>
            <w:shd w:val="clear" w:color="auto" w:fill="E5E6E7"/>
          </w:tcPr>
          <w:p>
            <w:pPr>
              <w:spacing w:after="0"/>
              <w:rPr>
                <w:sz w:val="21"/>
                <w:szCs w:val="21"/>
                <w:color w:val="auto"/>
              </w:rPr>
            </w:pPr>
          </w:p>
        </w:tc>
        <w:tc>
          <w:tcPr>
            <w:tcW w:w="56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15,031</w:t>
            </w:r>
          </w:p>
        </w:tc>
        <w:tc>
          <w:tcPr>
            <w:tcW w:w="80" w:type="dxa"/>
            <w:vAlign w:val="bottom"/>
            <w:shd w:val="clear" w:color="auto" w:fill="E3E4E5"/>
          </w:tcPr>
          <w:p>
            <w:pPr>
              <w:spacing w:after="0"/>
              <w:rPr>
                <w:sz w:val="21"/>
                <w:szCs w:val="21"/>
                <w:color w:val="auto"/>
              </w:rPr>
            </w:pPr>
          </w:p>
        </w:tc>
      </w:tr>
      <w:tr>
        <w:trPr>
          <w:trHeight w:val="244"/>
        </w:trPr>
        <w:tc>
          <w:tcPr>
            <w:tcW w:w="692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Other long-term assets</w:t>
            </w:r>
          </w:p>
        </w:tc>
        <w:tc>
          <w:tcPr>
            <w:tcW w:w="70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8,230</w:t>
            </w:r>
          </w:p>
        </w:tc>
        <w:tc>
          <w:tcPr>
            <w:tcW w:w="160" w:type="dxa"/>
            <w:vAlign w:val="bottom"/>
            <w:tcBorders>
              <w:bottom w:val="single" w:sz="8" w:color="E5E6E7"/>
            </w:tcBorders>
          </w:tcPr>
          <w:p>
            <w:pPr>
              <w:spacing w:after="0"/>
              <w:rPr>
                <w:sz w:val="21"/>
                <w:szCs w:val="21"/>
                <w:color w:val="auto"/>
              </w:rPr>
            </w:pPr>
          </w:p>
        </w:tc>
        <w:tc>
          <w:tcPr>
            <w:tcW w:w="56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7,260</w:t>
            </w:r>
          </w:p>
        </w:tc>
        <w:tc>
          <w:tcPr>
            <w:tcW w:w="80" w:type="dxa"/>
            <w:vAlign w:val="bottom"/>
            <w:tcBorders>
              <w:bottom w:val="single" w:sz="8" w:color="231F20"/>
            </w:tcBorders>
          </w:tcPr>
          <w:p>
            <w:pPr>
              <w:spacing w:after="0"/>
              <w:rPr>
                <w:sz w:val="21"/>
                <w:szCs w:val="21"/>
                <w:color w:val="auto"/>
              </w:rPr>
            </w:pPr>
          </w:p>
        </w:tc>
      </w:tr>
      <w:tr>
        <w:trPr>
          <w:trHeight w:val="289"/>
        </w:trPr>
        <w:tc>
          <w:tcPr>
            <w:tcW w:w="6920" w:type="dxa"/>
            <w:vAlign w:val="bottom"/>
            <w:tcBorders>
              <w:bottom w:val="single" w:sz="8" w:color="E5E6E7"/>
            </w:tcBorders>
            <w:shd w:val="clear" w:color="auto" w:fill="E5E6E7"/>
          </w:tcPr>
          <w:p>
            <w:pPr>
              <w:ind w:left="400"/>
              <w:spacing w:after="0" w:line="230" w:lineRule="exact"/>
              <w:rPr>
                <w:sz w:val="20"/>
                <w:szCs w:val="20"/>
                <w:color w:val="auto"/>
              </w:rPr>
            </w:pPr>
            <w:r>
              <w:rPr>
                <w:rFonts w:ascii="Times New Roman" w:cs="Times New Roman" w:eastAsia="Times New Roman" w:hAnsi="Times New Roman"/>
                <w:sz w:val="20"/>
                <w:szCs w:val="20"/>
                <w:color w:val="414142"/>
              </w:rPr>
              <w:t>Total non</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current assets</w:t>
            </w:r>
          </w:p>
        </w:tc>
        <w:tc>
          <w:tcPr>
            <w:tcW w:w="700" w:type="dxa"/>
            <w:vAlign w:val="bottom"/>
            <w:tcBorders>
              <w:bottom w:val="single" w:sz="8" w:color="E3E4E5"/>
            </w:tcBorders>
            <w:shd w:val="clear" w:color="auto" w:fill="E3E4E5"/>
          </w:tcPr>
          <w:p>
            <w:pPr>
              <w:spacing w:after="0"/>
              <w:rPr>
                <w:sz w:val="24"/>
                <w:szCs w:val="24"/>
                <w:color w:val="auto"/>
              </w:rPr>
            </w:pPr>
          </w:p>
        </w:tc>
        <w:tc>
          <w:tcPr>
            <w:tcW w:w="1200" w:type="dxa"/>
            <w:vAlign w:val="bottom"/>
            <w:tcBorders>
              <w:bottom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54,958</w:t>
            </w:r>
          </w:p>
        </w:tc>
        <w:tc>
          <w:tcPr>
            <w:tcW w:w="160" w:type="dxa"/>
            <w:vAlign w:val="bottom"/>
            <w:tcBorders>
              <w:bottom w:val="single" w:sz="8" w:color="E5E6E7"/>
            </w:tcBorders>
            <w:shd w:val="clear" w:color="auto" w:fill="E5E6E7"/>
          </w:tcPr>
          <w:p>
            <w:pPr>
              <w:spacing w:after="0"/>
              <w:rPr>
                <w:sz w:val="24"/>
                <w:szCs w:val="24"/>
                <w:color w:val="auto"/>
              </w:rPr>
            </w:pPr>
          </w:p>
        </w:tc>
        <w:tc>
          <w:tcPr>
            <w:tcW w:w="560" w:type="dxa"/>
            <w:vAlign w:val="bottom"/>
            <w:tcBorders>
              <w:bottom w:val="single" w:sz="8" w:color="231F20"/>
            </w:tcBorders>
            <w:shd w:val="clear" w:color="auto" w:fill="E3E4E5"/>
          </w:tcPr>
          <w:p>
            <w:pPr>
              <w:spacing w:after="0"/>
              <w:rPr>
                <w:sz w:val="24"/>
                <w:szCs w:val="24"/>
                <w:color w:val="auto"/>
              </w:rPr>
            </w:pPr>
          </w:p>
        </w:tc>
        <w:tc>
          <w:tcPr>
            <w:tcW w:w="11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57,760</w:t>
            </w:r>
          </w:p>
        </w:tc>
        <w:tc>
          <w:tcPr>
            <w:tcW w:w="80" w:type="dxa"/>
            <w:vAlign w:val="bottom"/>
            <w:tcBorders>
              <w:bottom w:val="single" w:sz="8" w:color="231F20"/>
            </w:tcBorders>
            <w:shd w:val="clear" w:color="auto" w:fill="E3E4E5"/>
          </w:tcPr>
          <w:p>
            <w:pPr>
              <w:spacing w:after="0"/>
              <w:rPr>
                <w:sz w:val="24"/>
                <w:szCs w:val="24"/>
                <w:color w:val="auto"/>
              </w:rPr>
            </w:pPr>
          </w:p>
        </w:tc>
      </w:tr>
      <w:tr>
        <w:trPr>
          <w:trHeight w:val="259"/>
        </w:trPr>
        <w:tc>
          <w:tcPr>
            <w:tcW w:w="6920" w:type="dxa"/>
            <w:vAlign w:val="bottom"/>
            <w:tcBorders>
              <w:bottom w:val="single" w:sz="8" w:color="E5E6E7"/>
            </w:tcBorders>
          </w:tcPr>
          <w:p>
            <w:pPr>
              <w:spacing w:after="0" w:line="219" w:lineRule="exact"/>
              <w:rPr>
                <w:sz w:val="20"/>
                <w:szCs w:val="20"/>
                <w:color w:val="auto"/>
              </w:rPr>
            </w:pPr>
            <w:r>
              <w:rPr>
                <w:rFonts w:ascii="Times New Roman" w:cs="Times New Roman" w:eastAsia="Times New Roman" w:hAnsi="Times New Roman"/>
                <w:sz w:val="20"/>
                <w:szCs w:val="20"/>
                <w:color w:val="231F20"/>
              </w:rPr>
              <w:t>Total assets</w:t>
            </w:r>
          </w:p>
        </w:tc>
        <w:tc>
          <w:tcPr>
            <w:tcW w:w="700" w:type="dxa"/>
            <w:vAlign w:val="bottom"/>
            <w:tcBorders>
              <w:top w:val="single" w:sz="8" w:color="231F20"/>
              <w:bottom w:val="single" w:sz="8" w:color="231F20"/>
            </w:tcBorders>
          </w:tcPr>
          <w:p>
            <w:pPr>
              <w:jc w:val="right"/>
              <w:ind w:right="50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Borders>
              <w:top w:val="single" w:sz="8" w:color="231F20"/>
              <w:bottom w:val="single" w:sz="8" w:color="231F20"/>
            </w:tcBorders>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87,476</w:t>
            </w:r>
          </w:p>
        </w:tc>
        <w:tc>
          <w:tcPr>
            <w:tcW w:w="160" w:type="dxa"/>
            <w:vAlign w:val="bottom"/>
            <w:tcBorders>
              <w:bottom w:val="single" w:sz="8" w:color="E5E6E7"/>
            </w:tcBorders>
          </w:tcPr>
          <w:p>
            <w:pPr>
              <w:spacing w:after="0"/>
              <w:rPr>
                <w:sz w:val="22"/>
                <w:szCs w:val="22"/>
                <w:color w:val="auto"/>
              </w:rPr>
            </w:pPr>
          </w:p>
        </w:tc>
        <w:tc>
          <w:tcPr>
            <w:tcW w:w="560" w:type="dxa"/>
            <w:vAlign w:val="bottom"/>
            <w:tcBorders>
              <w:top w:val="single" w:sz="8" w:color="231F20"/>
              <w:bottom w:val="single" w:sz="8" w:color="231F20"/>
            </w:tcBorders>
          </w:tcPr>
          <w:p>
            <w:pPr>
              <w:jc w:val="right"/>
              <w:ind w:right="36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1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97,244</w:t>
            </w:r>
          </w:p>
        </w:tc>
        <w:tc>
          <w:tcPr>
            <w:tcW w:w="80" w:type="dxa"/>
            <w:vAlign w:val="bottom"/>
            <w:tcBorders>
              <w:top w:val="single" w:sz="8" w:color="231F20"/>
              <w:bottom w:val="single" w:sz="8" w:color="231F20"/>
            </w:tcBorders>
          </w:tcPr>
          <w:p>
            <w:pPr>
              <w:spacing w:after="0"/>
              <w:rPr>
                <w:sz w:val="22"/>
                <w:szCs w:val="22"/>
                <w:color w:val="auto"/>
              </w:rPr>
            </w:pPr>
          </w:p>
        </w:tc>
      </w:tr>
      <w:tr>
        <w:trPr>
          <w:trHeight w:val="229"/>
        </w:trPr>
        <w:tc>
          <w:tcPr>
            <w:tcW w:w="6920" w:type="dxa"/>
            <w:vAlign w:val="bottom"/>
            <w:shd w:val="clear" w:color="auto" w:fill="E5E6E7"/>
          </w:tcPr>
          <w:p>
            <w:pPr>
              <w:spacing w:after="0"/>
              <w:rPr>
                <w:sz w:val="19"/>
                <w:szCs w:val="19"/>
                <w:color w:val="auto"/>
              </w:rPr>
            </w:pPr>
          </w:p>
        </w:tc>
        <w:tc>
          <w:tcPr>
            <w:tcW w:w="700" w:type="dxa"/>
            <w:vAlign w:val="bottom"/>
            <w:shd w:val="clear" w:color="auto" w:fill="E5E6E7"/>
          </w:tcPr>
          <w:p>
            <w:pPr>
              <w:spacing w:after="0"/>
              <w:rPr>
                <w:sz w:val="19"/>
                <w:szCs w:val="19"/>
                <w:color w:val="auto"/>
              </w:rPr>
            </w:pPr>
          </w:p>
        </w:tc>
        <w:tc>
          <w:tcPr>
            <w:tcW w:w="1200" w:type="dxa"/>
            <w:vAlign w:val="bottom"/>
            <w:shd w:val="clear" w:color="auto" w:fill="E5E6E7"/>
          </w:tcPr>
          <w:p>
            <w:pPr>
              <w:spacing w:after="0"/>
              <w:rPr>
                <w:sz w:val="19"/>
                <w:szCs w:val="19"/>
                <w:color w:val="auto"/>
              </w:rPr>
            </w:pPr>
          </w:p>
        </w:tc>
        <w:tc>
          <w:tcPr>
            <w:tcW w:w="160" w:type="dxa"/>
            <w:vAlign w:val="bottom"/>
            <w:shd w:val="clear" w:color="auto" w:fill="E5E6E7"/>
          </w:tcPr>
          <w:p>
            <w:pPr>
              <w:spacing w:after="0"/>
              <w:rPr>
                <w:sz w:val="19"/>
                <w:szCs w:val="19"/>
                <w:color w:val="auto"/>
              </w:rPr>
            </w:pPr>
          </w:p>
        </w:tc>
        <w:tc>
          <w:tcPr>
            <w:tcW w:w="560" w:type="dxa"/>
            <w:vAlign w:val="bottom"/>
            <w:shd w:val="clear" w:color="auto" w:fill="E5E6E7"/>
          </w:tcPr>
          <w:p>
            <w:pPr>
              <w:spacing w:after="0"/>
              <w:rPr>
                <w:sz w:val="19"/>
                <w:szCs w:val="19"/>
                <w:color w:val="auto"/>
              </w:rPr>
            </w:pPr>
          </w:p>
        </w:tc>
        <w:tc>
          <w:tcPr>
            <w:tcW w:w="1180" w:type="dxa"/>
            <w:vAlign w:val="bottom"/>
            <w:shd w:val="clear" w:color="auto" w:fill="E5E6E7"/>
          </w:tcPr>
          <w:p>
            <w:pPr>
              <w:spacing w:after="0"/>
              <w:rPr>
                <w:sz w:val="19"/>
                <w:szCs w:val="19"/>
                <w:color w:val="auto"/>
              </w:rPr>
            </w:pPr>
          </w:p>
        </w:tc>
        <w:tc>
          <w:tcPr>
            <w:tcW w:w="80" w:type="dxa"/>
            <w:vAlign w:val="bottom"/>
            <w:shd w:val="clear" w:color="auto" w:fill="E5E6E7"/>
          </w:tcPr>
          <w:p>
            <w:pPr>
              <w:spacing w:after="0"/>
              <w:rPr>
                <w:sz w:val="19"/>
                <w:szCs w:val="19"/>
                <w:color w:val="auto"/>
              </w:rPr>
            </w:pPr>
          </w:p>
        </w:tc>
      </w:tr>
      <w:tr>
        <w:trPr>
          <w:trHeight w:val="244"/>
        </w:trPr>
        <w:tc>
          <w:tcPr>
            <w:tcW w:w="7620" w:type="dxa"/>
            <w:vAlign w:val="bottom"/>
            <w:gridSpan w:val="2"/>
          </w:tcPr>
          <w:p>
            <w:pPr>
              <w:ind w:left="3440"/>
              <w:spacing w:after="0"/>
              <w:rPr>
                <w:sz w:val="20"/>
                <w:szCs w:val="20"/>
                <w:color w:val="auto"/>
              </w:rPr>
            </w:pPr>
            <w:r>
              <w:rPr>
                <w:rFonts w:ascii="Times New Roman" w:cs="Times New Roman" w:eastAsia="Times New Roman" w:hAnsi="Times New Roman"/>
                <w:sz w:val="20"/>
                <w:szCs w:val="20"/>
                <w:b w:val="1"/>
                <w:bCs w:val="1"/>
                <w:color w:val="231F20"/>
              </w:rPr>
              <w:t>Liabilities and Stockholders' (Deficit) Equity</w:t>
            </w: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69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Current liabilities</w:t>
            </w:r>
          </w:p>
        </w:tc>
        <w:tc>
          <w:tcPr>
            <w:tcW w:w="700" w:type="dxa"/>
            <w:vAlign w:val="bottom"/>
            <w:shd w:val="clear" w:color="auto" w:fill="E5E6E7"/>
          </w:tcPr>
          <w:p>
            <w:pPr>
              <w:spacing w:after="0"/>
              <w:rPr>
                <w:sz w:val="21"/>
                <w:szCs w:val="21"/>
                <w:color w:val="auto"/>
              </w:rPr>
            </w:pPr>
          </w:p>
        </w:tc>
        <w:tc>
          <w:tcPr>
            <w:tcW w:w="12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560" w:type="dxa"/>
            <w:vAlign w:val="bottom"/>
            <w:shd w:val="clear" w:color="auto" w:fill="E5E6E7"/>
          </w:tcPr>
          <w:p>
            <w:pPr>
              <w:spacing w:after="0"/>
              <w:rPr>
                <w:sz w:val="21"/>
                <w:szCs w:val="21"/>
                <w:color w:val="auto"/>
              </w:rPr>
            </w:pPr>
          </w:p>
        </w:tc>
        <w:tc>
          <w:tcPr>
            <w:tcW w:w="118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Accounts payable</w:t>
            </w:r>
          </w:p>
        </w:tc>
        <w:tc>
          <w:tcPr>
            <w:tcW w:w="70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3,080</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2,194</w:t>
            </w:r>
          </w:p>
        </w:tc>
        <w:tc>
          <w:tcPr>
            <w:tcW w:w="8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Accrued liabilities</w:t>
            </w:r>
          </w:p>
        </w:tc>
        <w:tc>
          <w:tcPr>
            <w:tcW w:w="700" w:type="dxa"/>
            <w:vAlign w:val="bottom"/>
            <w:shd w:val="clear" w:color="auto" w:fill="E3E4E5"/>
          </w:tcPr>
          <w:p>
            <w:pPr>
              <w:spacing w:after="0"/>
              <w:rPr>
                <w:sz w:val="21"/>
                <w:szCs w:val="21"/>
                <w:color w:val="auto"/>
              </w:rPr>
            </w:pPr>
          </w:p>
        </w:tc>
        <w:tc>
          <w:tcPr>
            <w:tcW w:w="12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11,033</w:t>
            </w:r>
          </w:p>
        </w:tc>
        <w:tc>
          <w:tcPr>
            <w:tcW w:w="160" w:type="dxa"/>
            <w:vAlign w:val="bottom"/>
            <w:shd w:val="clear" w:color="auto" w:fill="E5E6E7"/>
          </w:tcPr>
          <w:p>
            <w:pPr>
              <w:spacing w:after="0"/>
              <w:rPr>
                <w:sz w:val="21"/>
                <w:szCs w:val="21"/>
                <w:color w:val="auto"/>
              </w:rPr>
            </w:pPr>
          </w:p>
        </w:tc>
        <w:tc>
          <w:tcPr>
            <w:tcW w:w="56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10,064</w:t>
            </w:r>
          </w:p>
        </w:tc>
        <w:tc>
          <w:tcPr>
            <w:tcW w:w="80" w:type="dxa"/>
            <w:vAlign w:val="bottom"/>
            <w:shd w:val="clear" w:color="auto" w:fill="E3E4E5"/>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Deferred revenue</w:t>
            </w:r>
          </w:p>
        </w:tc>
        <w:tc>
          <w:tcPr>
            <w:tcW w:w="70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961</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678</w:t>
            </w:r>
          </w:p>
        </w:tc>
        <w:tc>
          <w:tcPr>
            <w:tcW w:w="80" w:type="dxa"/>
            <w:vAlign w:val="bottom"/>
          </w:tcPr>
          <w:p>
            <w:pPr>
              <w:spacing w:after="0"/>
              <w:rPr>
                <w:sz w:val="21"/>
                <w:szCs w:val="21"/>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Current portion of operating lease liabilities</w:t>
            </w:r>
          </w:p>
        </w:tc>
        <w:tc>
          <w:tcPr>
            <w:tcW w:w="700" w:type="dxa"/>
            <w:vAlign w:val="bottom"/>
            <w:shd w:val="clear" w:color="auto" w:fill="E3E4E5"/>
          </w:tcPr>
          <w:p>
            <w:pPr>
              <w:spacing w:after="0"/>
              <w:rPr>
                <w:sz w:val="21"/>
                <w:szCs w:val="21"/>
                <w:color w:val="auto"/>
              </w:rPr>
            </w:pPr>
          </w:p>
        </w:tc>
        <w:tc>
          <w:tcPr>
            <w:tcW w:w="12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1,364</w:t>
            </w:r>
          </w:p>
        </w:tc>
        <w:tc>
          <w:tcPr>
            <w:tcW w:w="160" w:type="dxa"/>
            <w:vAlign w:val="bottom"/>
            <w:shd w:val="clear" w:color="auto" w:fill="E5E6E7"/>
          </w:tcPr>
          <w:p>
            <w:pPr>
              <w:spacing w:after="0"/>
              <w:rPr>
                <w:sz w:val="21"/>
                <w:szCs w:val="21"/>
                <w:color w:val="auto"/>
              </w:rPr>
            </w:pPr>
          </w:p>
        </w:tc>
        <w:tc>
          <w:tcPr>
            <w:tcW w:w="56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719</w:t>
            </w:r>
          </w:p>
        </w:tc>
        <w:tc>
          <w:tcPr>
            <w:tcW w:w="80" w:type="dxa"/>
            <w:vAlign w:val="bottom"/>
            <w:shd w:val="clear" w:color="auto" w:fill="E3E4E5"/>
          </w:tcPr>
          <w:p>
            <w:pPr>
              <w:spacing w:after="0"/>
              <w:rPr>
                <w:sz w:val="21"/>
                <w:szCs w:val="21"/>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Current portion of notes payable</w:t>
            </w:r>
          </w:p>
        </w:tc>
        <w:tc>
          <w:tcPr>
            <w:tcW w:w="70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6</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w:t>
            </w:r>
          </w:p>
        </w:tc>
        <w:tc>
          <w:tcPr>
            <w:tcW w:w="80" w:type="dxa"/>
            <w:vAlign w:val="bottom"/>
          </w:tcPr>
          <w:p>
            <w:pPr>
              <w:spacing w:after="0"/>
              <w:rPr>
                <w:sz w:val="21"/>
                <w:szCs w:val="21"/>
                <w:color w:val="auto"/>
              </w:rPr>
            </w:pPr>
          </w:p>
        </w:tc>
      </w:tr>
      <w:tr>
        <w:trPr>
          <w:trHeight w:val="264"/>
        </w:trPr>
        <w:tc>
          <w:tcPr>
            <w:tcW w:w="692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Other current liabilities</w:t>
            </w:r>
          </w:p>
        </w:tc>
        <w:tc>
          <w:tcPr>
            <w:tcW w:w="700" w:type="dxa"/>
            <w:vAlign w:val="bottom"/>
            <w:tcBorders>
              <w:bottom w:val="single" w:sz="8" w:color="E3E4E5"/>
            </w:tcBorders>
            <w:shd w:val="clear" w:color="auto" w:fill="E3E4E5"/>
          </w:tcPr>
          <w:p>
            <w:pPr>
              <w:spacing w:after="0"/>
              <w:rPr>
                <w:sz w:val="22"/>
                <w:szCs w:val="22"/>
                <w:color w:val="auto"/>
              </w:rPr>
            </w:pPr>
          </w:p>
        </w:tc>
        <w:tc>
          <w:tcPr>
            <w:tcW w:w="1200" w:type="dxa"/>
            <w:vAlign w:val="bottom"/>
            <w:tcBorders>
              <w:bottom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992</w:t>
            </w:r>
          </w:p>
        </w:tc>
        <w:tc>
          <w:tcPr>
            <w:tcW w:w="160" w:type="dxa"/>
            <w:vAlign w:val="bottom"/>
            <w:tcBorders>
              <w:bottom w:val="single" w:sz="8" w:color="E3E4E5"/>
            </w:tcBorders>
            <w:shd w:val="clear" w:color="auto" w:fill="E3E4E5"/>
          </w:tcPr>
          <w:p>
            <w:pPr>
              <w:spacing w:after="0"/>
              <w:rPr>
                <w:sz w:val="22"/>
                <w:szCs w:val="22"/>
                <w:color w:val="auto"/>
              </w:rPr>
            </w:pPr>
          </w:p>
        </w:tc>
        <w:tc>
          <w:tcPr>
            <w:tcW w:w="560" w:type="dxa"/>
            <w:vAlign w:val="bottom"/>
            <w:tcBorders>
              <w:bottom w:val="single" w:sz="8" w:color="E3E4E5"/>
            </w:tcBorders>
            <w:shd w:val="clear" w:color="auto" w:fill="E3E4E5"/>
          </w:tcPr>
          <w:p>
            <w:pPr>
              <w:spacing w:after="0"/>
              <w:rPr>
                <w:sz w:val="22"/>
                <w:szCs w:val="22"/>
                <w:color w:val="auto"/>
              </w:rPr>
            </w:pPr>
          </w:p>
        </w:tc>
        <w:tc>
          <w:tcPr>
            <w:tcW w:w="1180" w:type="dxa"/>
            <w:vAlign w:val="bottom"/>
            <w:tcBorders>
              <w:bottom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641</w:t>
            </w:r>
          </w:p>
        </w:tc>
        <w:tc>
          <w:tcPr>
            <w:tcW w:w="80" w:type="dxa"/>
            <w:vAlign w:val="bottom"/>
            <w:tcBorders>
              <w:bottom w:val="single" w:sz="8" w:color="231F20"/>
            </w:tcBorders>
            <w:shd w:val="clear" w:color="auto" w:fill="E3E4E5"/>
          </w:tcPr>
          <w:p>
            <w:pPr>
              <w:spacing w:after="0"/>
              <w:rPr>
                <w:sz w:val="22"/>
                <w:szCs w:val="22"/>
                <w:color w:val="auto"/>
              </w:rPr>
            </w:pPr>
          </w:p>
        </w:tc>
      </w:tr>
      <w:tr>
        <w:trPr>
          <w:trHeight w:val="219"/>
        </w:trPr>
        <w:tc>
          <w:tcPr>
            <w:tcW w:w="6920" w:type="dxa"/>
            <w:vAlign w:val="bottom"/>
          </w:tcPr>
          <w:p>
            <w:pPr>
              <w:ind w:left="400"/>
              <w:spacing w:after="0" w:line="219" w:lineRule="exact"/>
              <w:rPr>
                <w:sz w:val="20"/>
                <w:szCs w:val="20"/>
                <w:color w:val="auto"/>
              </w:rPr>
            </w:pPr>
            <w:r>
              <w:rPr>
                <w:rFonts w:ascii="Times New Roman" w:cs="Times New Roman" w:eastAsia="Times New Roman" w:hAnsi="Times New Roman"/>
                <w:sz w:val="20"/>
                <w:szCs w:val="20"/>
                <w:color w:val="231F20"/>
              </w:rPr>
              <w:t>Total current liabilities</w:t>
            </w:r>
          </w:p>
        </w:tc>
        <w:tc>
          <w:tcPr>
            <w:tcW w:w="700" w:type="dxa"/>
            <w:vAlign w:val="bottom"/>
          </w:tcPr>
          <w:p>
            <w:pPr>
              <w:spacing w:after="0"/>
              <w:rPr>
                <w:sz w:val="19"/>
                <w:szCs w:val="19"/>
                <w:color w:val="auto"/>
              </w:rPr>
            </w:pPr>
          </w:p>
        </w:tc>
        <w:tc>
          <w:tcPr>
            <w:tcW w:w="1200" w:type="dxa"/>
            <w:vAlign w:val="bottom"/>
          </w:tcPr>
          <w:p>
            <w:pPr>
              <w:jc w:val="right"/>
              <w:ind w:right="20"/>
              <w:spacing w:after="0" w:line="219" w:lineRule="exact"/>
              <w:rPr>
                <w:sz w:val="20"/>
                <w:szCs w:val="20"/>
                <w:color w:val="auto"/>
              </w:rPr>
            </w:pPr>
            <w:r>
              <w:rPr>
                <w:rFonts w:ascii="Times New Roman" w:cs="Times New Roman" w:eastAsia="Times New Roman" w:hAnsi="Times New Roman"/>
                <w:sz w:val="20"/>
                <w:szCs w:val="20"/>
                <w:color w:val="231F20"/>
              </w:rPr>
              <w:t>17,436</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14,317</w:t>
            </w:r>
          </w:p>
        </w:tc>
        <w:tc>
          <w:tcPr>
            <w:tcW w:w="80" w:type="dxa"/>
            <w:vAlign w:val="bottom"/>
          </w:tcPr>
          <w:p>
            <w:pPr>
              <w:spacing w:after="0"/>
              <w:rPr>
                <w:sz w:val="19"/>
                <w:szCs w:val="19"/>
                <w:color w:val="auto"/>
              </w:rPr>
            </w:pPr>
          </w:p>
        </w:tc>
      </w:tr>
      <w:tr>
        <w:trPr>
          <w:trHeight w:val="274"/>
        </w:trPr>
        <w:tc>
          <w:tcPr>
            <w:tcW w:w="6920" w:type="dxa"/>
            <w:vAlign w:val="bottom"/>
            <w:shd w:val="clear" w:color="auto" w:fill="E5E6E7"/>
          </w:tcPr>
          <w:p>
            <w:pPr>
              <w:spacing w:after="0" w:line="230" w:lineRule="exact"/>
              <w:rPr>
                <w:sz w:val="20"/>
                <w:szCs w:val="20"/>
                <w:color w:val="auto"/>
              </w:rPr>
            </w:pPr>
            <w:r>
              <w:rPr>
                <w:rFonts w:ascii="Times New Roman" w:cs="Times New Roman" w:eastAsia="Times New Roman" w:hAnsi="Times New Roman"/>
                <w:sz w:val="20"/>
                <w:szCs w:val="20"/>
                <w:color w:val="414142"/>
              </w:rPr>
              <w:t>Non</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current liabilities</w:t>
            </w:r>
          </w:p>
        </w:tc>
        <w:tc>
          <w:tcPr>
            <w:tcW w:w="700" w:type="dxa"/>
            <w:vAlign w:val="bottom"/>
            <w:shd w:val="clear" w:color="auto" w:fill="E5E6E7"/>
          </w:tcPr>
          <w:p>
            <w:pPr>
              <w:spacing w:after="0"/>
              <w:rPr>
                <w:sz w:val="23"/>
                <w:szCs w:val="23"/>
                <w:color w:val="auto"/>
              </w:rPr>
            </w:pPr>
          </w:p>
        </w:tc>
        <w:tc>
          <w:tcPr>
            <w:tcW w:w="1200" w:type="dxa"/>
            <w:vAlign w:val="bottom"/>
            <w:shd w:val="clear" w:color="auto" w:fill="E5E6E7"/>
          </w:tcPr>
          <w:p>
            <w:pPr>
              <w:spacing w:after="0"/>
              <w:rPr>
                <w:sz w:val="23"/>
                <w:szCs w:val="23"/>
                <w:color w:val="auto"/>
              </w:rPr>
            </w:pPr>
          </w:p>
        </w:tc>
        <w:tc>
          <w:tcPr>
            <w:tcW w:w="160" w:type="dxa"/>
            <w:vAlign w:val="bottom"/>
            <w:shd w:val="clear" w:color="auto" w:fill="E5E6E7"/>
          </w:tcPr>
          <w:p>
            <w:pPr>
              <w:spacing w:after="0"/>
              <w:rPr>
                <w:sz w:val="23"/>
                <w:szCs w:val="23"/>
                <w:color w:val="auto"/>
              </w:rPr>
            </w:pPr>
          </w:p>
        </w:tc>
        <w:tc>
          <w:tcPr>
            <w:tcW w:w="560" w:type="dxa"/>
            <w:vAlign w:val="bottom"/>
            <w:shd w:val="clear" w:color="auto" w:fill="E5E6E7"/>
          </w:tcPr>
          <w:p>
            <w:pPr>
              <w:spacing w:after="0"/>
              <w:rPr>
                <w:sz w:val="23"/>
                <w:szCs w:val="23"/>
                <w:color w:val="auto"/>
              </w:rPr>
            </w:pPr>
          </w:p>
        </w:tc>
        <w:tc>
          <w:tcPr>
            <w:tcW w:w="1180" w:type="dxa"/>
            <w:vAlign w:val="bottom"/>
            <w:shd w:val="clear" w:color="auto" w:fill="E5E6E7"/>
          </w:tcPr>
          <w:p>
            <w:pPr>
              <w:spacing w:after="0"/>
              <w:rPr>
                <w:sz w:val="23"/>
                <w:szCs w:val="23"/>
                <w:color w:val="auto"/>
              </w:rPr>
            </w:pPr>
          </w:p>
        </w:tc>
        <w:tc>
          <w:tcPr>
            <w:tcW w:w="80" w:type="dxa"/>
            <w:vAlign w:val="bottom"/>
            <w:shd w:val="clear" w:color="auto" w:fill="E5E6E7"/>
          </w:tcPr>
          <w:p>
            <w:pPr>
              <w:spacing w:after="0"/>
              <w:rPr>
                <w:sz w:val="23"/>
                <w:szCs w:val="23"/>
                <w:color w:val="auto"/>
              </w:rPr>
            </w:pPr>
          </w:p>
        </w:tc>
      </w:tr>
      <w:tr>
        <w:trPr>
          <w:trHeight w:val="274"/>
        </w:trPr>
        <w:tc>
          <w:tcPr>
            <w:tcW w:w="6920" w:type="dxa"/>
            <w:vAlign w:val="bottom"/>
          </w:tcPr>
          <w:p>
            <w:pPr>
              <w:ind w:left="200"/>
              <w:spacing w:after="0" w:line="230" w:lineRule="exact"/>
              <w:rPr>
                <w:sz w:val="20"/>
                <w:szCs w:val="20"/>
                <w:color w:val="auto"/>
              </w:rPr>
            </w:pPr>
            <w:r>
              <w:rPr>
                <w:rFonts w:ascii="Times New Roman" w:cs="Times New Roman" w:eastAsia="Times New Roman" w:hAnsi="Times New Roman"/>
                <w:sz w:val="20"/>
                <w:szCs w:val="20"/>
                <w:color w:val="231F20"/>
              </w:rPr>
              <w:t>Long</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term notes payable, net of current portion</w:t>
            </w:r>
          </w:p>
        </w:tc>
        <w:tc>
          <w:tcPr>
            <w:tcW w:w="700" w:type="dxa"/>
            <w:vAlign w:val="bottom"/>
          </w:tcPr>
          <w:p>
            <w:pPr>
              <w:spacing w:after="0"/>
              <w:rPr>
                <w:sz w:val="23"/>
                <w:szCs w:val="23"/>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47,445</w:t>
            </w:r>
          </w:p>
        </w:tc>
        <w:tc>
          <w:tcPr>
            <w:tcW w:w="1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36,408</w:t>
            </w:r>
          </w:p>
        </w:tc>
        <w:tc>
          <w:tcPr>
            <w:tcW w:w="80" w:type="dxa"/>
            <w:vAlign w:val="bottom"/>
          </w:tcPr>
          <w:p>
            <w:pPr>
              <w:spacing w:after="0"/>
              <w:rPr>
                <w:sz w:val="23"/>
                <w:szCs w:val="23"/>
                <w:color w:val="auto"/>
              </w:rPr>
            </w:pPr>
          </w:p>
        </w:tc>
      </w:tr>
      <w:tr>
        <w:trPr>
          <w:trHeight w:val="244"/>
        </w:trPr>
        <w:tc>
          <w:tcPr>
            <w:tcW w:w="69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Long-term operating lease liabilities</w:t>
            </w:r>
          </w:p>
        </w:tc>
        <w:tc>
          <w:tcPr>
            <w:tcW w:w="700" w:type="dxa"/>
            <w:vAlign w:val="bottom"/>
            <w:shd w:val="clear" w:color="auto" w:fill="E3E4E5"/>
          </w:tcPr>
          <w:p>
            <w:pPr>
              <w:spacing w:after="0"/>
              <w:rPr>
                <w:sz w:val="21"/>
                <w:szCs w:val="21"/>
                <w:color w:val="auto"/>
              </w:rPr>
            </w:pPr>
          </w:p>
        </w:tc>
        <w:tc>
          <w:tcPr>
            <w:tcW w:w="12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24,039</w:t>
            </w:r>
          </w:p>
        </w:tc>
        <w:tc>
          <w:tcPr>
            <w:tcW w:w="160" w:type="dxa"/>
            <w:vAlign w:val="bottom"/>
            <w:shd w:val="clear" w:color="auto" w:fill="E3E4E5"/>
          </w:tcPr>
          <w:p>
            <w:pPr>
              <w:spacing w:after="0"/>
              <w:rPr>
                <w:sz w:val="21"/>
                <w:szCs w:val="21"/>
                <w:color w:val="auto"/>
              </w:rPr>
            </w:pPr>
          </w:p>
        </w:tc>
        <w:tc>
          <w:tcPr>
            <w:tcW w:w="56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24,828</w:t>
            </w:r>
          </w:p>
        </w:tc>
        <w:tc>
          <w:tcPr>
            <w:tcW w:w="80" w:type="dxa"/>
            <w:vAlign w:val="bottom"/>
            <w:shd w:val="clear" w:color="auto" w:fill="E3E4E5"/>
          </w:tcPr>
          <w:p>
            <w:pPr>
              <w:spacing w:after="0"/>
              <w:rPr>
                <w:sz w:val="21"/>
                <w:szCs w:val="21"/>
                <w:color w:val="auto"/>
              </w:rPr>
            </w:pPr>
          </w:p>
        </w:tc>
      </w:tr>
      <w:tr>
        <w:trPr>
          <w:trHeight w:val="244"/>
        </w:trPr>
        <w:tc>
          <w:tcPr>
            <w:tcW w:w="692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Other long-term liabilities</w:t>
            </w:r>
          </w:p>
        </w:tc>
        <w:tc>
          <w:tcPr>
            <w:tcW w:w="70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1,021</w:t>
            </w:r>
          </w:p>
        </w:tc>
        <w:tc>
          <w:tcPr>
            <w:tcW w:w="160" w:type="dxa"/>
            <w:vAlign w:val="bottom"/>
            <w:tcBorders>
              <w:bottom w:val="single" w:sz="8" w:color="E3E4E5"/>
            </w:tcBorders>
          </w:tcPr>
          <w:p>
            <w:pPr>
              <w:spacing w:after="0"/>
              <w:rPr>
                <w:sz w:val="21"/>
                <w:szCs w:val="21"/>
                <w:color w:val="auto"/>
              </w:rPr>
            </w:pPr>
          </w:p>
        </w:tc>
        <w:tc>
          <w:tcPr>
            <w:tcW w:w="56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815</w:t>
            </w:r>
          </w:p>
        </w:tc>
        <w:tc>
          <w:tcPr>
            <w:tcW w:w="80" w:type="dxa"/>
            <w:vAlign w:val="bottom"/>
            <w:tcBorders>
              <w:bottom w:val="single" w:sz="8" w:color="231F20"/>
            </w:tcBorders>
          </w:tcPr>
          <w:p>
            <w:pPr>
              <w:spacing w:after="0"/>
              <w:rPr>
                <w:sz w:val="21"/>
                <w:szCs w:val="21"/>
                <w:color w:val="auto"/>
              </w:rPr>
            </w:pPr>
          </w:p>
        </w:tc>
      </w:tr>
      <w:tr>
        <w:trPr>
          <w:trHeight w:val="269"/>
        </w:trPr>
        <w:tc>
          <w:tcPr>
            <w:tcW w:w="6920" w:type="dxa"/>
            <w:vAlign w:val="bottom"/>
            <w:shd w:val="clear" w:color="auto" w:fill="E5E6E7"/>
          </w:tcPr>
          <w:p>
            <w:pPr>
              <w:ind w:left="400"/>
              <w:spacing w:after="0" w:line="230" w:lineRule="exact"/>
              <w:rPr>
                <w:sz w:val="20"/>
                <w:szCs w:val="20"/>
                <w:color w:val="auto"/>
              </w:rPr>
            </w:pPr>
            <w:r>
              <w:rPr>
                <w:rFonts w:ascii="Times New Roman" w:cs="Times New Roman" w:eastAsia="Times New Roman" w:hAnsi="Times New Roman"/>
                <w:sz w:val="20"/>
                <w:szCs w:val="20"/>
                <w:color w:val="414142"/>
              </w:rPr>
              <w:t>Total non</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current liabilities</w:t>
            </w:r>
          </w:p>
        </w:tc>
        <w:tc>
          <w:tcPr>
            <w:tcW w:w="700" w:type="dxa"/>
            <w:vAlign w:val="bottom"/>
            <w:tcBorders>
              <w:bottom w:val="single" w:sz="8" w:color="231F20"/>
            </w:tcBorders>
            <w:shd w:val="clear" w:color="auto" w:fill="E3E4E5"/>
          </w:tcPr>
          <w:p>
            <w:pPr>
              <w:spacing w:after="0"/>
              <w:rPr>
                <w:sz w:val="23"/>
                <w:szCs w:val="23"/>
                <w:color w:val="auto"/>
              </w:rPr>
            </w:pPr>
          </w:p>
        </w:tc>
        <w:tc>
          <w:tcPr>
            <w:tcW w:w="1200" w:type="dxa"/>
            <w:vAlign w:val="bottom"/>
            <w:tcBorders>
              <w:bottom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72,505</w:t>
            </w:r>
          </w:p>
        </w:tc>
        <w:tc>
          <w:tcPr>
            <w:tcW w:w="160" w:type="dxa"/>
            <w:vAlign w:val="bottom"/>
            <w:shd w:val="clear" w:color="auto" w:fill="E3E4E5"/>
          </w:tcPr>
          <w:p>
            <w:pPr>
              <w:spacing w:after="0"/>
              <w:rPr>
                <w:sz w:val="23"/>
                <w:szCs w:val="23"/>
                <w:color w:val="auto"/>
              </w:rPr>
            </w:pPr>
          </w:p>
        </w:tc>
        <w:tc>
          <w:tcPr>
            <w:tcW w:w="560" w:type="dxa"/>
            <w:vAlign w:val="bottom"/>
            <w:tcBorders>
              <w:bottom w:val="single" w:sz="8" w:color="231F20"/>
            </w:tcBorders>
            <w:shd w:val="clear" w:color="auto" w:fill="E3E4E5"/>
          </w:tcPr>
          <w:p>
            <w:pPr>
              <w:spacing w:after="0"/>
              <w:rPr>
                <w:sz w:val="23"/>
                <w:szCs w:val="23"/>
                <w:color w:val="auto"/>
              </w:rPr>
            </w:pPr>
          </w:p>
        </w:tc>
        <w:tc>
          <w:tcPr>
            <w:tcW w:w="11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62,051</w:t>
            </w:r>
          </w:p>
        </w:tc>
        <w:tc>
          <w:tcPr>
            <w:tcW w:w="80" w:type="dxa"/>
            <w:vAlign w:val="bottom"/>
            <w:tcBorders>
              <w:bottom w:val="single" w:sz="8" w:color="231F20"/>
            </w:tcBorders>
            <w:shd w:val="clear" w:color="auto" w:fill="E3E4E5"/>
          </w:tcPr>
          <w:p>
            <w:pPr>
              <w:spacing w:after="0"/>
              <w:rPr>
                <w:sz w:val="23"/>
                <w:szCs w:val="23"/>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231F20"/>
              </w:rPr>
              <w:t>Total liabilities</w:t>
            </w:r>
          </w:p>
        </w:tc>
        <w:tc>
          <w:tcPr>
            <w:tcW w:w="70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89,941</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76,368</w:t>
            </w:r>
          </w:p>
        </w:tc>
        <w:tc>
          <w:tcPr>
            <w:tcW w:w="80" w:type="dxa"/>
            <w:vAlign w:val="bottom"/>
          </w:tcPr>
          <w:p>
            <w:pPr>
              <w:spacing w:after="0"/>
              <w:rPr>
                <w:sz w:val="20"/>
                <w:szCs w:val="20"/>
                <w:color w:val="auto"/>
              </w:rPr>
            </w:pPr>
          </w:p>
        </w:tc>
      </w:tr>
      <w:tr>
        <w:trPr>
          <w:trHeight w:val="244"/>
        </w:trPr>
        <w:tc>
          <w:tcPr>
            <w:tcW w:w="69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Commitments and contingencies</w:t>
            </w:r>
          </w:p>
        </w:tc>
        <w:tc>
          <w:tcPr>
            <w:tcW w:w="700" w:type="dxa"/>
            <w:vAlign w:val="bottom"/>
            <w:shd w:val="clear" w:color="auto" w:fill="E5E6E7"/>
          </w:tcPr>
          <w:p>
            <w:pPr>
              <w:spacing w:after="0"/>
              <w:rPr>
                <w:sz w:val="21"/>
                <w:szCs w:val="21"/>
                <w:color w:val="auto"/>
              </w:rPr>
            </w:pPr>
          </w:p>
        </w:tc>
        <w:tc>
          <w:tcPr>
            <w:tcW w:w="12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560" w:type="dxa"/>
            <w:vAlign w:val="bottom"/>
            <w:shd w:val="clear" w:color="auto" w:fill="E5E6E7"/>
          </w:tcPr>
          <w:p>
            <w:pPr>
              <w:spacing w:after="0"/>
              <w:rPr>
                <w:sz w:val="21"/>
                <w:szCs w:val="21"/>
                <w:color w:val="auto"/>
              </w:rPr>
            </w:pPr>
          </w:p>
        </w:tc>
        <w:tc>
          <w:tcPr>
            <w:tcW w:w="118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r>
      <w:tr>
        <w:trPr>
          <w:trHeight w:val="244"/>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231F20"/>
              </w:rPr>
              <w:t>Stockholders’ (deficit) equity</w:t>
            </w: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4"/>
        </w:trPr>
        <w:tc>
          <w:tcPr>
            <w:tcW w:w="6920" w:type="dxa"/>
            <w:vAlign w:val="bottom"/>
            <w:shd w:val="clear" w:color="auto" w:fill="E5E6E7"/>
          </w:tcPr>
          <w:p>
            <w:pPr>
              <w:ind w:left="200"/>
              <w:spacing w:after="0" w:line="225" w:lineRule="exact"/>
              <w:rPr>
                <w:sz w:val="20"/>
                <w:szCs w:val="20"/>
                <w:color w:val="auto"/>
              </w:rPr>
            </w:pPr>
            <w:r>
              <w:rPr>
                <w:rFonts w:ascii="Times New Roman" w:cs="Times New Roman" w:eastAsia="Times New Roman" w:hAnsi="Times New Roman"/>
                <w:sz w:val="20"/>
                <w:szCs w:val="20"/>
                <w:color w:val="414142"/>
              </w:rPr>
              <w:t>Preferred stock, $0.001 par value, 5,000,000 authorized;</w:t>
            </w:r>
          </w:p>
        </w:tc>
        <w:tc>
          <w:tcPr>
            <w:tcW w:w="700" w:type="dxa"/>
            <w:vAlign w:val="bottom"/>
            <w:shd w:val="clear" w:color="auto" w:fill="E3E4E5"/>
          </w:tcPr>
          <w:p>
            <w:pPr>
              <w:spacing w:after="0"/>
              <w:rPr>
                <w:sz w:val="19"/>
                <w:szCs w:val="19"/>
                <w:color w:val="auto"/>
              </w:rPr>
            </w:pPr>
          </w:p>
        </w:tc>
        <w:tc>
          <w:tcPr>
            <w:tcW w:w="120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560" w:type="dxa"/>
            <w:vAlign w:val="bottom"/>
            <w:shd w:val="clear" w:color="auto" w:fill="E3E4E5"/>
          </w:tcPr>
          <w:p>
            <w:pPr>
              <w:spacing w:after="0"/>
              <w:rPr>
                <w:sz w:val="19"/>
                <w:szCs w:val="19"/>
                <w:color w:val="auto"/>
              </w:rPr>
            </w:pPr>
          </w:p>
        </w:tc>
        <w:tc>
          <w:tcPr>
            <w:tcW w:w="118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r>
      <w:tr>
        <w:trPr>
          <w:trHeight w:val="250"/>
        </w:trPr>
        <w:tc>
          <w:tcPr>
            <w:tcW w:w="6920" w:type="dxa"/>
            <w:vAlign w:val="bottom"/>
            <w:shd w:val="clear" w:color="auto" w:fill="E5E6E7"/>
          </w:tcPr>
          <w:p>
            <w:pPr>
              <w:ind w:left="400"/>
              <w:spacing w:after="0"/>
              <w:rPr>
                <w:sz w:val="20"/>
                <w:szCs w:val="20"/>
                <w:color w:val="auto"/>
              </w:rPr>
            </w:pPr>
            <w:r>
              <w:rPr>
                <w:rFonts w:ascii="Times New Roman" w:cs="Times New Roman" w:eastAsia="Times New Roman" w:hAnsi="Times New Roman"/>
                <w:sz w:val="20"/>
                <w:szCs w:val="20"/>
                <w:color w:val="414142"/>
              </w:rPr>
              <w:t>0 (2025 and 2024) issued and outstanding</w:t>
            </w:r>
          </w:p>
        </w:tc>
        <w:tc>
          <w:tcPr>
            <w:tcW w:w="700" w:type="dxa"/>
            <w:vAlign w:val="bottom"/>
            <w:shd w:val="clear" w:color="auto" w:fill="E3E4E5"/>
          </w:tcPr>
          <w:p>
            <w:pPr>
              <w:spacing w:after="0"/>
              <w:rPr>
                <w:sz w:val="21"/>
                <w:szCs w:val="21"/>
                <w:color w:val="auto"/>
              </w:rPr>
            </w:pPr>
          </w:p>
        </w:tc>
        <w:tc>
          <w:tcPr>
            <w:tcW w:w="12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60" w:type="dxa"/>
            <w:vAlign w:val="bottom"/>
            <w:shd w:val="clear" w:color="auto" w:fill="E3E4E5"/>
          </w:tcPr>
          <w:p>
            <w:pPr>
              <w:spacing w:after="0"/>
              <w:rPr>
                <w:sz w:val="21"/>
                <w:szCs w:val="21"/>
                <w:color w:val="auto"/>
              </w:rPr>
            </w:pPr>
          </w:p>
        </w:tc>
        <w:tc>
          <w:tcPr>
            <w:tcW w:w="560" w:type="dxa"/>
            <w:vAlign w:val="bottom"/>
            <w:shd w:val="clear" w:color="auto" w:fill="E3E4E5"/>
          </w:tcPr>
          <w:p>
            <w:pPr>
              <w:spacing w:after="0"/>
              <w:rPr>
                <w:sz w:val="21"/>
                <w:szCs w:val="21"/>
                <w:color w:val="auto"/>
              </w:rPr>
            </w:pPr>
          </w:p>
        </w:tc>
        <w:tc>
          <w:tcPr>
            <w:tcW w:w="126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24"/>
        </w:trPr>
        <w:tc>
          <w:tcPr>
            <w:tcW w:w="6920" w:type="dxa"/>
            <w:vAlign w:val="bottom"/>
          </w:tcPr>
          <w:p>
            <w:pPr>
              <w:ind w:left="200"/>
              <w:spacing w:after="0" w:line="225" w:lineRule="exact"/>
              <w:rPr>
                <w:sz w:val="20"/>
                <w:szCs w:val="20"/>
                <w:color w:val="auto"/>
              </w:rPr>
            </w:pPr>
            <w:r>
              <w:rPr>
                <w:rFonts w:ascii="Times New Roman" w:cs="Times New Roman" w:eastAsia="Times New Roman" w:hAnsi="Times New Roman"/>
                <w:sz w:val="20"/>
                <w:szCs w:val="20"/>
                <w:color w:val="231F20"/>
              </w:rPr>
              <w:t>Common stock, $0.001 par value, 200,000,000 authorized;</w:t>
            </w: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6920" w:type="dxa"/>
            <w:vAlign w:val="bottom"/>
          </w:tcPr>
          <w:p>
            <w:pPr>
              <w:ind w:left="360"/>
              <w:spacing w:after="0" w:line="250" w:lineRule="exact"/>
              <w:rPr>
                <w:sz w:val="20"/>
                <w:szCs w:val="20"/>
                <w:color w:val="auto"/>
              </w:rPr>
            </w:pPr>
            <w:r>
              <w:rPr>
                <w:rFonts w:ascii="Times New Roman" w:cs="Times New Roman" w:eastAsia="Times New Roman" w:hAnsi="Times New Roman"/>
                <w:sz w:val="20"/>
                <w:szCs w:val="20"/>
                <w:color w:val="231F20"/>
              </w:rPr>
              <w:t>8,253,053 (2025) and 7,274,578 (2024) shares issued and outstanding</w:t>
            </w:r>
            <w:r>
              <w:rPr>
                <w:rFonts w:ascii="Times New Roman" w:cs="Times New Roman" w:eastAsia="Times New Roman" w:hAnsi="Times New Roman"/>
                <w:sz w:val="26"/>
                <w:szCs w:val="26"/>
                <w:color w:val="231F20"/>
                <w:vertAlign w:val="superscript"/>
              </w:rPr>
              <w:t>(a)</w:t>
            </w:r>
          </w:p>
        </w:tc>
        <w:tc>
          <w:tcPr>
            <w:tcW w:w="700" w:type="dxa"/>
            <w:vAlign w:val="bottom"/>
          </w:tcPr>
          <w:p>
            <w:pPr>
              <w:spacing w:after="0"/>
              <w:rPr>
                <w:sz w:val="21"/>
                <w:szCs w:val="21"/>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8</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w:t>
            </w:r>
          </w:p>
        </w:tc>
        <w:tc>
          <w:tcPr>
            <w:tcW w:w="80" w:type="dxa"/>
            <w:vAlign w:val="bottom"/>
          </w:tcPr>
          <w:p>
            <w:pPr>
              <w:spacing w:after="0"/>
              <w:rPr>
                <w:sz w:val="21"/>
                <w:szCs w:val="21"/>
                <w:color w:val="auto"/>
              </w:rPr>
            </w:pPr>
          </w:p>
        </w:tc>
      </w:tr>
      <w:tr>
        <w:trPr>
          <w:trHeight w:val="274"/>
        </w:trPr>
        <w:tc>
          <w:tcPr>
            <w:tcW w:w="6920" w:type="dxa"/>
            <w:vAlign w:val="bottom"/>
            <w:shd w:val="clear" w:color="auto" w:fill="E5E6E7"/>
          </w:tcPr>
          <w:p>
            <w:pPr>
              <w:ind w:left="200"/>
              <w:spacing w:after="0" w:line="273" w:lineRule="exact"/>
              <w:rPr>
                <w:sz w:val="20"/>
                <w:szCs w:val="20"/>
                <w:color w:val="auto"/>
              </w:rPr>
            </w:pPr>
            <w:r>
              <w:rPr>
                <w:rFonts w:ascii="Times New Roman" w:cs="Times New Roman" w:eastAsia="Times New Roman" w:hAnsi="Times New Roman"/>
                <w:sz w:val="20"/>
                <w:szCs w:val="20"/>
                <w:color w:val="414142"/>
              </w:rPr>
              <w:t>Additional paid</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in capital</w:t>
            </w:r>
            <w:r>
              <w:rPr>
                <w:rFonts w:ascii="Times New Roman" w:cs="Times New Roman" w:eastAsia="Times New Roman" w:hAnsi="Times New Roman"/>
                <w:sz w:val="26"/>
                <w:szCs w:val="26"/>
                <w:color w:val="414142"/>
                <w:vertAlign w:val="superscript"/>
              </w:rPr>
              <w:t>(a)</w:t>
            </w:r>
          </w:p>
        </w:tc>
        <w:tc>
          <w:tcPr>
            <w:tcW w:w="700" w:type="dxa"/>
            <w:vAlign w:val="bottom"/>
            <w:shd w:val="clear" w:color="auto" w:fill="E3E4E5"/>
          </w:tcPr>
          <w:p>
            <w:pPr>
              <w:spacing w:after="0"/>
              <w:rPr>
                <w:sz w:val="23"/>
                <w:szCs w:val="23"/>
                <w:color w:val="auto"/>
              </w:rPr>
            </w:pPr>
          </w:p>
        </w:tc>
        <w:tc>
          <w:tcPr>
            <w:tcW w:w="12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495,289</w:t>
            </w:r>
          </w:p>
        </w:tc>
        <w:tc>
          <w:tcPr>
            <w:tcW w:w="160" w:type="dxa"/>
            <w:vAlign w:val="bottom"/>
            <w:shd w:val="clear" w:color="auto" w:fill="E3E4E5"/>
          </w:tcPr>
          <w:p>
            <w:pPr>
              <w:spacing w:after="0"/>
              <w:rPr>
                <w:sz w:val="23"/>
                <w:szCs w:val="23"/>
                <w:color w:val="auto"/>
              </w:rPr>
            </w:pPr>
          </w:p>
        </w:tc>
        <w:tc>
          <w:tcPr>
            <w:tcW w:w="560" w:type="dxa"/>
            <w:vAlign w:val="bottom"/>
            <w:shd w:val="clear" w:color="auto" w:fill="E3E4E5"/>
          </w:tcPr>
          <w:p>
            <w:pPr>
              <w:spacing w:after="0"/>
              <w:rPr>
                <w:sz w:val="23"/>
                <w:szCs w:val="23"/>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483,366</w:t>
            </w:r>
          </w:p>
        </w:tc>
        <w:tc>
          <w:tcPr>
            <w:tcW w:w="80" w:type="dxa"/>
            <w:vAlign w:val="bottom"/>
            <w:shd w:val="clear" w:color="auto" w:fill="E3E4E5"/>
          </w:tcPr>
          <w:p>
            <w:pPr>
              <w:spacing w:after="0"/>
              <w:rPr>
                <w:sz w:val="23"/>
                <w:szCs w:val="23"/>
                <w:color w:val="auto"/>
              </w:rPr>
            </w:pPr>
          </w:p>
        </w:tc>
      </w:tr>
      <w:tr>
        <w:trPr>
          <w:trHeight w:val="244"/>
        </w:trPr>
        <w:tc>
          <w:tcPr>
            <w:tcW w:w="69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Accumulated deficit</w:t>
            </w:r>
          </w:p>
        </w:tc>
        <w:tc>
          <w:tcPr>
            <w:tcW w:w="7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(497,762)</w:t>
            </w: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(462,497)</w:t>
            </w:r>
          </w:p>
        </w:tc>
      </w:tr>
      <w:tr>
        <w:trPr>
          <w:trHeight w:val="239"/>
        </w:trPr>
        <w:tc>
          <w:tcPr>
            <w:tcW w:w="692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Total stockholders’ (deficit) equity</w:t>
            </w:r>
          </w:p>
        </w:tc>
        <w:tc>
          <w:tcPr>
            <w:tcW w:w="700" w:type="dxa"/>
            <w:vAlign w:val="bottom"/>
            <w:shd w:val="clear" w:color="auto" w:fill="E3E4E5"/>
          </w:tcPr>
          <w:p>
            <w:pPr>
              <w:spacing w:after="0"/>
              <w:rPr>
                <w:sz w:val="20"/>
                <w:szCs w:val="20"/>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(2,465)</w:t>
            </w:r>
          </w:p>
        </w:tc>
        <w:tc>
          <w:tcPr>
            <w:tcW w:w="160" w:type="dxa"/>
            <w:vAlign w:val="bottom"/>
            <w:tcBorders>
              <w:top w:val="single" w:sz="8" w:color="E3E4E5"/>
            </w:tcBorders>
            <w:shd w:val="clear" w:color="auto" w:fill="E3E4E5"/>
          </w:tcPr>
          <w:p>
            <w:pPr>
              <w:spacing w:after="0"/>
              <w:rPr>
                <w:sz w:val="20"/>
                <w:szCs w:val="20"/>
                <w:color w:val="auto"/>
              </w:rPr>
            </w:pPr>
          </w:p>
        </w:tc>
        <w:tc>
          <w:tcPr>
            <w:tcW w:w="560" w:type="dxa"/>
            <w:vAlign w:val="bottom"/>
            <w:shd w:val="clear" w:color="auto" w:fill="E3E4E5"/>
          </w:tcPr>
          <w:p>
            <w:pPr>
              <w:spacing w:after="0"/>
              <w:rPr>
                <w:sz w:val="20"/>
                <w:szCs w:val="20"/>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20,876</w:t>
            </w:r>
          </w:p>
        </w:tc>
        <w:tc>
          <w:tcPr>
            <w:tcW w:w="80" w:type="dxa"/>
            <w:vAlign w:val="bottom"/>
            <w:tcBorders>
              <w:top w:val="single" w:sz="8" w:color="231F20"/>
              <w:bottom w:val="single" w:sz="8" w:color="231F20"/>
            </w:tcBorders>
            <w:shd w:val="clear" w:color="auto" w:fill="E3E4E5"/>
          </w:tcPr>
          <w:p>
            <w:pPr>
              <w:spacing w:after="0"/>
              <w:rPr>
                <w:sz w:val="20"/>
                <w:szCs w:val="20"/>
                <w:color w:val="auto"/>
              </w:rPr>
            </w:pPr>
          </w:p>
        </w:tc>
      </w:tr>
      <w:tr>
        <w:trPr>
          <w:trHeight w:val="239"/>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231F20"/>
              </w:rPr>
              <w:t>Total liabilities and stockholders’ (deficit) equity</w:t>
            </w:r>
          </w:p>
        </w:tc>
        <w:tc>
          <w:tcPr>
            <w:tcW w:w="700" w:type="dxa"/>
            <w:vAlign w:val="bottom"/>
          </w:tcPr>
          <w:p>
            <w:pPr>
              <w:jc w:val="right"/>
              <w:ind w:right="50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87,476</w:t>
            </w: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97,244</w:t>
            </w:r>
          </w:p>
        </w:tc>
        <w:tc>
          <w:tcPr>
            <w:tcW w:w="80" w:type="dxa"/>
            <w:vAlign w:val="bottom"/>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4370705</wp:posOffset>
            </wp:positionH>
            <wp:positionV relativeFrom="paragraph">
              <wp:posOffset>-4374515</wp:posOffset>
            </wp:positionV>
            <wp:extent cx="24517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5">
                      <a:extLst>
                        <a:ext uri="{28A0092B-C50C-407E-A947-70E740481C1C}"/>
                      </a:extLst>
                    </a:blip>
                    <a:srcRect/>
                    <a:stretch>
                      <a:fillRect/>
                    </a:stretch>
                  </pic:blipFill>
                  <pic:spPr bwMode="auto">
                    <a:xfrm>
                      <a:off x="0" y="0"/>
                      <a:ext cx="2451735" cy="3810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-2787015</wp:posOffset>
            </wp:positionV>
            <wp:extent cx="2451735" cy="476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6">
                      <a:extLst>
                        <a:ext uri="{28A0092B-C50C-407E-A947-70E740481C1C}"/>
                      </a:extLst>
                    </a:blip>
                    <a:srcRect/>
                    <a:stretch>
                      <a:fillRect/>
                    </a:stretch>
                  </pic:blipFill>
                  <pic:spPr bwMode="auto">
                    <a:xfrm>
                      <a:off x="0" y="0"/>
                      <a:ext cx="2451735" cy="47625"/>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-1955165</wp:posOffset>
            </wp:positionV>
            <wp:extent cx="24517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7">
                      <a:extLst>
                        <a:ext uri="{28A0092B-C50C-407E-A947-70E740481C1C}"/>
                      </a:extLst>
                    </a:blip>
                    <a:srcRect/>
                    <a:stretch>
                      <a:fillRect/>
                    </a:stretch>
                  </pic:blipFill>
                  <pic:spPr bwMode="auto">
                    <a:xfrm>
                      <a:off x="0" y="0"/>
                      <a:ext cx="2451735" cy="38100"/>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-375920</wp:posOffset>
            </wp:positionV>
            <wp:extent cx="2451735" cy="476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a:extLst>
                        <a:ext uri="{28A0092B-C50C-407E-A947-70E740481C1C}"/>
                      </a:extLst>
                    </a:blip>
                    <a:srcRect/>
                    <a:stretch>
                      <a:fillRect/>
                    </a:stretch>
                  </pic:blipFill>
                  <pic:spPr bwMode="auto">
                    <a:xfrm>
                      <a:off x="0" y="0"/>
                      <a:ext cx="2451735" cy="47625"/>
                    </a:xfrm>
                    <a:prstGeom prst="rect">
                      <a:avLst/>
                    </a:prstGeom>
                    <a:noFill/>
                  </pic:spPr>
                </pic:pic>
              </a:graphicData>
            </a:graphic>
          </wp:anchor>
        </w:drawing>
        <w:drawing>
          <wp:anchor simplePos="0" relativeHeight="251657728" behindDoc="1" locked="0" layoutInCell="0" allowOverlap="1">
            <wp:simplePos x="0" y="0"/>
            <wp:positionH relativeFrom="column">
              <wp:posOffset>4370705</wp:posOffset>
            </wp:positionH>
            <wp:positionV relativeFrom="paragraph">
              <wp:posOffset>-211455</wp:posOffset>
            </wp:positionV>
            <wp:extent cx="2451735" cy="476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9">
                      <a:extLst>
                        <a:ext uri="{28A0092B-C50C-407E-A947-70E740481C1C}"/>
                      </a:extLst>
                    </a:blip>
                    <a:srcRect/>
                    <a:stretch>
                      <a:fillRect/>
                    </a:stretch>
                  </pic:blipFill>
                  <pic:spPr bwMode="auto">
                    <a:xfrm>
                      <a:off x="0" y="0"/>
                      <a:ext cx="2451735" cy="47625"/>
                    </a:xfrm>
                    <a:prstGeom prst="rect">
                      <a:avLst/>
                    </a:prstGeom>
                    <a:noFill/>
                  </pic:spPr>
                </pic:pic>
              </a:graphicData>
            </a:graphic>
          </wp:anchor>
        </w:drawing>
      </w:r>
    </w:p>
    <w:p>
      <w:pPr>
        <w:spacing w:after="0" w:line="149" w:lineRule="exact"/>
        <w:rPr>
          <w:sz w:val="20"/>
          <w:szCs w:val="20"/>
          <w:color w:val="auto"/>
        </w:rPr>
      </w:pPr>
    </w:p>
    <w:p>
      <w:pPr>
        <w:ind w:right="500"/>
        <w:spacing w:after="0" w:line="277" w:lineRule="auto"/>
        <w:tabs>
          <w:tab w:leader="none" w:pos="218" w:val="left"/>
        </w:tabs>
        <w:numPr>
          <w:ilvl w:val="0"/>
          <w:numId w:val="53"/>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All share information, Common stock balances, and Additional paid-in capital balances have been adjusted to reflect the 1-for-20 reverse stock split effective September 15, 2025. See Note 2 – </w:t>
      </w:r>
      <w:r>
        <w:rPr>
          <w:rFonts w:ascii="Times New Roman" w:cs="Times New Roman" w:eastAsia="Times New Roman" w:hAnsi="Times New Roman"/>
          <w:sz w:val="16"/>
          <w:szCs w:val="16"/>
          <w:i w:val="1"/>
          <w:iCs w:val="1"/>
          <w:color w:val="231F20"/>
        </w:rPr>
        <w:t>Summary of Significant Accounting Policies</w:t>
      </w:r>
      <w:r>
        <w:rPr>
          <w:rFonts w:ascii="Times New Roman" w:cs="Times New Roman" w:eastAsia="Times New Roman" w:hAnsi="Times New Roman"/>
          <w:sz w:val="16"/>
          <w:szCs w:val="16"/>
          <w:color w:val="231F20"/>
        </w:rPr>
        <w:t xml:space="preserve">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financial statements.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F-3</w:t>
      </w:r>
    </w:p>
    <w:p>
      <w:pPr>
        <w:sectPr>
          <w:pgSz w:w="11880" w:h="15480" w:orient="portrait"/>
          <w:cols w:equalWidth="0" w:num="1">
            <w:col w:w="10800"/>
          </w:cols>
          <w:pgMar w:left="540" w:top="746" w:right="540" w:bottom="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74"/>
        </w:trPr>
        <w:tc>
          <w:tcPr>
            <w:tcW w:w="7220" w:type="dxa"/>
            <w:vAlign w:val="bottom"/>
          </w:tcPr>
          <w:p>
            <w:pPr>
              <w:jc w:val="center"/>
              <w:ind w:left="3480"/>
              <w:spacing w:after="0"/>
              <w:rPr>
                <w:sz w:val="20"/>
                <w:szCs w:val="20"/>
                <w:color w:val="auto"/>
              </w:rPr>
            </w:pPr>
            <w:r>
              <w:rPr>
                <w:rFonts w:ascii="Times New Roman" w:cs="Times New Roman" w:eastAsia="Times New Roman" w:hAnsi="Times New Roman"/>
                <w:sz w:val="20"/>
                <w:szCs w:val="20"/>
                <w:b w:val="1"/>
                <w:bCs w:val="1"/>
                <w:color w:val="231F20"/>
                <w:w w:val="98"/>
              </w:rPr>
              <w:t>BIODESIX, INC.</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386"/>
        </w:trPr>
        <w:tc>
          <w:tcPr>
            <w:tcW w:w="7220" w:type="dxa"/>
            <w:vAlign w:val="bottom"/>
          </w:tcPr>
          <w:p>
            <w:pPr>
              <w:jc w:val="center"/>
              <w:ind w:left="3480"/>
              <w:spacing w:after="0"/>
              <w:rPr>
                <w:sz w:val="20"/>
                <w:szCs w:val="20"/>
                <w:color w:val="auto"/>
              </w:rPr>
            </w:pPr>
            <w:r>
              <w:rPr>
                <w:rFonts w:ascii="Times New Roman" w:cs="Times New Roman" w:eastAsia="Times New Roman" w:hAnsi="Times New Roman"/>
                <w:sz w:val="20"/>
                <w:szCs w:val="20"/>
                <w:b w:val="1"/>
                <w:bCs w:val="1"/>
                <w:color w:val="231F20"/>
                <w:w w:val="99"/>
              </w:rPr>
              <w:t>Statements of Operations</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4"/>
        </w:trPr>
        <w:tc>
          <w:tcPr>
            <w:tcW w:w="7220" w:type="dxa"/>
            <w:vAlign w:val="bottom"/>
          </w:tcPr>
          <w:p>
            <w:pPr>
              <w:jc w:val="center"/>
              <w:ind w:left="3480"/>
              <w:spacing w:after="0"/>
              <w:rPr>
                <w:sz w:val="20"/>
                <w:szCs w:val="20"/>
                <w:color w:val="auto"/>
              </w:rPr>
            </w:pPr>
            <w:r>
              <w:rPr>
                <w:rFonts w:ascii="Times New Roman" w:cs="Times New Roman" w:eastAsia="Times New Roman" w:hAnsi="Times New Roman"/>
                <w:sz w:val="20"/>
                <w:szCs w:val="20"/>
                <w:b w:val="1"/>
                <w:bCs w:val="1"/>
                <w:color w:val="231F20"/>
              </w:rPr>
              <w:t>(in thousands, except per share data)</w:t>
            </w: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453"/>
        </w:trPr>
        <w:tc>
          <w:tcPr>
            <w:tcW w:w="7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Borders>
              <w:bottom w:val="single" w:sz="8" w:color="231F20"/>
            </w:tcBorders>
          </w:tcPr>
          <w:p>
            <w:pPr>
              <w:spacing w:after="0"/>
              <w:rPr>
                <w:sz w:val="24"/>
                <w:szCs w:val="24"/>
                <w:color w:val="auto"/>
              </w:rPr>
            </w:pPr>
          </w:p>
        </w:tc>
        <w:tc>
          <w:tcPr>
            <w:tcW w:w="3100" w:type="dxa"/>
            <w:vAlign w:val="bottom"/>
            <w:tcBorders>
              <w:bottom w:val="single" w:sz="8" w:color="231F20"/>
            </w:tcBorders>
            <w:gridSpan w:val="4"/>
          </w:tcPr>
          <w:p>
            <w:pPr>
              <w:jc w:val="right"/>
              <w:ind w:right="54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r>
      <w:tr>
        <w:trPr>
          <w:trHeight w:val="239"/>
        </w:trPr>
        <w:tc>
          <w:tcPr>
            <w:tcW w:w="7220" w:type="dxa"/>
            <w:vAlign w:val="bottom"/>
            <w:tcBorders>
              <w:bottom w:val="single" w:sz="8" w:color="E5E6E7"/>
            </w:tcBorders>
          </w:tcPr>
          <w:p>
            <w:pPr>
              <w:spacing w:after="0"/>
              <w:rPr>
                <w:sz w:val="20"/>
                <w:szCs w:val="20"/>
                <w:color w:val="auto"/>
              </w:rPr>
            </w:pPr>
          </w:p>
        </w:tc>
        <w:tc>
          <w:tcPr>
            <w:tcW w:w="160" w:type="dxa"/>
            <w:vAlign w:val="bottom"/>
            <w:tcBorders>
              <w:bottom w:val="single" w:sz="8" w:color="E3E4E5"/>
            </w:tcBorders>
          </w:tcPr>
          <w:p>
            <w:pPr>
              <w:spacing w:after="0"/>
              <w:rPr>
                <w:sz w:val="20"/>
                <w:szCs w:val="20"/>
                <w:color w:val="auto"/>
              </w:rPr>
            </w:pPr>
          </w:p>
        </w:tc>
        <w:tc>
          <w:tcPr>
            <w:tcW w:w="320" w:type="dxa"/>
            <w:vAlign w:val="bottom"/>
            <w:tcBorders>
              <w:bottom w:val="single" w:sz="8" w:color="231F20"/>
            </w:tcBorders>
          </w:tcPr>
          <w:p>
            <w:pPr>
              <w:spacing w:after="0"/>
              <w:rPr>
                <w:sz w:val="20"/>
                <w:szCs w:val="20"/>
                <w:color w:val="auto"/>
              </w:rPr>
            </w:pPr>
          </w:p>
        </w:tc>
        <w:tc>
          <w:tcPr>
            <w:tcW w:w="1320" w:type="dxa"/>
            <w:vAlign w:val="bottom"/>
            <w:tcBorders>
              <w:bottom w:val="single" w:sz="8" w:color="231F20"/>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60" w:type="dxa"/>
            <w:vAlign w:val="bottom"/>
            <w:tcBorders>
              <w:bottom w:val="single" w:sz="8" w:color="E5E6E7"/>
            </w:tcBorders>
          </w:tcPr>
          <w:p>
            <w:pPr>
              <w:spacing w:after="0"/>
              <w:rPr>
                <w:sz w:val="20"/>
                <w:szCs w:val="20"/>
                <w:color w:val="auto"/>
              </w:rPr>
            </w:pPr>
          </w:p>
        </w:tc>
        <w:tc>
          <w:tcPr>
            <w:tcW w:w="340" w:type="dxa"/>
            <w:vAlign w:val="bottom"/>
            <w:tcBorders>
              <w:bottom w:val="single" w:sz="8" w:color="231F20"/>
            </w:tcBorders>
          </w:tcPr>
          <w:p>
            <w:pPr>
              <w:spacing w:after="0"/>
              <w:rPr>
                <w:sz w:val="20"/>
                <w:szCs w:val="20"/>
                <w:color w:val="auto"/>
              </w:rPr>
            </w:pPr>
          </w:p>
        </w:tc>
        <w:tc>
          <w:tcPr>
            <w:tcW w:w="1280" w:type="dxa"/>
            <w:vAlign w:val="bottom"/>
            <w:tcBorders>
              <w:bottom w:val="single" w:sz="8" w:color="231F20"/>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231F20"/>
              </w:rPr>
              <w:t>2024</w:t>
            </w:r>
          </w:p>
        </w:tc>
      </w:tr>
      <w:tr>
        <w:trPr>
          <w:trHeight w:val="239"/>
        </w:trPr>
        <w:tc>
          <w:tcPr>
            <w:tcW w:w="72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Revenues</w:t>
            </w:r>
          </w:p>
        </w:tc>
        <w:tc>
          <w:tcPr>
            <w:tcW w:w="160" w:type="dxa"/>
            <w:vAlign w:val="bottom"/>
            <w:shd w:val="clear" w:color="auto" w:fill="E3E4E5"/>
          </w:tcPr>
          <w:p>
            <w:pPr>
              <w:spacing w:after="0"/>
              <w:rPr>
                <w:sz w:val="20"/>
                <w:szCs w:val="20"/>
                <w:color w:val="auto"/>
              </w:rPr>
            </w:pPr>
          </w:p>
        </w:tc>
        <w:tc>
          <w:tcPr>
            <w:tcW w:w="320" w:type="dxa"/>
            <w:vAlign w:val="bottom"/>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3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88,499</w:t>
            </w:r>
          </w:p>
        </w:tc>
        <w:tc>
          <w:tcPr>
            <w:tcW w:w="160" w:type="dxa"/>
            <w:vAlign w:val="bottom"/>
            <w:shd w:val="clear" w:color="auto" w:fill="E5E6E7"/>
          </w:tcPr>
          <w:p>
            <w:pPr>
              <w:spacing w:after="0"/>
              <w:rPr>
                <w:sz w:val="20"/>
                <w:szCs w:val="20"/>
                <w:color w:val="auto"/>
              </w:rPr>
            </w:pPr>
          </w:p>
        </w:tc>
        <w:tc>
          <w:tcPr>
            <w:tcW w:w="340" w:type="dxa"/>
            <w:vAlign w:val="bottom"/>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w w:val="79"/>
              </w:rPr>
              <w:t>$</w:t>
            </w: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71,323</w:t>
            </w:r>
          </w:p>
        </w:tc>
      </w:tr>
      <w:tr>
        <w:trPr>
          <w:trHeight w:val="244"/>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231F20"/>
              </w:rPr>
              <w:t>Operating expenses:</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4"/>
        </w:trPr>
        <w:tc>
          <w:tcPr>
            <w:tcW w:w="72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Direct costs and expenses</w:t>
            </w:r>
          </w:p>
        </w:tc>
        <w:tc>
          <w:tcPr>
            <w:tcW w:w="160" w:type="dxa"/>
            <w:vAlign w:val="bottom"/>
            <w:shd w:val="clear" w:color="auto" w:fill="E3E4E5"/>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3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16,719</w:t>
            </w:r>
          </w:p>
        </w:tc>
        <w:tc>
          <w:tcPr>
            <w:tcW w:w="16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15,573</w:t>
            </w:r>
          </w:p>
        </w:tc>
      </w:tr>
      <w:tr>
        <w:trPr>
          <w:trHeight w:val="244"/>
        </w:trPr>
        <w:tc>
          <w:tcPr>
            <w:tcW w:w="72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12,001</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9,559</w:t>
            </w:r>
          </w:p>
        </w:tc>
      </w:tr>
      <w:tr>
        <w:trPr>
          <w:trHeight w:val="244"/>
        </w:trPr>
        <w:tc>
          <w:tcPr>
            <w:tcW w:w="72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Sales, marketing, general and administrative</w:t>
            </w:r>
          </w:p>
        </w:tc>
        <w:tc>
          <w:tcPr>
            <w:tcW w:w="160" w:type="dxa"/>
            <w:vAlign w:val="bottom"/>
            <w:shd w:val="clear" w:color="auto" w:fill="E3E4E5"/>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320" w:type="dxa"/>
            <w:vAlign w:val="bottom"/>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87,545</w:t>
            </w:r>
          </w:p>
        </w:tc>
        <w:tc>
          <w:tcPr>
            <w:tcW w:w="16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80,451</w:t>
            </w:r>
          </w:p>
        </w:tc>
      </w:tr>
      <w:tr>
        <w:trPr>
          <w:trHeight w:val="244"/>
        </w:trPr>
        <w:tc>
          <w:tcPr>
            <w:tcW w:w="7220" w:type="dxa"/>
            <w:vAlign w:val="bottom"/>
            <w:tcBorders>
              <w:bottom w:val="single" w:sz="8" w:color="E5E6E7"/>
            </w:tcBorders>
          </w:tcPr>
          <w:p>
            <w:pPr>
              <w:ind w:left="200"/>
              <w:spacing w:after="0"/>
              <w:rPr>
                <w:sz w:val="20"/>
                <w:szCs w:val="20"/>
                <w:color w:val="auto"/>
              </w:rPr>
            </w:pPr>
            <w:r>
              <w:rPr>
                <w:rFonts w:ascii="Times New Roman" w:cs="Times New Roman" w:eastAsia="Times New Roman" w:hAnsi="Times New Roman"/>
                <w:sz w:val="20"/>
                <w:szCs w:val="20"/>
                <w:color w:val="231F20"/>
              </w:rPr>
              <w:t>Impairment loss on intangible assets</w:t>
            </w:r>
          </w:p>
        </w:tc>
        <w:tc>
          <w:tcPr>
            <w:tcW w:w="160" w:type="dxa"/>
            <w:vAlign w:val="bottom"/>
            <w:tcBorders>
              <w:bottom w:val="single" w:sz="8" w:color="E3E4E5"/>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32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107</w:t>
            </w:r>
          </w:p>
        </w:tc>
        <w:tc>
          <w:tcPr>
            <w:tcW w:w="160" w:type="dxa"/>
            <w:vAlign w:val="bottom"/>
            <w:tcBorders>
              <w:bottom w:val="single" w:sz="8" w:color="E5E6E7"/>
            </w:tcBorders>
          </w:tcPr>
          <w:p>
            <w:pPr>
              <w:spacing w:after="0"/>
              <w:rPr>
                <w:sz w:val="21"/>
                <w:szCs w:val="21"/>
                <w:color w:val="auto"/>
              </w:rPr>
            </w:pPr>
          </w:p>
        </w:tc>
        <w:tc>
          <w:tcPr>
            <w:tcW w:w="340" w:type="dxa"/>
            <w:vAlign w:val="bottom"/>
            <w:tcBorders>
              <w:bottom w:val="single" w:sz="8" w:color="231F20"/>
            </w:tcBorders>
          </w:tcPr>
          <w:p>
            <w:pPr>
              <w:spacing w:after="0"/>
              <w:rPr>
                <w:sz w:val="21"/>
                <w:szCs w:val="21"/>
                <w:color w:val="auto"/>
              </w:rPr>
            </w:pPr>
          </w:p>
        </w:tc>
        <w:tc>
          <w:tcPr>
            <w:tcW w:w="12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238</w:t>
            </w:r>
          </w:p>
        </w:tc>
      </w:tr>
      <w:tr>
        <w:trPr>
          <w:trHeight w:val="239"/>
        </w:trPr>
        <w:tc>
          <w:tcPr>
            <w:tcW w:w="72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Total operating expenses</w:t>
            </w:r>
          </w:p>
        </w:tc>
        <w:tc>
          <w:tcPr>
            <w:tcW w:w="160" w:type="dxa"/>
            <w:vAlign w:val="bottom"/>
            <w:shd w:val="clear" w:color="auto" w:fill="E3E4E5"/>
          </w:tcPr>
          <w:p>
            <w:pPr>
              <w:spacing w:after="0"/>
              <w:rPr>
                <w:sz w:val="20"/>
                <w:szCs w:val="20"/>
                <w:color w:val="auto"/>
              </w:rPr>
            </w:pPr>
          </w:p>
        </w:tc>
        <w:tc>
          <w:tcPr>
            <w:tcW w:w="320" w:type="dxa"/>
            <w:vAlign w:val="bottom"/>
            <w:tcBorders>
              <w:bottom w:val="single" w:sz="8" w:color="231F20"/>
            </w:tcBorders>
            <w:shd w:val="clear" w:color="auto" w:fill="E5E6E7"/>
          </w:tcPr>
          <w:p>
            <w:pPr>
              <w:spacing w:after="0"/>
              <w:rPr>
                <w:sz w:val="20"/>
                <w:szCs w:val="20"/>
                <w:color w:val="auto"/>
              </w:rPr>
            </w:pPr>
          </w:p>
        </w:tc>
        <w:tc>
          <w:tcPr>
            <w:tcW w:w="1320" w:type="dxa"/>
            <w:vAlign w:val="bottom"/>
            <w:tcBorders>
              <w:bottom w:val="single" w:sz="8" w:color="231F20"/>
            </w:tcBorders>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116,372</w:t>
            </w:r>
          </w:p>
        </w:tc>
        <w:tc>
          <w:tcPr>
            <w:tcW w:w="160" w:type="dxa"/>
            <w:vAlign w:val="bottom"/>
            <w:shd w:val="clear" w:color="auto" w:fill="E5E6E7"/>
          </w:tcPr>
          <w:p>
            <w:pPr>
              <w:spacing w:after="0"/>
              <w:rPr>
                <w:sz w:val="20"/>
                <w:szCs w:val="20"/>
                <w:color w:val="auto"/>
              </w:rPr>
            </w:pPr>
          </w:p>
        </w:tc>
        <w:tc>
          <w:tcPr>
            <w:tcW w:w="340" w:type="dxa"/>
            <w:vAlign w:val="bottom"/>
            <w:tcBorders>
              <w:bottom w:val="single" w:sz="8" w:color="231F20"/>
            </w:tcBorders>
            <w:shd w:val="clear" w:color="auto" w:fill="E5E6E7"/>
          </w:tcPr>
          <w:p>
            <w:pPr>
              <w:spacing w:after="0"/>
              <w:rPr>
                <w:sz w:val="20"/>
                <w:szCs w:val="20"/>
                <w:color w:val="auto"/>
              </w:rPr>
            </w:pPr>
          </w:p>
        </w:tc>
        <w:tc>
          <w:tcPr>
            <w:tcW w:w="12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105,821</w:t>
            </w:r>
          </w:p>
        </w:tc>
      </w:tr>
      <w:tr>
        <w:trPr>
          <w:trHeight w:val="239"/>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231F20"/>
              </w:rPr>
              <w:t>Loss from operations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(27,873)</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(34,498)</w:t>
            </w:r>
          </w:p>
        </w:tc>
      </w:tr>
      <w:tr>
        <w:trPr>
          <w:trHeight w:val="244"/>
        </w:trPr>
        <w:tc>
          <w:tcPr>
            <w:tcW w:w="722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Other (expense) income:</w:t>
            </w:r>
          </w:p>
        </w:tc>
        <w:tc>
          <w:tcPr>
            <w:tcW w:w="160" w:type="dxa"/>
            <w:vAlign w:val="bottom"/>
            <w:shd w:val="clear" w:color="auto" w:fill="E3E4E5"/>
          </w:tcPr>
          <w:p>
            <w:pPr>
              <w:spacing w:after="0"/>
              <w:rPr>
                <w:sz w:val="21"/>
                <w:szCs w:val="21"/>
                <w:color w:val="auto"/>
              </w:rPr>
            </w:pPr>
          </w:p>
        </w:tc>
        <w:tc>
          <w:tcPr>
            <w:tcW w:w="320" w:type="dxa"/>
            <w:vAlign w:val="bottom"/>
            <w:shd w:val="clear" w:color="auto" w:fill="E5E6E7"/>
          </w:tcPr>
          <w:p>
            <w:pPr>
              <w:spacing w:after="0"/>
              <w:rPr>
                <w:sz w:val="21"/>
                <w:szCs w:val="21"/>
                <w:color w:val="auto"/>
              </w:rPr>
            </w:pPr>
          </w:p>
        </w:tc>
        <w:tc>
          <w:tcPr>
            <w:tcW w:w="13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1280" w:type="dxa"/>
            <w:vAlign w:val="bottom"/>
            <w:shd w:val="clear" w:color="auto" w:fill="E5E6E7"/>
          </w:tcPr>
          <w:p>
            <w:pPr>
              <w:spacing w:after="0"/>
              <w:rPr>
                <w:sz w:val="21"/>
                <w:szCs w:val="21"/>
                <w:color w:val="auto"/>
              </w:rPr>
            </w:pPr>
          </w:p>
        </w:tc>
      </w:tr>
      <w:tr>
        <w:trPr>
          <w:trHeight w:val="244"/>
        </w:trPr>
        <w:tc>
          <w:tcPr>
            <w:tcW w:w="72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(7,716)</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(8,258)</w:t>
            </w:r>
          </w:p>
        </w:tc>
      </w:tr>
      <w:tr>
        <w:trPr>
          <w:trHeight w:val="244"/>
        </w:trPr>
        <w:tc>
          <w:tcPr>
            <w:tcW w:w="72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Loss on extinguishment of liabilities</w:t>
            </w:r>
          </w:p>
        </w:tc>
        <w:tc>
          <w:tcPr>
            <w:tcW w:w="160" w:type="dxa"/>
            <w:vAlign w:val="bottom"/>
            <w:shd w:val="clear" w:color="auto" w:fill="E3E4E5"/>
          </w:tcPr>
          <w:p>
            <w:pPr>
              <w:spacing w:after="0"/>
              <w:rPr>
                <w:sz w:val="21"/>
                <w:szCs w:val="21"/>
                <w:color w:val="auto"/>
              </w:rPr>
            </w:pPr>
          </w:p>
        </w:tc>
        <w:tc>
          <w:tcPr>
            <w:tcW w:w="320" w:type="dxa"/>
            <w:vAlign w:val="bottom"/>
            <w:shd w:val="clear" w:color="auto" w:fill="E3E4E5"/>
          </w:tcPr>
          <w:p>
            <w:pPr>
              <w:spacing w:after="0"/>
              <w:rPr>
                <w:sz w:val="21"/>
                <w:szCs w:val="21"/>
                <w:color w:val="auto"/>
              </w:rPr>
            </w:pPr>
          </w:p>
        </w:tc>
        <w:tc>
          <w:tcPr>
            <w:tcW w:w="132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60" w:type="dxa"/>
            <w:vAlign w:val="bottom"/>
            <w:shd w:val="clear" w:color="auto" w:fill="E5E6E7"/>
          </w:tcPr>
          <w:p>
            <w:pPr>
              <w:spacing w:after="0"/>
              <w:rPr>
                <w:sz w:val="21"/>
                <w:szCs w:val="21"/>
                <w:color w:val="auto"/>
              </w:rPr>
            </w:pPr>
          </w:p>
        </w:tc>
        <w:tc>
          <w:tcPr>
            <w:tcW w:w="340" w:type="dxa"/>
            <w:vAlign w:val="bottom"/>
            <w:shd w:val="clear" w:color="auto" w:fill="E3E4E5"/>
          </w:tcPr>
          <w:p>
            <w:pPr>
              <w:spacing w:after="0"/>
              <w:rPr>
                <w:sz w:val="21"/>
                <w:szCs w:val="21"/>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(248)</w:t>
            </w:r>
          </w:p>
        </w:tc>
      </w:tr>
      <w:tr>
        <w:trPr>
          <w:trHeight w:val="244"/>
        </w:trPr>
        <w:tc>
          <w:tcPr>
            <w:tcW w:w="72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fair value of warrant liability, net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4"/>
        </w:trPr>
        <w:tc>
          <w:tcPr>
            <w:tcW w:w="7220" w:type="dxa"/>
            <w:vAlign w:val="bottom"/>
            <w:tcBorders>
              <w:bottom w:val="single" w:sz="8" w:color="E5E6E7"/>
            </w:tcBorders>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Other income, net</w:t>
            </w:r>
          </w:p>
        </w:tc>
        <w:tc>
          <w:tcPr>
            <w:tcW w:w="160" w:type="dxa"/>
            <w:vAlign w:val="bottom"/>
            <w:tcBorders>
              <w:bottom w:val="single" w:sz="8" w:color="E3E4E5"/>
            </w:tcBorders>
            <w:shd w:val="clear" w:color="auto" w:fill="E3E4E5"/>
          </w:tcPr>
          <w:p>
            <w:pPr>
              <w:spacing w:after="0"/>
              <w:rPr>
                <w:sz w:val="22"/>
                <w:szCs w:val="22"/>
                <w:color w:val="auto"/>
              </w:rPr>
            </w:pPr>
          </w:p>
        </w:tc>
        <w:tc>
          <w:tcPr>
            <w:tcW w:w="320" w:type="dxa"/>
            <w:vAlign w:val="bottom"/>
            <w:tcBorders>
              <w:bottom w:val="single" w:sz="8" w:color="231F20"/>
            </w:tcBorders>
            <w:shd w:val="clear" w:color="auto" w:fill="E5E6E7"/>
          </w:tcPr>
          <w:p>
            <w:pPr>
              <w:spacing w:after="0"/>
              <w:rPr>
                <w:sz w:val="22"/>
                <w:szCs w:val="22"/>
                <w:color w:val="auto"/>
              </w:rPr>
            </w:pPr>
          </w:p>
        </w:tc>
        <w:tc>
          <w:tcPr>
            <w:tcW w:w="1320" w:type="dxa"/>
            <w:vAlign w:val="bottom"/>
            <w:tcBorders>
              <w:bottom w:val="single" w:sz="8" w:color="231F20"/>
            </w:tcBorders>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604</w:t>
            </w:r>
          </w:p>
        </w:tc>
        <w:tc>
          <w:tcPr>
            <w:tcW w:w="160" w:type="dxa"/>
            <w:vAlign w:val="bottom"/>
            <w:tcBorders>
              <w:bottom w:val="single" w:sz="8" w:color="E5E6E7"/>
            </w:tcBorders>
            <w:shd w:val="clear" w:color="auto" w:fill="E5E6E7"/>
          </w:tcPr>
          <w:p>
            <w:pPr>
              <w:spacing w:after="0"/>
              <w:rPr>
                <w:sz w:val="22"/>
                <w:szCs w:val="22"/>
                <w:color w:val="auto"/>
              </w:rPr>
            </w:pPr>
          </w:p>
        </w:tc>
        <w:tc>
          <w:tcPr>
            <w:tcW w:w="340" w:type="dxa"/>
            <w:vAlign w:val="bottom"/>
            <w:tcBorders>
              <w:bottom w:val="single" w:sz="8" w:color="231F20"/>
            </w:tcBorders>
            <w:shd w:val="clear" w:color="auto" w:fill="E5E6E7"/>
          </w:tcPr>
          <w:p>
            <w:pPr>
              <w:spacing w:after="0"/>
              <w:rPr>
                <w:sz w:val="22"/>
                <w:szCs w:val="22"/>
                <w:color w:val="auto"/>
              </w:rPr>
            </w:pPr>
          </w:p>
        </w:tc>
        <w:tc>
          <w:tcPr>
            <w:tcW w:w="12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73</w:t>
            </w:r>
          </w:p>
        </w:tc>
      </w:tr>
      <w:tr>
        <w:trPr>
          <w:trHeight w:val="219"/>
        </w:trPr>
        <w:tc>
          <w:tcPr>
            <w:tcW w:w="7220" w:type="dxa"/>
            <w:vAlign w:val="bottom"/>
          </w:tcPr>
          <w:p>
            <w:pPr>
              <w:spacing w:after="0" w:line="219" w:lineRule="exact"/>
              <w:rPr>
                <w:sz w:val="20"/>
                <w:szCs w:val="20"/>
                <w:color w:val="auto"/>
              </w:rPr>
            </w:pPr>
            <w:r>
              <w:rPr>
                <w:rFonts w:ascii="Times New Roman" w:cs="Times New Roman" w:eastAsia="Times New Roman" w:hAnsi="Times New Roman"/>
                <w:sz w:val="20"/>
                <w:szCs w:val="20"/>
                <w:color w:val="231F20"/>
              </w:rPr>
              <w:t>Total other expense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(7,392)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spacing w:after="0" w:line="219" w:lineRule="exact"/>
              <w:rPr>
                <w:sz w:val="20"/>
                <w:szCs w:val="20"/>
                <w:color w:val="auto"/>
              </w:rPr>
            </w:pPr>
            <w:r>
              <w:rPr>
                <w:rFonts w:ascii="Times New Roman" w:cs="Times New Roman" w:eastAsia="Times New Roman" w:hAnsi="Times New Roman"/>
                <w:sz w:val="20"/>
                <w:szCs w:val="20"/>
                <w:color w:val="231F20"/>
              </w:rPr>
              <w:t>(8,433)</w:t>
            </w:r>
          </w:p>
        </w:tc>
      </w:tr>
      <w:tr>
        <w:trPr>
          <w:trHeight w:val="264"/>
        </w:trPr>
        <w:tc>
          <w:tcPr>
            <w:tcW w:w="7220" w:type="dxa"/>
            <w:vAlign w:val="bottom"/>
            <w:shd w:val="clear" w:color="auto" w:fill="E5E6E7"/>
          </w:tcPr>
          <w:p>
            <w:pPr>
              <w:spacing w:after="0"/>
              <w:rPr>
                <w:sz w:val="22"/>
                <w:szCs w:val="22"/>
                <w:color w:val="auto"/>
              </w:rPr>
            </w:pPr>
          </w:p>
        </w:tc>
        <w:tc>
          <w:tcPr>
            <w:tcW w:w="160" w:type="dxa"/>
            <w:vAlign w:val="bottom"/>
            <w:shd w:val="clear" w:color="auto" w:fill="E3E4E5"/>
          </w:tcPr>
          <w:p>
            <w:pPr>
              <w:spacing w:after="0"/>
              <w:rPr>
                <w:sz w:val="22"/>
                <w:szCs w:val="22"/>
                <w:color w:val="auto"/>
              </w:rPr>
            </w:pPr>
          </w:p>
        </w:tc>
        <w:tc>
          <w:tcPr>
            <w:tcW w:w="320" w:type="dxa"/>
            <w:vAlign w:val="bottom"/>
            <w:shd w:val="clear" w:color="auto" w:fill="E5E6E7"/>
          </w:tcPr>
          <w:p>
            <w:pPr>
              <w:spacing w:after="0"/>
              <w:rPr>
                <w:sz w:val="22"/>
                <w:szCs w:val="22"/>
                <w:color w:val="auto"/>
              </w:rPr>
            </w:pPr>
          </w:p>
        </w:tc>
        <w:tc>
          <w:tcPr>
            <w:tcW w:w="1320" w:type="dxa"/>
            <w:vAlign w:val="bottom"/>
            <w:shd w:val="clear" w:color="auto" w:fill="E5E6E7"/>
          </w:tcPr>
          <w:p>
            <w:pPr>
              <w:spacing w:after="0"/>
              <w:rPr>
                <w:sz w:val="22"/>
                <w:szCs w:val="22"/>
                <w:color w:val="auto"/>
              </w:rPr>
            </w:pPr>
          </w:p>
        </w:tc>
        <w:tc>
          <w:tcPr>
            <w:tcW w:w="500" w:type="dxa"/>
            <w:vAlign w:val="bottom"/>
            <w:gridSpan w:val="2"/>
            <w:shd w:val="clear" w:color="auto" w:fill="E5E6E7"/>
          </w:tcPr>
          <w:p>
            <w:pPr>
              <w:spacing w:after="0"/>
              <w:rPr>
                <w:sz w:val="22"/>
                <w:szCs w:val="22"/>
                <w:color w:val="auto"/>
              </w:rPr>
            </w:pPr>
          </w:p>
        </w:tc>
        <w:tc>
          <w:tcPr>
            <w:tcW w:w="1280" w:type="dxa"/>
            <w:vAlign w:val="bottom"/>
            <w:shd w:val="clear" w:color="auto" w:fill="E5E6E7"/>
          </w:tcPr>
          <w:p>
            <w:pPr>
              <w:spacing w:after="0"/>
              <w:rPr>
                <w:sz w:val="22"/>
                <w:szCs w:val="22"/>
                <w:color w:val="auto"/>
              </w:rPr>
            </w:pPr>
          </w:p>
        </w:tc>
      </w:tr>
      <w:tr>
        <w:trPr>
          <w:trHeight w:val="259"/>
        </w:trPr>
        <w:tc>
          <w:tcPr>
            <w:tcW w:w="7220" w:type="dxa"/>
            <w:vAlign w:val="bottom"/>
            <w:tcBorders>
              <w:top w:val="single" w:sz="8" w:color="E5E6E7"/>
              <w:bottom w:val="single" w:sz="8" w:color="E5E6E7"/>
            </w:tcBorders>
          </w:tcPr>
          <w:p>
            <w:pPr>
              <w:spacing w:after="0" w:line="219" w:lineRule="exact"/>
              <w:rPr>
                <w:sz w:val="20"/>
                <w:szCs w:val="20"/>
                <w:color w:val="auto"/>
              </w:rPr>
            </w:pPr>
            <w:r>
              <w:rPr>
                <w:rFonts w:ascii="Times New Roman" w:cs="Times New Roman" w:eastAsia="Times New Roman" w:hAnsi="Times New Roman"/>
                <w:sz w:val="20"/>
                <w:szCs w:val="20"/>
                <w:color w:val="231F20"/>
              </w:rPr>
              <w:t>Net loss</w:t>
            </w:r>
          </w:p>
        </w:tc>
        <w:tc>
          <w:tcPr>
            <w:tcW w:w="160" w:type="dxa"/>
            <w:vAlign w:val="bottom"/>
            <w:tcBorders>
              <w:top w:val="single" w:sz="8" w:color="E3E4E5"/>
              <w:bottom w:val="single" w:sz="8" w:color="E3E4E5"/>
            </w:tcBorders>
          </w:tcPr>
          <w:p>
            <w:pPr>
              <w:spacing w:after="0"/>
              <w:rPr>
                <w:sz w:val="22"/>
                <w:szCs w:val="22"/>
                <w:color w:val="auto"/>
              </w:rPr>
            </w:pPr>
          </w:p>
        </w:tc>
        <w:tc>
          <w:tcPr>
            <w:tcW w:w="320" w:type="dxa"/>
            <w:vAlign w:val="bottom"/>
            <w:tcBorders>
              <w:top w:val="single" w:sz="8" w:color="231F20"/>
              <w:bottom w:val="single" w:sz="8" w:color="231F20"/>
            </w:tcBorders>
          </w:tcPr>
          <w:p>
            <w:pPr>
              <w:jc w:val="right"/>
              <w:ind w:right="12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32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(35,265)</w:t>
            </w:r>
          </w:p>
        </w:tc>
        <w:tc>
          <w:tcPr>
            <w:tcW w:w="160" w:type="dxa"/>
            <w:vAlign w:val="bottom"/>
            <w:tcBorders>
              <w:top w:val="single" w:sz="8" w:color="E5E6E7"/>
              <w:bottom w:val="single" w:sz="8" w:color="E5E6E7"/>
            </w:tcBorders>
          </w:tcPr>
          <w:p>
            <w:pPr>
              <w:spacing w:after="0"/>
              <w:rPr>
                <w:sz w:val="22"/>
                <w:szCs w:val="22"/>
                <w:color w:val="auto"/>
              </w:rPr>
            </w:pPr>
          </w:p>
        </w:tc>
        <w:tc>
          <w:tcPr>
            <w:tcW w:w="340" w:type="dxa"/>
            <w:vAlign w:val="bottom"/>
            <w:tcBorders>
              <w:top w:val="single" w:sz="8" w:color="231F20"/>
              <w:bottom w:val="single" w:sz="8" w:color="231F20"/>
            </w:tcBorders>
          </w:tcPr>
          <w:p>
            <w:pPr>
              <w:jc w:val="right"/>
              <w:ind w:right="140"/>
              <w:spacing w:after="0" w:line="219" w:lineRule="exact"/>
              <w:rPr>
                <w:sz w:val="20"/>
                <w:szCs w:val="20"/>
                <w:color w:val="auto"/>
              </w:rPr>
            </w:pPr>
            <w:r>
              <w:rPr>
                <w:rFonts w:ascii="Times New Roman" w:cs="Times New Roman" w:eastAsia="Times New Roman" w:hAnsi="Times New Roman"/>
                <w:sz w:val="20"/>
                <w:szCs w:val="20"/>
                <w:color w:val="231F20"/>
                <w:w w:val="79"/>
              </w:rPr>
              <w:t>$</w:t>
            </w:r>
          </w:p>
        </w:tc>
        <w:tc>
          <w:tcPr>
            <w:tcW w:w="128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(42,931)</w:t>
            </w:r>
          </w:p>
        </w:tc>
      </w:tr>
      <w:tr>
        <w:trPr>
          <w:trHeight w:val="229"/>
        </w:trPr>
        <w:tc>
          <w:tcPr>
            <w:tcW w:w="7220" w:type="dxa"/>
            <w:vAlign w:val="bottom"/>
            <w:shd w:val="clear" w:color="auto" w:fill="E5E6E7"/>
          </w:tcPr>
          <w:p>
            <w:pPr>
              <w:spacing w:after="0" w:line="228" w:lineRule="exact"/>
              <w:rPr>
                <w:sz w:val="20"/>
                <w:szCs w:val="20"/>
                <w:color w:val="auto"/>
              </w:rPr>
            </w:pPr>
            <w:r>
              <w:rPr>
                <w:rFonts w:ascii="Times New Roman" w:cs="Times New Roman" w:eastAsia="Times New Roman" w:hAnsi="Times New Roman"/>
                <w:sz w:val="20"/>
                <w:szCs w:val="20"/>
                <w:color w:val="414142"/>
              </w:rPr>
              <w:t>Net loss per share, basic and diluted</w:t>
            </w:r>
            <w:r>
              <w:rPr>
                <w:rFonts w:ascii="Times New Roman" w:cs="Times New Roman" w:eastAsia="Times New Roman" w:hAnsi="Times New Roman"/>
                <w:sz w:val="26"/>
                <w:szCs w:val="26"/>
                <w:color w:val="414142"/>
                <w:vertAlign w:val="superscript"/>
              </w:rPr>
              <w:t>(a)</w:t>
            </w:r>
          </w:p>
        </w:tc>
        <w:tc>
          <w:tcPr>
            <w:tcW w:w="160" w:type="dxa"/>
            <w:vAlign w:val="bottom"/>
            <w:shd w:val="clear" w:color="auto" w:fill="E3E4E5"/>
          </w:tcPr>
          <w:p>
            <w:pPr>
              <w:spacing w:after="0"/>
              <w:rPr>
                <w:sz w:val="19"/>
                <w:szCs w:val="19"/>
                <w:color w:val="auto"/>
              </w:rPr>
            </w:pPr>
          </w:p>
        </w:tc>
        <w:tc>
          <w:tcPr>
            <w:tcW w:w="320" w:type="dxa"/>
            <w:vAlign w:val="bottom"/>
            <w:shd w:val="clear" w:color="auto" w:fill="E5E6E7"/>
          </w:tcPr>
          <w:p>
            <w:pPr>
              <w:jc w:val="right"/>
              <w:ind w:right="120"/>
              <w:spacing w:after="0"/>
              <w:rPr>
                <w:sz w:val="20"/>
                <w:szCs w:val="20"/>
                <w:color w:val="auto"/>
              </w:rPr>
            </w:pPr>
            <w:r>
              <w:rPr>
                <w:rFonts w:ascii="Times New Roman" w:cs="Times New Roman" w:eastAsia="Times New Roman" w:hAnsi="Times New Roman"/>
                <w:sz w:val="20"/>
                <w:szCs w:val="20"/>
                <w:color w:val="414142"/>
                <w:w w:val="79"/>
              </w:rPr>
              <w:t>$</w:t>
            </w:r>
          </w:p>
        </w:tc>
        <w:tc>
          <w:tcPr>
            <w:tcW w:w="1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(4.67)</w:t>
            </w:r>
          </w:p>
        </w:tc>
        <w:tc>
          <w:tcPr>
            <w:tcW w:w="160" w:type="dxa"/>
            <w:vAlign w:val="bottom"/>
            <w:shd w:val="clear" w:color="auto" w:fill="E5E6E7"/>
          </w:tcPr>
          <w:p>
            <w:pPr>
              <w:spacing w:after="0"/>
              <w:rPr>
                <w:sz w:val="19"/>
                <w:szCs w:val="19"/>
                <w:color w:val="auto"/>
              </w:rPr>
            </w:pPr>
          </w:p>
        </w:tc>
        <w:tc>
          <w:tcPr>
            <w:tcW w:w="340" w:type="dxa"/>
            <w:vAlign w:val="bottom"/>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w w:val="79"/>
              </w:rPr>
              <w:t>$</w:t>
            </w:r>
          </w:p>
        </w:tc>
        <w:tc>
          <w:tcPr>
            <w:tcW w:w="12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(6.64)</w:t>
            </w:r>
          </w:p>
        </w:tc>
      </w:tr>
      <w:tr>
        <w:trPr>
          <w:trHeight w:val="346"/>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231F20"/>
              </w:rPr>
              <w:t>Weighted-average shares outstanding, basic and diluted</w:t>
            </w:r>
            <w:r>
              <w:rPr>
                <w:rFonts w:ascii="Times New Roman" w:cs="Times New Roman" w:eastAsia="Times New Roman" w:hAnsi="Times New Roman"/>
                <w:sz w:val="26"/>
                <w:szCs w:val="26"/>
                <w:color w:val="231F20"/>
                <w:vertAlign w:val="superscript"/>
              </w:rPr>
              <w:t>(a)</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7,551</w:t>
            </w: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6,470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4667885</wp:posOffset>
            </wp:positionH>
            <wp:positionV relativeFrom="paragraph">
              <wp:posOffset>-2938780</wp:posOffset>
            </wp:positionV>
            <wp:extent cx="215455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0">
                      <a:extLst>
                        <a:ext uri="{28A0092B-C50C-407E-A947-70E740481C1C}"/>
                      </a:extLst>
                    </a:blip>
                    <a:srcRect/>
                    <a:stretch>
                      <a:fillRect/>
                    </a:stretch>
                  </pic:blipFill>
                  <pic:spPr bwMode="auto">
                    <a:xfrm>
                      <a:off x="0" y="0"/>
                      <a:ext cx="2154555" cy="38100"/>
                    </a:xfrm>
                    <a:prstGeom prst="rect">
                      <a:avLst/>
                    </a:prstGeom>
                    <a:noFill/>
                  </pic:spPr>
                </pic:pic>
              </a:graphicData>
            </a:graphic>
          </wp:anchor>
        </w:drawing>
      </w:r>
    </w:p>
    <w:p>
      <w:pPr>
        <w:spacing w:after="0" w:line="93" w:lineRule="exact"/>
        <w:rPr>
          <w:sz w:val="20"/>
          <w:szCs w:val="20"/>
          <w:color w:val="auto"/>
        </w:rPr>
      </w:pPr>
    </w:p>
    <w:p>
      <w:pPr>
        <w:ind w:right="60"/>
        <w:spacing w:after="0" w:line="277" w:lineRule="auto"/>
        <w:tabs>
          <w:tab w:leader="none" w:pos="218" w:val="left"/>
        </w:tabs>
        <w:numPr>
          <w:ilvl w:val="0"/>
          <w:numId w:val="54"/>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All share and per share information have been adjusted to reflect the 1-for-20 reverse stock split effective September 15, 2025. See Note 2 – </w:t>
      </w:r>
      <w:r>
        <w:rPr>
          <w:rFonts w:ascii="Times New Roman" w:cs="Times New Roman" w:eastAsia="Times New Roman" w:hAnsi="Times New Roman"/>
          <w:sz w:val="16"/>
          <w:szCs w:val="16"/>
          <w:i w:val="1"/>
          <w:iCs w:val="1"/>
          <w:color w:val="231F20"/>
        </w:rPr>
        <w:t>Summary of Significant</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 xml:space="preserve">Accounting Policies </w:t>
      </w:r>
      <w:r>
        <w:rPr>
          <w:rFonts w:ascii="Times New Roman" w:cs="Times New Roman" w:eastAsia="Times New Roman" w:hAnsi="Times New Roman"/>
          <w:sz w:val="16"/>
          <w:szCs w:val="16"/>
          <w:color w:val="231F20"/>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financial statements.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F-4</w:t>
      </w:r>
    </w:p>
    <w:p>
      <w:pPr>
        <w:sectPr>
          <w:pgSz w:w="11880" w:h="15480" w:orient="portrait"/>
          <w:cols w:equalWidth="0" w:num="1">
            <w:col w:w="10800"/>
          </w:cols>
          <w:pgMar w:left="540" w:top="746" w:right="540" w:bottom="0" w:gutter="0" w:footer="0" w:header="0"/>
        </w:sectPr>
      </w:pPr>
    </w:p>
    <w:bookmarkStart w:id="93" w:name="page94"/>
    <w:bookmarkEnd w:id="93"/>
    <w:p>
      <w:pPr>
        <w:ind w:left="4660"/>
        <w:spacing w:after="0"/>
        <w:rPr>
          <w:sz w:val="20"/>
          <w:szCs w:val="20"/>
          <w:color w:val="auto"/>
        </w:rPr>
      </w:pPr>
      <w:r>
        <w:rPr>
          <w:rFonts w:ascii="Times New Roman" w:cs="Times New Roman" w:eastAsia="Times New Roman" w:hAnsi="Times New Roman"/>
          <w:sz w:val="20"/>
          <w:szCs w:val="20"/>
          <w:b w:val="1"/>
          <w:bCs w:val="1"/>
          <w:color w:val="231F20"/>
        </w:rPr>
        <w:t>BIODESIX, INC.</w:t>
      </w:r>
    </w:p>
    <w:p>
      <w:pPr>
        <w:spacing w:after="0" w:line="200"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231F20"/>
        </w:rPr>
        <w:t>Statements of Stockholders' (Deficit) Equity</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(in thousands)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700"/>
        <w:spacing w:after="0" w:line="268" w:lineRule="auto"/>
        <w:rPr>
          <w:sz w:val="20"/>
          <w:szCs w:val="20"/>
          <w:color w:val="auto"/>
        </w:rPr>
      </w:pPr>
      <w:r>
        <w:rPr>
          <w:rFonts w:ascii="Times New Roman" w:cs="Times New Roman" w:eastAsia="Times New Roman" w:hAnsi="Times New Roman"/>
          <w:sz w:val="20"/>
          <w:szCs w:val="20"/>
          <w:b w:val="1"/>
          <w:bCs w:val="1"/>
          <w:color w:val="414142"/>
        </w:rPr>
        <w:t xml:space="preserve">Balance - December 31, 2023 </w:t>
      </w:r>
      <w:r>
        <w:rPr>
          <w:rFonts w:ascii="Times New Roman" w:cs="Times New Roman" w:eastAsia="Times New Roman" w:hAnsi="Times New Roman"/>
          <w:sz w:val="20"/>
          <w:szCs w:val="20"/>
          <w:color w:val="231F20"/>
        </w:rPr>
        <w:t>Issuance of common stock, net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-328930</wp:posOffset>
                </wp:positionV>
                <wp:extent cx="2880360" cy="164465"/>
                <wp:wrapNone/>
                <wp:docPr id="45" name="Shape 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360" cy="164465"/>
                        </a:xfrm>
                        <a:prstGeom prst="rect">
                          <a:avLst/>
                        </a:prstGeom>
                        <a:solidFill>
                          <a:srgbClr val="E3E4E5"/>
                        </a:solidFill>
                      </wps:spPr>
                      <wps:bodyPr/>
                    </wps:wsp>
                  </a:graphicData>
                </a:graphic>
              </wp:anchor>
            </w:drawing>
          </mc:Choice>
          <mc:Fallback>
            <w:pict>
              <v:rect id="Shape 45" o:spid="_x0000_s1070" style="position:absolute;margin-left:0pt;margin-top:-25.8999pt;width:226.8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ind w:right="240"/>
        <w:spacing w:after="0" w:line="247" w:lineRule="auto"/>
        <w:rPr>
          <w:sz w:val="20"/>
          <w:szCs w:val="20"/>
          <w:color w:val="auto"/>
        </w:rPr>
      </w:pPr>
      <w:r>
        <w:rPr>
          <w:rFonts w:ascii="Times New Roman" w:cs="Times New Roman" w:eastAsia="Times New Roman" w:hAnsi="Times New Roman"/>
          <w:sz w:val="20"/>
          <w:szCs w:val="20"/>
          <w:color w:val="414142"/>
        </w:rPr>
        <w:t>Issuance of common stock under employee stock purchase plan</w:t>
      </w:r>
    </w:p>
    <w:p>
      <w:pPr>
        <w:spacing w:after="0" w:line="1" w:lineRule="exact"/>
        <w:rPr>
          <w:sz w:val="20"/>
          <w:szCs w:val="20"/>
          <w:color w:val="auto"/>
        </w:rPr>
      </w:pPr>
    </w:p>
    <w:p>
      <w:pPr>
        <w:ind w:right="1640"/>
        <w:spacing w:after="0" w:line="268" w:lineRule="auto"/>
        <w:rPr>
          <w:sz w:val="20"/>
          <w:szCs w:val="20"/>
          <w:color w:val="auto"/>
        </w:rPr>
      </w:pPr>
      <w:r>
        <w:rPr>
          <w:rFonts w:ascii="Times New Roman" w:cs="Times New Roman" w:eastAsia="Times New Roman" w:hAnsi="Times New Roman"/>
          <w:sz w:val="19"/>
          <w:szCs w:val="19"/>
          <w:color w:val="231F20"/>
        </w:rPr>
        <w:t xml:space="preserve">Exercise of stock options </w:t>
      </w:r>
      <w:r>
        <w:rPr>
          <w:rFonts w:ascii="Times New Roman" w:cs="Times New Roman" w:eastAsia="Times New Roman" w:hAnsi="Times New Roman"/>
          <w:sz w:val="19"/>
          <w:szCs w:val="19"/>
          <w:color w:val="414142"/>
        </w:rPr>
        <w:t>Release of restricted stock units</w:t>
      </w:r>
    </w:p>
    <w:p>
      <w:pPr>
        <w:ind w:right="100"/>
        <w:spacing w:after="0" w:line="247" w:lineRule="auto"/>
        <w:rPr>
          <w:sz w:val="20"/>
          <w:szCs w:val="20"/>
          <w:color w:val="auto"/>
        </w:rPr>
      </w:pPr>
      <w:r>
        <w:rPr>
          <w:rFonts w:ascii="Times New Roman" w:cs="Times New Roman" w:eastAsia="Times New Roman" w:hAnsi="Times New Roman"/>
          <w:sz w:val="20"/>
          <w:szCs w:val="20"/>
          <w:color w:val="231F20"/>
        </w:rPr>
        <w:t>Conversion of Series A preferred stock to common stock, net</w:t>
      </w:r>
    </w:p>
    <w:p>
      <w:pPr>
        <w:spacing w:after="0" w:line="1"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414142"/>
        </w:rPr>
        <w:t>Share</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based compensation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Net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2880360" cy="164465"/>
                <wp:wrapNone/>
                <wp:docPr id="46" name="Shape 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360" cy="164465"/>
                        </a:xfrm>
                        <a:prstGeom prst="rect">
                          <a:avLst/>
                        </a:prstGeom>
                        <a:solidFill>
                          <a:srgbClr val="E3E4E5"/>
                        </a:solidFill>
                      </wps:spPr>
                      <wps:bodyPr/>
                    </wps:wsp>
                  </a:graphicData>
                </a:graphic>
              </wp:anchor>
            </w:drawing>
          </mc:Choice>
          <mc:Fallback>
            <w:pict>
              <v:rect id="Shape 46" o:spid="_x0000_s1071" style="position:absolute;margin-left:0pt;margin-top:0.6pt;width:226.8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9" w:lineRule="exact"/>
        <w:rPr>
          <w:sz w:val="20"/>
          <w:szCs w:val="20"/>
          <w:color w:val="auto"/>
        </w:rPr>
      </w:pPr>
    </w:p>
    <w:p>
      <w:pPr>
        <w:ind w:right="1700"/>
        <w:spacing w:after="0" w:line="262" w:lineRule="auto"/>
        <w:rPr>
          <w:sz w:val="20"/>
          <w:szCs w:val="20"/>
          <w:color w:val="auto"/>
        </w:rPr>
      </w:pPr>
      <w:r>
        <w:rPr>
          <w:rFonts w:ascii="Times New Roman" w:cs="Times New Roman" w:eastAsia="Times New Roman" w:hAnsi="Times New Roman"/>
          <w:sz w:val="20"/>
          <w:szCs w:val="20"/>
          <w:b w:val="1"/>
          <w:bCs w:val="1"/>
          <w:color w:val="414142"/>
        </w:rPr>
        <w:t xml:space="preserve">Balance - December 31, 2024 </w:t>
      </w:r>
      <w:r>
        <w:rPr>
          <w:rFonts w:ascii="Times New Roman" w:cs="Times New Roman" w:eastAsia="Times New Roman" w:hAnsi="Times New Roman"/>
          <w:sz w:val="20"/>
          <w:szCs w:val="20"/>
          <w:color w:val="231F20"/>
        </w:rPr>
        <w:t>Issuance of common stock, net</w:t>
      </w:r>
    </w:p>
    <w:p>
      <w:pPr>
        <w:spacing w:after="0" w:line="1"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0"/>
          <w:szCs w:val="20"/>
          <w:color w:val="414142"/>
        </w:rPr>
        <w:t>Issuance of common stock under employee stock purchase plan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Release of restricted stock units</w:t>
      </w:r>
    </w:p>
    <w:p>
      <w:pPr>
        <w:spacing w:after="0" w:line="14"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414142"/>
        </w:rPr>
        <w:t xml:space="preserve">Change in fair value of Perceptive Warrants </w:t>
      </w:r>
      <w:r>
        <w:rPr>
          <w:rFonts w:ascii="Times New Roman" w:cs="Times New Roman" w:eastAsia="Times New Roman" w:hAnsi="Times New Roman"/>
          <w:sz w:val="20"/>
          <w:szCs w:val="20"/>
          <w:color w:val="231F20"/>
        </w:rPr>
        <w:t>Reclassification of Tranche C warrants to additional paid-in capital</w:t>
      </w:r>
    </w:p>
    <w:p>
      <w:pPr>
        <w:spacing w:after="0" w:line="2"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color w:val="414142"/>
        </w:rPr>
        <w:t>Share</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based compensation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Net loss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7620</wp:posOffset>
                </wp:positionV>
                <wp:extent cx="2880360" cy="164465"/>
                <wp:wrapNone/>
                <wp:docPr id="47" name="Shape 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80360" cy="164465"/>
                        </a:xfrm>
                        <a:prstGeom prst="rect">
                          <a:avLst/>
                        </a:prstGeom>
                        <a:solidFill>
                          <a:srgbClr val="E3E4E5"/>
                        </a:solidFill>
                      </wps:spPr>
                      <wps:bodyPr/>
                    </wps:wsp>
                  </a:graphicData>
                </a:graphic>
              </wp:anchor>
            </w:drawing>
          </mc:Choice>
          <mc:Fallback>
            <w:pict>
              <v:rect id="Shape 47" o:spid="_x0000_s1072" style="position:absolute;margin-left:0pt;margin-top:0.6pt;width:226.8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414142"/>
        </w:rPr>
        <w:t>Balance -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231F20"/>
              </w:rPr>
              <w:t>Additional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231F20"/>
                <w:w w:val="96"/>
              </w:rPr>
              <w:t>Total</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tcPr>
          <w:p>
            <w:pPr>
              <w:jc w:val="center"/>
              <w:spacing w:after="0" w:line="215" w:lineRule="exact"/>
              <w:rPr>
                <w:sz w:val="20"/>
                <w:szCs w:val="20"/>
                <w:color w:val="auto"/>
              </w:rPr>
            </w:pPr>
            <w:r>
              <w:rPr>
                <w:rFonts w:ascii="Times New Roman" w:cs="Times New Roman" w:eastAsia="Times New Roman" w:hAnsi="Times New Roman"/>
                <w:sz w:val="20"/>
                <w:szCs w:val="20"/>
                <w:b w:val="1"/>
                <w:bCs w:val="1"/>
                <w:color w:val="231F20"/>
                <w:w w:val="97"/>
              </w:rPr>
              <w:t>Stockholders'</w:t>
            </w:r>
          </w:p>
        </w:tc>
        <w:tc>
          <w:tcPr>
            <w:tcW w:w="0" w:type="dxa"/>
            <w:vAlign w:val="bottom"/>
          </w:tcPr>
          <w:p>
            <w:pPr>
              <w:spacing w:after="0"/>
              <w:rPr>
                <w:sz w:val="1"/>
                <w:szCs w:val="1"/>
                <w:color w:val="auto"/>
              </w:rPr>
            </w:pPr>
          </w:p>
        </w:tc>
      </w:tr>
      <w:tr>
        <w:trPr>
          <w:trHeight w:val="268"/>
        </w:trPr>
        <w:tc>
          <w:tcPr>
            <w:tcW w:w="2280" w:type="dxa"/>
            <w:vAlign w:val="bottom"/>
            <w:gridSpan w:val="5"/>
          </w:tcPr>
          <w:p>
            <w:pPr>
              <w:ind w:left="380"/>
              <w:spacing w:after="0" w:line="268" w:lineRule="exact"/>
              <w:rPr>
                <w:sz w:val="20"/>
                <w:szCs w:val="20"/>
                <w:color w:val="auto"/>
              </w:rPr>
            </w:pPr>
            <w:r>
              <w:rPr>
                <w:rFonts w:ascii="Times New Roman" w:cs="Times New Roman" w:eastAsia="Times New Roman" w:hAnsi="Times New Roman"/>
                <w:sz w:val="20"/>
                <w:szCs w:val="20"/>
                <w:b w:val="1"/>
                <w:bCs w:val="1"/>
                <w:color w:val="231F20"/>
              </w:rPr>
              <w:t>Common Stock</w:t>
            </w:r>
            <w:r>
              <w:rPr>
                <w:rFonts w:ascii="Times New Roman" w:cs="Times New Roman" w:eastAsia="Times New Roman" w:hAnsi="Times New Roman"/>
                <w:sz w:val="26"/>
                <w:szCs w:val="26"/>
                <w:b w:val="1"/>
                <w:bCs w:val="1"/>
                <w:color w:val="231F20"/>
                <w:vertAlign w:val="superscript"/>
              </w:rPr>
              <w:t>(a)</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center"/>
              <w:spacing w:after="0" w:line="230" w:lineRule="exact"/>
              <w:rPr>
                <w:sz w:val="20"/>
                <w:szCs w:val="20"/>
                <w:color w:val="auto"/>
              </w:rPr>
            </w:pPr>
            <w:r>
              <w:rPr>
                <w:rFonts w:ascii="Times New Roman" w:cs="Times New Roman" w:eastAsia="Times New Roman" w:hAnsi="Times New Roman"/>
                <w:sz w:val="20"/>
                <w:szCs w:val="20"/>
                <w:b w:val="1"/>
                <w:bCs w:val="1"/>
                <w:color w:val="231F20"/>
              </w:rPr>
              <w:t>Paid</w:t>
            </w:r>
            <w:r>
              <w:rPr>
                <w:rFonts w:ascii="MS Gothic" w:cs="MS Gothic" w:eastAsia="MS Gothic" w:hAnsi="MS Gothic"/>
                <w:sz w:val="20"/>
                <w:szCs w:val="20"/>
                <w:b w:val="1"/>
                <w:bCs w:val="1"/>
                <w:color w:val="231F20"/>
              </w:rPr>
              <w:t>̻</w:t>
            </w:r>
            <w:r>
              <w:rPr>
                <w:rFonts w:ascii="Times New Roman" w:cs="Times New Roman" w:eastAsia="Times New Roman" w:hAnsi="Times New Roman"/>
                <w:sz w:val="20"/>
                <w:szCs w:val="20"/>
                <w:b w:val="1"/>
                <w:bCs w:val="1"/>
                <w:color w:val="231F20"/>
              </w:rPr>
              <w:t>In</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Accumulated</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231F20"/>
                <w:w w:val="99"/>
              </w:rPr>
              <w:t>(Deficit)</w:t>
            </w:r>
          </w:p>
        </w:tc>
        <w:tc>
          <w:tcPr>
            <w:tcW w:w="0" w:type="dxa"/>
            <w:vAlign w:val="bottom"/>
          </w:tcPr>
          <w:p>
            <w:pPr>
              <w:spacing w:after="0"/>
              <w:rPr>
                <w:sz w:val="1"/>
                <w:szCs w:val="1"/>
                <w:color w:val="auto"/>
              </w:rPr>
            </w:pPr>
          </w:p>
        </w:tc>
      </w:tr>
      <w:tr>
        <w:trPr>
          <w:trHeight w:val="239"/>
        </w:trPr>
        <w:tc>
          <w:tcPr>
            <w:tcW w:w="1180" w:type="dxa"/>
            <w:vAlign w:val="bottom"/>
            <w:tcBorders>
              <w:top w:val="single" w:sz="8" w:color="231F20"/>
              <w:bottom w:val="single" w:sz="8" w:color="231F20"/>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Shares</w:t>
            </w:r>
          </w:p>
        </w:tc>
        <w:tc>
          <w:tcPr>
            <w:tcW w:w="120" w:type="dxa"/>
            <w:vAlign w:val="bottom"/>
            <w:tcBorders>
              <w:top w:val="single" w:sz="8" w:color="231F20"/>
              <w:bottom w:val="single" w:sz="8" w:color="E3E4E5"/>
            </w:tcBorders>
          </w:tcPr>
          <w:p>
            <w:pPr>
              <w:spacing w:after="0"/>
              <w:rPr>
                <w:sz w:val="20"/>
                <w:szCs w:val="20"/>
                <w:color w:val="auto"/>
              </w:rPr>
            </w:pPr>
          </w:p>
        </w:tc>
        <w:tc>
          <w:tcPr>
            <w:tcW w:w="20" w:type="dxa"/>
            <w:vAlign w:val="bottom"/>
            <w:tcBorders>
              <w:top w:val="single" w:sz="8" w:color="231F20"/>
              <w:bottom w:val="single" w:sz="8" w:color="E3E4E5"/>
            </w:tcBorders>
          </w:tcPr>
          <w:p>
            <w:pPr>
              <w:spacing w:after="0"/>
              <w:rPr>
                <w:sz w:val="20"/>
                <w:szCs w:val="20"/>
                <w:color w:val="auto"/>
              </w:rPr>
            </w:pPr>
          </w:p>
        </w:tc>
        <w:tc>
          <w:tcPr>
            <w:tcW w:w="940" w:type="dxa"/>
            <w:vAlign w:val="bottom"/>
            <w:tcBorders>
              <w:top w:val="single" w:sz="8" w:color="231F20"/>
              <w:bottom w:val="single" w:sz="8" w:color="231F20"/>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rPr>
              <w:t>Amount</w:t>
            </w:r>
          </w:p>
        </w:tc>
        <w:tc>
          <w:tcPr>
            <w:tcW w:w="20" w:type="dxa"/>
            <w:vAlign w:val="bottom"/>
            <w:tcBorders>
              <w:bottom w:val="single" w:sz="8" w:color="231F20"/>
            </w:tcBorders>
          </w:tcPr>
          <w:p>
            <w:pPr>
              <w:spacing w:after="0"/>
              <w:rPr>
                <w:sz w:val="20"/>
                <w:szCs w:val="20"/>
                <w:color w:val="auto"/>
              </w:rPr>
            </w:pPr>
          </w:p>
        </w:tc>
        <w:tc>
          <w:tcPr>
            <w:tcW w:w="10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1160" w:type="dxa"/>
            <w:vAlign w:val="bottom"/>
            <w:tcBorders>
              <w:bottom w:val="single" w:sz="8" w:color="231F20"/>
            </w:tcBorders>
          </w:tcPr>
          <w:p>
            <w:pPr>
              <w:jc w:val="center"/>
              <w:spacing w:after="0" w:line="238" w:lineRule="exact"/>
              <w:rPr>
                <w:sz w:val="20"/>
                <w:szCs w:val="20"/>
                <w:color w:val="auto"/>
              </w:rPr>
            </w:pPr>
            <w:r>
              <w:rPr>
                <w:rFonts w:ascii="Times New Roman" w:cs="Times New Roman" w:eastAsia="Times New Roman" w:hAnsi="Times New Roman"/>
                <w:sz w:val="20"/>
                <w:szCs w:val="20"/>
                <w:b w:val="1"/>
                <w:bCs w:val="1"/>
                <w:color w:val="231F20"/>
                <w:w w:val="95"/>
              </w:rPr>
              <w:t>Capital</w:t>
            </w:r>
            <w:r>
              <w:rPr>
                <w:rFonts w:ascii="Times New Roman" w:cs="Times New Roman" w:eastAsia="Times New Roman" w:hAnsi="Times New Roman"/>
                <w:sz w:val="26"/>
                <w:szCs w:val="26"/>
                <w:b w:val="1"/>
                <w:bCs w:val="1"/>
                <w:color w:val="231F20"/>
                <w:w w:val="95"/>
                <w:vertAlign w:val="superscript"/>
              </w:rPr>
              <w:t>(a)</w:t>
            </w:r>
          </w:p>
        </w:tc>
        <w:tc>
          <w:tcPr>
            <w:tcW w:w="10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1280" w:type="dxa"/>
            <w:vAlign w:val="bottom"/>
            <w:tcBorders>
              <w:bottom w:val="single" w:sz="8" w:color="231F20"/>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Deficit</w:t>
            </w:r>
          </w:p>
        </w:tc>
        <w:tc>
          <w:tcPr>
            <w:tcW w:w="12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1160" w:type="dxa"/>
            <w:vAlign w:val="bottom"/>
            <w:tcBorders>
              <w:bottom w:val="single" w:sz="8" w:color="231F20"/>
            </w:tcBorders>
          </w:tcPr>
          <w:p>
            <w:pPr>
              <w:jc w:val="center"/>
              <w:spacing w:after="0"/>
              <w:rPr>
                <w:sz w:val="20"/>
                <w:szCs w:val="20"/>
                <w:color w:val="auto"/>
              </w:rPr>
            </w:pPr>
            <w:r>
              <w:rPr>
                <w:rFonts w:ascii="Times New Roman" w:cs="Times New Roman" w:eastAsia="Times New Roman" w:hAnsi="Times New Roman"/>
                <w:sz w:val="20"/>
                <w:szCs w:val="20"/>
                <w:b w:val="1"/>
                <w:bCs w:val="1"/>
                <w:color w:val="231F20"/>
                <w:w w:val="96"/>
              </w:rPr>
              <w:t>Equity</w:t>
            </w:r>
          </w:p>
        </w:tc>
        <w:tc>
          <w:tcPr>
            <w:tcW w:w="0" w:type="dxa"/>
            <w:vAlign w:val="bottom"/>
          </w:tcPr>
          <w:p>
            <w:pPr>
              <w:spacing w:after="0"/>
              <w:rPr>
                <w:sz w:val="1"/>
                <w:szCs w:val="1"/>
                <w:color w:val="auto"/>
              </w:rPr>
            </w:pPr>
          </w:p>
        </w:tc>
      </w:tr>
      <w:tr>
        <w:trPr>
          <w:trHeight w:val="239"/>
        </w:trPr>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4,812</w:t>
            </w:r>
          </w:p>
        </w:tc>
        <w:tc>
          <w:tcPr>
            <w:tcW w:w="12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w:t>
            </w:r>
          </w:p>
        </w:tc>
        <w:tc>
          <w:tcPr>
            <w:tcW w:w="2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$424,141</w:t>
            </w:r>
          </w:p>
        </w:tc>
        <w:tc>
          <w:tcPr>
            <w:tcW w:w="10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2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$(419,566)</w:t>
            </w:r>
          </w:p>
        </w:tc>
        <w:tc>
          <w:tcPr>
            <w:tcW w:w="12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$4,580</w:t>
            </w:r>
          </w:p>
        </w:tc>
        <w:tc>
          <w:tcPr>
            <w:tcW w:w="0" w:type="dxa"/>
            <w:vAlign w:val="bottom"/>
          </w:tcPr>
          <w:p>
            <w:pPr>
              <w:spacing w:after="0"/>
              <w:rPr>
                <w:sz w:val="1"/>
                <w:szCs w:val="1"/>
                <w:color w:val="auto"/>
              </w:rPr>
            </w:pPr>
          </w:p>
        </w:tc>
      </w:tr>
      <w:tr>
        <w:trPr>
          <w:trHeight w:val="266"/>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18,790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18,790</w:t>
            </w:r>
          </w:p>
        </w:tc>
        <w:tc>
          <w:tcPr>
            <w:tcW w:w="0" w:type="dxa"/>
            <w:vAlign w:val="bottom"/>
          </w:tcPr>
          <w:p>
            <w:pPr>
              <w:spacing w:after="0"/>
              <w:rPr>
                <w:sz w:val="1"/>
                <w:szCs w:val="1"/>
                <w:color w:val="auto"/>
              </w:rPr>
            </w:pPr>
          </w:p>
        </w:tc>
      </w:tr>
      <w:tr>
        <w:trPr>
          <w:trHeight w:val="354"/>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625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625</w:t>
            </w:r>
          </w:p>
        </w:tc>
        <w:tc>
          <w:tcPr>
            <w:tcW w:w="0" w:type="dxa"/>
            <w:vAlign w:val="bottom"/>
          </w:tcPr>
          <w:p>
            <w:pPr>
              <w:spacing w:after="0"/>
              <w:rPr>
                <w:sz w:val="1"/>
                <w:szCs w:val="1"/>
                <w:color w:val="auto"/>
              </w:rPr>
            </w:pPr>
          </w:p>
        </w:tc>
      </w:tr>
      <w:tr>
        <w:trPr>
          <w:trHeight w:val="337"/>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24</w:t>
            </w:r>
          </w:p>
        </w:tc>
        <w:tc>
          <w:tcPr>
            <w:tcW w:w="0" w:type="dxa"/>
            <w:vAlign w:val="bottom"/>
          </w:tcPr>
          <w:p>
            <w:pPr>
              <w:spacing w:after="0"/>
              <w:rPr>
                <w:sz w:val="1"/>
                <w:szCs w:val="1"/>
                <w:color w:val="auto"/>
              </w:rPr>
            </w:pPr>
          </w:p>
        </w:tc>
      </w:tr>
      <w:tr>
        <w:trPr>
          <w:trHeight w:val="266"/>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30</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0" w:type="dxa"/>
            <w:vAlign w:val="bottom"/>
          </w:tcPr>
          <w:p>
            <w:pPr>
              <w:spacing w:after="0"/>
              <w:rPr>
                <w:sz w:val="1"/>
                <w:szCs w:val="1"/>
                <w:color w:val="auto"/>
              </w:rPr>
            </w:pPr>
          </w:p>
        </w:tc>
      </w:tr>
      <w:tr>
        <w:trPr>
          <w:trHeight w:val="359"/>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1,522</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w:t>
            </w:r>
          </w:p>
        </w:tc>
        <w:tc>
          <w:tcPr>
            <w:tcW w:w="20" w:type="dxa"/>
            <w:vAlign w:val="bottom"/>
          </w:tcPr>
          <w:p>
            <w:pPr>
              <w:spacing w:after="0"/>
              <w:rPr>
                <w:sz w:val="24"/>
                <w:szCs w:val="24"/>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33,148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33,150</w:t>
            </w:r>
          </w:p>
        </w:tc>
        <w:tc>
          <w:tcPr>
            <w:tcW w:w="0" w:type="dxa"/>
            <w:vAlign w:val="bottom"/>
          </w:tcPr>
          <w:p>
            <w:pPr>
              <w:spacing w:after="0"/>
              <w:rPr>
                <w:sz w:val="1"/>
                <w:szCs w:val="1"/>
                <w:color w:val="auto"/>
              </w:rPr>
            </w:pPr>
          </w:p>
        </w:tc>
      </w:tr>
      <w:tr>
        <w:trPr>
          <w:trHeight w:val="367"/>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6,638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6,638</w:t>
            </w:r>
          </w:p>
        </w:tc>
        <w:tc>
          <w:tcPr>
            <w:tcW w:w="0" w:type="dxa"/>
            <w:vAlign w:val="bottom"/>
          </w:tcPr>
          <w:p>
            <w:pPr>
              <w:spacing w:after="0"/>
              <w:rPr>
                <w:sz w:val="1"/>
                <w:szCs w:val="1"/>
                <w:color w:val="auto"/>
              </w:rPr>
            </w:pPr>
          </w:p>
        </w:tc>
      </w:tr>
      <w:tr>
        <w:trPr>
          <w:trHeight w:val="250"/>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(42,931)</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(42,931)</w:t>
            </w:r>
          </w:p>
        </w:tc>
        <w:tc>
          <w:tcPr>
            <w:tcW w:w="0" w:type="dxa"/>
            <w:vAlign w:val="bottom"/>
          </w:tcPr>
          <w:p>
            <w:pPr>
              <w:spacing w:after="0"/>
              <w:rPr>
                <w:sz w:val="1"/>
                <w:szCs w:val="1"/>
                <w:color w:val="auto"/>
              </w:rPr>
            </w:pPr>
          </w:p>
        </w:tc>
      </w:tr>
      <w:tr>
        <w:trPr>
          <w:trHeight w:val="239"/>
        </w:trPr>
        <w:tc>
          <w:tcPr>
            <w:tcW w:w="11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7,275</w:t>
            </w:r>
          </w:p>
        </w:tc>
        <w:tc>
          <w:tcPr>
            <w:tcW w:w="12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231F20"/>
            </w:tcBorders>
            <w:shd w:val="clear" w:color="auto" w:fill="E3E4E5"/>
          </w:tcPr>
          <w:p>
            <w:pPr>
              <w:spacing w:after="0"/>
              <w:rPr>
                <w:sz w:val="20"/>
                <w:szCs w:val="20"/>
                <w:color w:val="auto"/>
              </w:rPr>
            </w:pPr>
          </w:p>
        </w:tc>
        <w:tc>
          <w:tcPr>
            <w:tcW w:w="94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w:t>
            </w:r>
          </w:p>
        </w:tc>
        <w:tc>
          <w:tcPr>
            <w:tcW w:w="20" w:type="dxa"/>
            <w:vAlign w:val="bottom"/>
            <w:shd w:val="clear" w:color="auto" w:fill="E3E4E5"/>
          </w:tcPr>
          <w:p>
            <w:pPr>
              <w:spacing w:after="0"/>
              <w:rPr>
                <w:sz w:val="20"/>
                <w:szCs w:val="20"/>
                <w:color w:val="auto"/>
              </w:rPr>
            </w:pPr>
          </w:p>
        </w:tc>
        <w:tc>
          <w:tcPr>
            <w:tcW w:w="10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231F20"/>
            </w:tcBorders>
            <w:shd w:val="clear" w:color="auto" w:fill="E3E4E5"/>
          </w:tcPr>
          <w:p>
            <w:pPr>
              <w:spacing w:after="0"/>
              <w:rPr>
                <w:sz w:val="20"/>
                <w:szCs w:val="20"/>
                <w:color w:val="auto"/>
              </w:rPr>
            </w:pPr>
          </w:p>
        </w:tc>
        <w:tc>
          <w:tcPr>
            <w:tcW w:w="11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483,366</w:t>
            </w:r>
          </w:p>
        </w:tc>
        <w:tc>
          <w:tcPr>
            <w:tcW w:w="10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231F20"/>
            </w:tcBorders>
            <w:shd w:val="clear" w:color="auto" w:fill="E3E4E5"/>
          </w:tcPr>
          <w:p>
            <w:pPr>
              <w:spacing w:after="0"/>
              <w:rPr>
                <w:sz w:val="20"/>
                <w:szCs w:val="20"/>
                <w:color w:val="auto"/>
              </w:rPr>
            </w:pPr>
          </w:p>
        </w:tc>
        <w:tc>
          <w:tcPr>
            <w:tcW w:w="12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(462,497)</w:t>
            </w:r>
          </w:p>
        </w:tc>
        <w:tc>
          <w:tcPr>
            <w:tcW w:w="12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tcBorders>
            <w:shd w:val="clear" w:color="auto" w:fill="E3E4E5"/>
          </w:tcPr>
          <w:p>
            <w:pPr>
              <w:spacing w:after="0"/>
              <w:rPr>
                <w:sz w:val="20"/>
                <w:szCs w:val="20"/>
                <w:color w:val="auto"/>
              </w:rPr>
            </w:pPr>
          </w:p>
        </w:tc>
        <w:tc>
          <w:tcPr>
            <w:tcW w:w="11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20,876</w:t>
            </w:r>
          </w:p>
        </w:tc>
        <w:tc>
          <w:tcPr>
            <w:tcW w:w="0" w:type="dxa"/>
            <w:vAlign w:val="bottom"/>
          </w:tcPr>
          <w:p>
            <w:pPr>
              <w:spacing w:after="0"/>
              <w:rPr>
                <w:sz w:val="1"/>
                <w:szCs w:val="1"/>
                <w:color w:val="auto"/>
              </w:rPr>
            </w:pPr>
          </w:p>
        </w:tc>
      </w:tr>
      <w:tr>
        <w:trPr>
          <w:trHeight w:val="266"/>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893</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6,780</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6,781</w:t>
            </w:r>
          </w:p>
        </w:tc>
        <w:tc>
          <w:tcPr>
            <w:tcW w:w="0" w:type="dxa"/>
            <w:vAlign w:val="bottom"/>
          </w:tcPr>
          <w:p>
            <w:pPr>
              <w:spacing w:after="0"/>
              <w:rPr>
                <w:sz w:val="1"/>
                <w:szCs w:val="1"/>
                <w:color w:val="auto"/>
              </w:rPr>
            </w:pPr>
          </w:p>
        </w:tc>
      </w:tr>
      <w:tr>
        <w:trPr>
          <w:trHeight w:val="353"/>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48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497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497</w:t>
            </w:r>
          </w:p>
        </w:tc>
        <w:tc>
          <w:tcPr>
            <w:tcW w:w="0" w:type="dxa"/>
            <w:vAlign w:val="bottom"/>
          </w:tcPr>
          <w:p>
            <w:pPr>
              <w:spacing w:after="0"/>
              <w:rPr>
                <w:sz w:val="1"/>
                <w:szCs w:val="1"/>
                <w:color w:val="auto"/>
              </w:rPr>
            </w:pPr>
          </w:p>
        </w:tc>
      </w:tr>
      <w:tr>
        <w:trPr>
          <w:trHeight w:val="337"/>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0" w:type="dxa"/>
            <w:vAlign w:val="bottom"/>
          </w:tcPr>
          <w:p>
            <w:pPr>
              <w:spacing w:after="0"/>
              <w:rPr>
                <w:sz w:val="1"/>
                <w:szCs w:val="1"/>
                <w:color w:val="auto"/>
              </w:rPr>
            </w:pPr>
          </w:p>
        </w:tc>
      </w:tr>
      <w:tr>
        <w:trPr>
          <w:trHeight w:val="266"/>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227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227</w:t>
            </w:r>
          </w:p>
        </w:tc>
        <w:tc>
          <w:tcPr>
            <w:tcW w:w="0" w:type="dxa"/>
            <w:vAlign w:val="bottom"/>
          </w:tcPr>
          <w:p>
            <w:pPr>
              <w:spacing w:after="0"/>
              <w:rPr>
                <w:sz w:val="1"/>
                <w:szCs w:val="1"/>
                <w:color w:val="auto"/>
              </w:rPr>
            </w:pPr>
          </w:p>
        </w:tc>
      </w:tr>
      <w:tr>
        <w:trPr>
          <w:trHeight w:val="359"/>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0" w:type="dxa"/>
            <w:vAlign w:val="bottom"/>
          </w:tcPr>
          <w:p>
            <w:pPr>
              <w:spacing w:after="0"/>
              <w:rPr>
                <w:sz w:val="1"/>
                <w:szCs w:val="1"/>
                <w:color w:val="auto"/>
              </w:rPr>
            </w:pPr>
          </w:p>
        </w:tc>
      </w:tr>
      <w:tr>
        <w:trPr>
          <w:trHeight w:val="367"/>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4,139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414142"/>
              </w:rPr>
              <w:t>4,139</w:t>
            </w:r>
          </w:p>
        </w:tc>
        <w:tc>
          <w:tcPr>
            <w:tcW w:w="0" w:type="dxa"/>
            <w:vAlign w:val="bottom"/>
          </w:tcPr>
          <w:p>
            <w:pPr>
              <w:spacing w:after="0"/>
              <w:rPr>
                <w:sz w:val="1"/>
                <w:szCs w:val="1"/>
                <w:color w:val="auto"/>
              </w:rPr>
            </w:pPr>
          </w:p>
        </w:tc>
      </w:tr>
      <w:tr>
        <w:trPr>
          <w:trHeight w:val="250"/>
        </w:trPr>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(35,265)</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(35,265)</w:t>
            </w:r>
          </w:p>
        </w:tc>
        <w:tc>
          <w:tcPr>
            <w:tcW w:w="0" w:type="dxa"/>
            <w:vAlign w:val="bottom"/>
          </w:tcPr>
          <w:p>
            <w:pPr>
              <w:spacing w:after="0"/>
              <w:rPr>
                <w:sz w:val="1"/>
                <w:szCs w:val="1"/>
                <w:color w:val="auto"/>
              </w:rPr>
            </w:pPr>
          </w:p>
        </w:tc>
      </w:tr>
      <w:tr>
        <w:trPr>
          <w:trHeight w:val="239"/>
        </w:trPr>
        <w:tc>
          <w:tcPr>
            <w:tcW w:w="118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8,253</w:t>
            </w:r>
          </w:p>
        </w:tc>
        <w:tc>
          <w:tcPr>
            <w:tcW w:w="12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bottom w:val="single" w:sz="8" w:color="231F20"/>
            </w:tcBorders>
            <w:shd w:val="clear" w:color="auto" w:fill="E3E4E5"/>
          </w:tcPr>
          <w:p>
            <w:pPr>
              <w:spacing w:after="0"/>
              <w:rPr>
                <w:sz w:val="20"/>
                <w:szCs w:val="20"/>
                <w:color w:val="auto"/>
              </w:rPr>
            </w:pPr>
          </w:p>
        </w:tc>
        <w:tc>
          <w:tcPr>
            <w:tcW w:w="94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$8</w:t>
            </w:r>
          </w:p>
        </w:tc>
        <w:tc>
          <w:tcPr>
            <w:tcW w:w="20" w:type="dxa"/>
            <w:vAlign w:val="bottom"/>
            <w:tcBorders>
              <w:top w:val="single" w:sz="8" w:color="231F20"/>
            </w:tcBorders>
            <w:shd w:val="clear" w:color="auto" w:fill="E3E4E5"/>
          </w:tcPr>
          <w:p>
            <w:pPr>
              <w:spacing w:after="0"/>
              <w:rPr>
                <w:sz w:val="20"/>
                <w:szCs w:val="20"/>
                <w:color w:val="auto"/>
              </w:rPr>
            </w:pPr>
          </w:p>
        </w:tc>
        <w:tc>
          <w:tcPr>
            <w:tcW w:w="10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bottom w:val="single" w:sz="8" w:color="231F20"/>
            </w:tcBorders>
            <w:shd w:val="clear" w:color="auto" w:fill="E3E4E5"/>
          </w:tcPr>
          <w:p>
            <w:pPr>
              <w:spacing w:after="0"/>
              <w:rPr>
                <w:sz w:val="20"/>
                <w:szCs w:val="20"/>
                <w:color w:val="auto"/>
              </w:rPr>
            </w:pPr>
          </w:p>
        </w:tc>
        <w:tc>
          <w:tcPr>
            <w:tcW w:w="116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$495,289</w:t>
            </w:r>
          </w:p>
        </w:tc>
        <w:tc>
          <w:tcPr>
            <w:tcW w:w="10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bottom w:val="single" w:sz="8" w:color="231F20"/>
            </w:tcBorders>
            <w:shd w:val="clear" w:color="auto" w:fill="E3E4E5"/>
          </w:tcPr>
          <w:p>
            <w:pPr>
              <w:spacing w:after="0"/>
              <w:rPr>
                <w:sz w:val="20"/>
                <w:szCs w:val="20"/>
                <w:color w:val="auto"/>
              </w:rPr>
            </w:pPr>
          </w:p>
        </w:tc>
        <w:tc>
          <w:tcPr>
            <w:tcW w:w="128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$(497,762)</w:t>
            </w:r>
          </w:p>
        </w:tc>
        <w:tc>
          <w:tcPr>
            <w:tcW w:w="120" w:type="dxa"/>
            <w:vAlign w:val="bottom"/>
            <w:tcBorders>
              <w:top w:val="single" w:sz="8" w:color="E3E4E5"/>
            </w:tcBorders>
            <w:shd w:val="clear" w:color="auto" w:fill="E3E4E5"/>
          </w:tcPr>
          <w:p>
            <w:pPr>
              <w:spacing w:after="0"/>
              <w:rPr>
                <w:sz w:val="20"/>
                <w:szCs w:val="20"/>
                <w:color w:val="auto"/>
              </w:rPr>
            </w:pPr>
          </w:p>
        </w:tc>
        <w:tc>
          <w:tcPr>
            <w:tcW w:w="20" w:type="dxa"/>
            <w:vAlign w:val="bottom"/>
            <w:tcBorders>
              <w:top w:val="single" w:sz="8" w:color="E3E4E5"/>
              <w:bottom w:val="single" w:sz="8" w:color="231F20"/>
            </w:tcBorders>
            <w:shd w:val="clear" w:color="auto" w:fill="E3E4E5"/>
          </w:tcPr>
          <w:p>
            <w:pPr>
              <w:spacing w:after="0"/>
              <w:rPr>
                <w:sz w:val="20"/>
                <w:szCs w:val="20"/>
                <w:color w:val="auto"/>
              </w:rPr>
            </w:pPr>
          </w:p>
        </w:tc>
        <w:tc>
          <w:tcPr>
            <w:tcW w:w="116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$(2,465)</w:t>
            </w:r>
          </w:p>
        </w:tc>
        <w:tc>
          <w:tcPr>
            <w:tcW w:w="0" w:type="dxa"/>
            <w:vAlign w:val="bottom"/>
          </w:tcPr>
          <w:p>
            <w:pPr>
              <w:spacing w:after="0"/>
              <w:rPr>
                <w:sz w:val="1"/>
                <w:szCs w:val="1"/>
                <w:color w:val="auto"/>
              </w:rPr>
            </w:pPr>
          </w:p>
        </w:tc>
      </w:tr>
      <w:tr>
        <w:trPr>
          <w:trHeight w:val="20"/>
        </w:trPr>
        <w:tc>
          <w:tcPr>
            <w:tcW w:w="11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1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-2882265</wp:posOffset>
                </wp:positionH>
                <wp:positionV relativeFrom="paragraph">
                  <wp:posOffset>-2993390</wp:posOffset>
                </wp:positionV>
                <wp:extent cx="6857365" cy="300990"/>
                <wp:wrapNone/>
                <wp:docPr id="48" name="Shape 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300990"/>
                        </a:xfrm>
                        <a:prstGeom prst="rect">
                          <a:avLst/>
                        </a:prstGeom>
                        <a:solidFill>
                          <a:srgbClr val="E3E4E5"/>
                        </a:solidFill>
                      </wps:spPr>
                      <wps:bodyPr/>
                    </wps:wsp>
                  </a:graphicData>
                </a:graphic>
              </wp:anchor>
            </w:drawing>
          </mc:Choice>
          <mc:Fallback>
            <w:pict>
              <v:rect id="Shape 48" o:spid="_x0000_s1073" style="position:absolute;margin-left:-226.9499pt;margin-top:-235.6999pt;width:539.9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-2882265</wp:posOffset>
                </wp:positionH>
                <wp:positionV relativeFrom="paragraph">
                  <wp:posOffset>-2537460</wp:posOffset>
                </wp:positionV>
                <wp:extent cx="6857365" cy="154940"/>
                <wp:wrapNone/>
                <wp:docPr id="49" name="Shape 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E3E4E5"/>
                        </a:solidFill>
                      </wps:spPr>
                      <wps:bodyPr/>
                    </wps:wsp>
                  </a:graphicData>
                </a:graphic>
              </wp:anchor>
            </w:drawing>
          </mc:Choice>
          <mc:Fallback>
            <w:pict>
              <v:rect id="Shape 49" o:spid="_x0000_s1074" style="position:absolute;margin-left:-226.9499pt;margin-top:-199.79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-2882265</wp:posOffset>
                </wp:positionH>
                <wp:positionV relativeFrom="paragraph">
                  <wp:posOffset>-2081530</wp:posOffset>
                </wp:positionV>
                <wp:extent cx="6857365" cy="173990"/>
                <wp:wrapNone/>
                <wp:docPr id="50" name="Shape 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73990"/>
                        </a:xfrm>
                        <a:prstGeom prst="rect">
                          <a:avLst/>
                        </a:prstGeom>
                        <a:solidFill>
                          <a:srgbClr val="E3E4E5"/>
                        </a:solidFill>
                      </wps:spPr>
                      <wps:bodyPr/>
                    </wps:wsp>
                  </a:graphicData>
                </a:graphic>
              </wp:anchor>
            </w:drawing>
          </mc:Choice>
          <mc:Fallback>
            <w:pict>
              <v:rect id="Shape 50" o:spid="_x0000_s1075" style="position:absolute;margin-left:-226.9499pt;margin-top:-163.8999pt;width:539.95pt;height:1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-2882265</wp:posOffset>
                </wp:positionH>
                <wp:positionV relativeFrom="paragraph">
                  <wp:posOffset>-1433195</wp:posOffset>
                </wp:positionV>
                <wp:extent cx="6857365" cy="300990"/>
                <wp:wrapNone/>
                <wp:docPr id="51" name="Shape 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300990"/>
                        </a:xfrm>
                        <a:prstGeom prst="rect">
                          <a:avLst/>
                        </a:prstGeom>
                        <a:solidFill>
                          <a:srgbClr val="E3E4E5"/>
                        </a:solidFill>
                      </wps:spPr>
                      <wps:bodyPr/>
                    </wps:wsp>
                  </a:graphicData>
                </a:graphic>
              </wp:anchor>
            </w:drawing>
          </mc:Choice>
          <mc:Fallback>
            <w:pict>
              <v:rect id="Shape 51" o:spid="_x0000_s1076" style="position:absolute;margin-left:-226.9499pt;margin-top:-112.8499pt;width:539.95pt;height:2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-2882265</wp:posOffset>
                </wp:positionH>
                <wp:positionV relativeFrom="paragraph">
                  <wp:posOffset>-977265</wp:posOffset>
                </wp:positionV>
                <wp:extent cx="6857365" cy="154940"/>
                <wp:wrapNone/>
                <wp:docPr id="52" name="Shape 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54940"/>
                        </a:xfrm>
                        <a:prstGeom prst="rect">
                          <a:avLst/>
                        </a:prstGeom>
                        <a:solidFill>
                          <a:srgbClr val="E3E4E5"/>
                        </a:solidFill>
                      </wps:spPr>
                      <wps:bodyPr/>
                    </wps:wsp>
                  </a:graphicData>
                </a:graphic>
              </wp:anchor>
            </w:drawing>
          </mc:Choice>
          <mc:Fallback>
            <w:pict>
              <v:rect id="Shape 52" o:spid="_x0000_s1077" style="position:absolute;margin-left:-226.9499pt;margin-top:-76.9499pt;width:539.9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-2882265</wp:posOffset>
                </wp:positionH>
                <wp:positionV relativeFrom="paragraph">
                  <wp:posOffset>-521335</wp:posOffset>
                </wp:positionV>
                <wp:extent cx="6857365" cy="173990"/>
                <wp:wrapNone/>
                <wp:docPr id="53" name="Shape 5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7365" cy="173990"/>
                        </a:xfrm>
                        <a:prstGeom prst="rect">
                          <a:avLst/>
                        </a:prstGeom>
                        <a:solidFill>
                          <a:srgbClr val="E3E4E5"/>
                        </a:solidFill>
                      </wps:spPr>
                      <wps:bodyPr/>
                    </wps:wsp>
                  </a:graphicData>
                </a:graphic>
              </wp:anchor>
            </w:drawing>
          </mc:Choice>
          <mc:Fallback>
            <w:pict>
              <v:rect id="Shape 53" o:spid="_x0000_s1078" style="position:absolute;margin-left:-226.9499pt;margin-top:-41.0499pt;width:539.95pt;height:13.7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3220720</wp:posOffset>
                </wp:positionH>
                <wp:positionV relativeFrom="paragraph">
                  <wp:posOffset>-3313430</wp:posOffset>
                </wp:positionV>
                <wp:extent cx="0" cy="9525"/>
                <wp:wrapNone/>
                <wp:docPr id="54" name="Shape 5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54" o:spid="_x0000_s107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3.6pt,-260.8999pt" to="253.6pt,-260.1499pt" o:allowincell="f" strokecolor="#414142" strokeweight="0pt"/>
            </w:pict>
          </mc:Fallback>
        </mc:AlternateContent>
        <w:drawing>
          <wp:anchor simplePos="0" relativeHeight="251657728" behindDoc="1" locked="0" layoutInCell="0" allowOverlap="1">
            <wp:simplePos x="0" y="0"/>
            <wp:positionH relativeFrom="column">
              <wp:posOffset>3201670</wp:posOffset>
            </wp:positionH>
            <wp:positionV relativeFrom="paragraph">
              <wp:posOffset>-3322320</wp:posOffset>
            </wp:positionV>
            <wp:extent cx="792480"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1">
                      <a:extLst>
                        <a:ext uri="{28A0092B-C50C-407E-A947-70E740481C1C}"/>
                      </a:extLst>
                    </a:blip>
                    <a:srcRect/>
                    <a:stretch>
                      <a:fillRect/>
                    </a:stretch>
                  </pic:blipFill>
                  <pic:spPr bwMode="auto">
                    <a:xfrm>
                      <a:off x="0" y="0"/>
                      <a:ext cx="792480" cy="38100"/>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-201930</wp:posOffset>
            </wp:positionV>
            <wp:extent cx="792480"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2">
                      <a:extLst>
                        <a:ext uri="{28A0092B-C50C-407E-A947-70E740481C1C}"/>
                      </a:extLst>
                    </a:blip>
                    <a:srcRect/>
                    <a:stretch>
                      <a:fillRect/>
                    </a:stretch>
                  </pic:blipFill>
                  <pic:spPr bwMode="auto">
                    <a:xfrm>
                      <a:off x="0" y="0"/>
                      <a:ext cx="792480" cy="3810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180" w:space="360"/>
            <w:col w:w="6260"/>
          </w:cols>
          <w:pgMar w:left="540" w:top="746" w:right="540" w:bottom="0" w:gutter="0" w:footer="0" w:header="0"/>
          <w:type w:val="continuous"/>
        </w:sectPr>
      </w:pPr>
    </w:p>
    <w:p>
      <w:pPr>
        <w:spacing w:after="0" w:line="15" w:lineRule="exact"/>
        <w:rPr>
          <w:sz w:val="20"/>
          <w:szCs w:val="20"/>
          <w:color w:val="auto"/>
        </w:rPr>
      </w:pPr>
    </w:p>
    <w:p>
      <w:pPr>
        <w:ind w:right="60"/>
        <w:spacing w:after="0" w:line="277" w:lineRule="auto"/>
        <w:tabs>
          <w:tab w:leader="none" w:pos="218" w:val="left"/>
        </w:tabs>
        <w:numPr>
          <w:ilvl w:val="0"/>
          <w:numId w:val="55"/>
        </w:numPr>
        <w:rPr>
          <w:rFonts w:ascii="Times New Roman" w:cs="Times New Roman" w:eastAsia="Times New Roman" w:hAnsi="Times New Roman"/>
          <w:sz w:val="16"/>
          <w:szCs w:val="16"/>
          <w:color w:val="231F20"/>
        </w:rPr>
      </w:pPr>
      <w:r>
        <w:rPr>
          <w:rFonts w:ascii="Times New Roman" w:cs="Times New Roman" w:eastAsia="Times New Roman" w:hAnsi="Times New Roman"/>
          <w:sz w:val="16"/>
          <w:szCs w:val="16"/>
          <w:color w:val="231F20"/>
        </w:rPr>
        <w:t xml:space="preserve">All share and per share information have been adjusted to reflect the 1-for-20 reverse stock split effective September 15, 2025. See Note 2 – </w:t>
      </w:r>
      <w:r>
        <w:rPr>
          <w:rFonts w:ascii="Times New Roman" w:cs="Times New Roman" w:eastAsia="Times New Roman" w:hAnsi="Times New Roman"/>
          <w:sz w:val="16"/>
          <w:szCs w:val="16"/>
          <w:i w:val="1"/>
          <w:iCs w:val="1"/>
          <w:color w:val="231F20"/>
        </w:rPr>
        <w:t>Summary of Significant</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i w:val="1"/>
          <w:iCs w:val="1"/>
          <w:color w:val="231F20"/>
        </w:rPr>
        <w:t xml:space="preserve">Accounting Policies </w:t>
      </w:r>
      <w:r>
        <w:rPr>
          <w:rFonts w:ascii="Times New Roman" w:cs="Times New Roman" w:eastAsia="Times New Roman" w:hAnsi="Times New Roman"/>
          <w:sz w:val="16"/>
          <w:szCs w:val="16"/>
          <w:color w:val="231F20"/>
        </w:rPr>
        <w:t>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The accompanying Notes are an integral part of these financial statements.</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231F20"/>
        </w:rPr>
        <w:t>F-5</w:t>
      </w:r>
    </w:p>
    <w:p>
      <w:pPr>
        <w:sectPr>
          <w:pgSz w:w="11880" w:h="15480" w:orient="portrait"/>
          <w:cols w:equalWidth="0" w:num="1">
            <w:col w:w="10800"/>
          </w:cols>
          <w:pgMar w:left="540" w:top="746" w:right="54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274"/>
        </w:trPr>
        <w:tc>
          <w:tcPr>
            <w:tcW w:w="7480" w:type="dxa"/>
            <w:vAlign w:val="bottom"/>
          </w:tcPr>
          <w:p>
            <w:pPr>
              <w:jc w:val="center"/>
              <w:ind w:left="3220"/>
              <w:spacing w:after="0"/>
              <w:rPr>
                <w:sz w:val="20"/>
                <w:szCs w:val="20"/>
                <w:color w:val="auto"/>
              </w:rPr>
            </w:pPr>
            <w:r>
              <w:rPr>
                <w:rFonts w:ascii="Times New Roman" w:cs="Times New Roman" w:eastAsia="Times New Roman" w:hAnsi="Times New Roman"/>
                <w:sz w:val="20"/>
                <w:szCs w:val="20"/>
                <w:b w:val="1"/>
                <w:bCs w:val="1"/>
                <w:color w:val="231F20"/>
                <w:w w:val="98"/>
              </w:rPr>
              <w:t>BIODESIX, INC.</w:t>
            </w: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386"/>
        </w:trPr>
        <w:tc>
          <w:tcPr>
            <w:tcW w:w="7480" w:type="dxa"/>
            <w:vAlign w:val="bottom"/>
          </w:tcPr>
          <w:p>
            <w:pPr>
              <w:jc w:val="center"/>
              <w:ind w:left="3220"/>
              <w:spacing w:after="0"/>
              <w:rPr>
                <w:sz w:val="20"/>
                <w:szCs w:val="20"/>
                <w:color w:val="auto"/>
              </w:rPr>
            </w:pPr>
            <w:r>
              <w:rPr>
                <w:rFonts w:ascii="Times New Roman" w:cs="Times New Roman" w:eastAsia="Times New Roman" w:hAnsi="Times New Roman"/>
                <w:sz w:val="20"/>
                <w:szCs w:val="20"/>
                <w:b w:val="1"/>
                <w:bCs w:val="1"/>
                <w:color w:val="231F20"/>
              </w:rPr>
              <w:t>Statements of Cash Flows</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4"/>
        </w:trPr>
        <w:tc>
          <w:tcPr>
            <w:tcW w:w="7480" w:type="dxa"/>
            <w:vAlign w:val="bottom"/>
          </w:tcPr>
          <w:p>
            <w:pPr>
              <w:jc w:val="center"/>
              <w:ind w:left="3220"/>
              <w:spacing w:after="0"/>
              <w:rPr>
                <w:sz w:val="20"/>
                <w:szCs w:val="20"/>
                <w:color w:val="auto"/>
              </w:rPr>
            </w:pPr>
            <w:r>
              <w:rPr>
                <w:rFonts w:ascii="Times New Roman" w:cs="Times New Roman" w:eastAsia="Times New Roman" w:hAnsi="Times New Roman"/>
                <w:sz w:val="20"/>
                <w:szCs w:val="20"/>
                <w:b w:val="1"/>
                <w:bCs w:val="1"/>
                <w:color w:val="231F20"/>
                <w:w w:val="98"/>
              </w:rPr>
              <w:t>(in thousands)</w:t>
            </w: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471"/>
        </w:trPr>
        <w:tc>
          <w:tcPr>
            <w:tcW w:w="7480" w:type="dxa"/>
            <w:vAlign w:val="bottom"/>
          </w:tcPr>
          <w:p>
            <w:pPr>
              <w:spacing w:after="0"/>
              <w:rPr>
                <w:sz w:val="24"/>
                <w:szCs w:val="24"/>
                <w:color w:val="auto"/>
              </w:rPr>
            </w:pPr>
          </w:p>
        </w:tc>
        <w:tc>
          <w:tcPr>
            <w:tcW w:w="300" w:type="dxa"/>
            <w:vAlign w:val="bottom"/>
            <w:tcBorders>
              <w:bottom w:val="single" w:sz="8" w:color="231F20"/>
            </w:tcBorders>
          </w:tcPr>
          <w:p>
            <w:pPr>
              <w:spacing w:after="0"/>
              <w:rPr>
                <w:sz w:val="24"/>
                <w:szCs w:val="24"/>
                <w:color w:val="auto"/>
              </w:rPr>
            </w:pPr>
          </w:p>
        </w:tc>
        <w:tc>
          <w:tcPr>
            <w:tcW w:w="3020" w:type="dxa"/>
            <w:vAlign w:val="bottom"/>
            <w:tcBorders>
              <w:bottom w:val="single" w:sz="8" w:color="231F20"/>
            </w:tcBorders>
            <w:gridSpan w:val="5"/>
          </w:tcPr>
          <w:p>
            <w:pPr>
              <w:jc w:val="right"/>
              <w:ind w:right="58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r>
      <w:tr>
        <w:trPr>
          <w:trHeight w:val="239"/>
        </w:trPr>
        <w:tc>
          <w:tcPr>
            <w:tcW w:w="748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300" w:type="dxa"/>
            <w:vAlign w:val="bottom"/>
            <w:tcBorders>
              <w:bottom w:val="single" w:sz="8" w:color="231F20"/>
            </w:tcBorders>
          </w:tcPr>
          <w:p>
            <w:pPr>
              <w:jc w:val="right"/>
              <w:ind w:right="5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60" w:type="dxa"/>
            <w:vAlign w:val="bottom"/>
            <w:tcBorders>
              <w:bottom w:val="single" w:sz="8" w:color="E3E4E5"/>
            </w:tcBorders>
          </w:tcPr>
          <w:p>
            <w:pPr>
              <w:spacing w:after="0"/>
              <w:rPr>
                <w:sz w:val="20"/>
                <w:szCs w:val="20"/>
                <w:color w:val="auto"/>
              </w:rPr>
            </w:pPr>
          </w:p>
        </w:tc>
        <w:tc>
          <w:tcPr>
            <w:tcW w:w="300" w:type="dxa"/>
            <w:vAlign w:val="bottom"/>
            <w:tcBorders>
              <w:bottom w:val="single" w:sz="8" w:color="231F20"/>
            </w:tcBorders>
          </w:tcPr>
          <w:p>
            <w:pPr>
              <w:spacing w:after="0"/>
              <w:rPr>
                <w:sz w:val="20"/>
                <w:szCs w:val="20"/>
                <w:color w:val="auto"/>
              </w:rPr>
            </w:pPr>
          </w:p>
        </w:tc>
        <w:tc>
          <w:tcPr>
            <w:tcW w:w="118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231F20"/>
            </w:tcBorders>
          </w:tcPr>
          <w:p>
            <w:pPr>
              <w:spacing w:after="0"/>
              <w:rPr>
                <w:sz w:val="20"/>
                <w:szCs w:val="20"/>
                <w:color w:val="auto"/>
              </w:rPr>
            </w:pPr>
          </w:p>
        </w:tc>
      </w:tr>
      <w:tr>
        <w:trPr>
          <w:trHeight w:val="239"/>
        </w:trPr>
        <w:tc>
          <w:tcPr>
            <w:tcW w:w="7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Cash flows from operating activities</w:t>
            </w:r>
          </w:p>
        </w:tc>
        <w:tc>
          <w:tcPr>
            <w:tcW w:w="300" w:type="dxa"/>
            <w:vAlign w:val="bottom"/>
            <w:shd w:val="clear" w:color="auto" w:fill="E3E4E5"/>
          </w:tcPr>
          <w:p>
            <w:pPr>
              <w:spacing w:after="0"/>
              <w:rPr>
                <w:sz w:val="20"/>
                <w:szCs w:val="20"/>
                <w:color w:val="auto"/>
              </w:rPr>
            </w:pPr>
          </w:p>
        </w:tc>
        <w:tc>
          <w:tcPr>
            <w:tcW w:w="130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118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r>
      <w:tr>
        <w:trPr>
          <w:trHeight w:val="244"/>
        </w:trPr>
        <w:tc>
          <w:tcPr>
            <w:tcW w:w="74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loss</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(35,265)</w:t>
            </w:r>
          </w:p>
        </w:tc>
        <w:tc>
          <w:tcPr>
            <w:tcW w:w="160" w:type="dxa"/>
            <w:vAlign w:val="bottom"/>
          </w:tcPr>
          <w:p>
            <w:pPr>
              <w:spacing w:after="0"/>
              <w:rPr>
                <w:sz w:val="21"/>
                <w:szCs w:val="21"/>
                <w:color w:val="auto"/>
              </w:rPr>
            </w:pP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(42,931)</w:t>
            </w:r>
          </w:p>
        </w:tc>
      </w:tr>
      <w:tr>
        <w:trPr>
          <w:trHeight w:val="225"/>
        </w:trPr>
        <w:tc>
          <w:tcPr>
            <w:tcW w:w="7480" w:type="dxa"/>
            <w:vAlign w:val="bottom"/>
            <w:shd w:val="clear" w:color="auto" w:fill="E3E4E5"/>
          </w:tcPr>
          <w:p>
            <w:pPr>
              <w:ind w:left="200"/>
              <w:spacing w:after="0" w:line="225" w:lineRule="exact"/>
              <w:rPr>
                <w:sz w:val="20"/>
                <w:szCs w:val="20"/>
                <w:color w:val="auto"/>
              </w:rPr>
            </w:pPr>
            <w:r>
              <w:rPr>
                <w:rFonts w:ascii="Times New Roman" w:cs="Times New Roman" w:eastAsia="Times New Roman" w:hAnsi="Times New Roman"/>
                <w:sz w:val="20"/>
                <w:szCs w:val="20"/>
                <w:color w:val="414142"/>
              </w:rPr>
              <w:t>Adjustments to reconcile net loss to net cash, cash equivalents, and restricted</w:t>
            </w:r>
          </w:p>
        </w:tc>
        <w:tc>
          <w:tcPr>
            <w:tcW w:w="300" w:type="dxa"/>
            <w:vAlign w:val="bottom"/>
            <w:shd w:val="clear" w:color="auto" w:fill="E3E4E5"/>
          </w:tcPr>
          <w:p>
            <w:pPr>
              <w:spacing w:after="0"/>
              <w:rPr>
                <w:sz w:val="19"/>
                <w:szCs w:val="19"/>
                <w:color w:val="auto"/>
              </w:rPr>
            </w:pPr>
          </w:p>
        </w:tc>
        <w:tc>
          <w:tcPr>
            <w:tcW w:w="130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300" w:type="dxa"/>
            <w:vAlign w:val="bottom"/>
            <w:shd w:val="clear" w:color="auto" w:fill="E3E4E5"/>
          </w:tcPr>
          <w:p>
            <w:pPr>
              <w:spacing w:after="0"/>
              <w:rPr>
                <w:sz w:val="19"/>
                <w:szCs w:val="19"/>
                <w:color w:val="auto"/>
              </w:rPr>
            </w:pPr>
          </w:p>
        </w:tc>
        <w:tc>
          <w:tcPr>
            <w:tcW w:w="118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r>
      <w:tr>
        <w:trPr>
          <w:trHeight w:val="249"/>
        </w:trPr>
        <w:tc>
          <w:tcPr>
            <w:tcW w:w="7480" w:type="dxa"/>
            <w:vAlign w:val="bottom"/>
            <w:shd w:val="clear" w:color="auto" w:fill="E3E4E5"/>
          </w:tcPr>
          <w:p>
            <w:pPr>
              <w:ind w:left="360"/>
              <w:spacing w:after="0"/>
              <w:rPr>
                <w:sz w:val="20"/>
                <w:szCs w:val="20"/>
                <w:color w:val="auto"/>
              </w:rPr>
            </w:pPr>
            <w:r>
              <w:rPr>
                <w:rFonts w:ascii="Times New Roman" w:cs="Times New Roman" w:eastAsia="Times New Roman" w:hAnsi="Times New Roman"/>
                <w:sz w:val="20"/>
                <w:szCs w:val="20"/>
                <w:color w:val="414142"/>
              </w:rPr>
              <w:t>cash used in operating activities</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Depreciation and amortization</w:t>
            </w:r>
          </w:p>
        </w:tc>
        <w:tc>
          <w:tcPr>
            <w:tcW w:w="3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5,670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5,773</w:t>
            </w:r>
          </w:p>
        </w:tc>
        <w:tc>
          <w:tcPr>
            <w:tcW w:w="80" w:type="dxa"/>
            <w:vAlign w:val="bottom"/>
          </w:tcPr>
          <w:p>
            <w:pPr>
              <w:spacing w:after="0"/>
              <w:rPr>
                <w:sz w:val="21"/>
                <w:szCs w:val="21"/>
                <w:color w:val="auto"/>
              </w:rPr>
            </w:pPr>
          </w:p>
        </w:tc>
      </w:tr>
      <w:tr>
        <w:trPr>
          <w:trHeight w:val="244"/>
        </w:trPr>
        <w:tc>
          <w:tcPr>
            <w:tcW w:w="7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14142"/>
              </w:rPr>
              <w:t>Accretion of lease right-of-use assets</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(69)</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(317)</w:t>
            </w:r>
          </w:p>
        </w:tc>
      </w:tr>
      <w:tr>
        <w:trPr>
          <w:trHeight w:val="244"/>
        </w:trPr>
        <w:tc>
          <w:tcPr>
            <w:tcW w:w="7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Loss on extinguishment of liabilities</w:t>
            </w:r>
          </w:p>
        </w:tc>
        <w:tc>
          <w:tcPr>
            <w:tcW w:w="3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w:t>
            </w:r>
          </w:p>
        </w:tc>
        <w:tc>
          <w:tcPr>
            <w:tcW w:w="80" w:type="dxa"/>
            <w:vAlign w:val="bottom"/>
          </w:tcPr>
          <w:p>
            <w:pPr>
              <w:spacing w:after="0"/>
              <w:rPr>
                <w:sz w:val="21"/>
                <w:szCs w:val="21"/>
                <w:color w:val="auto"/>
              </w:rPr>
            </w:pPr>
          </w:p>
        </w:tc>
      </w:tr>
      <w:tr>
        <w:trPr>
          <w:trHeight w:val="274"/>
        </w:trPr>
        <w:tc>
          <w:tcPr>
            <w:tcW w:w="7480" w:type="dxa"/>
            <w:vAlign w:val="bottom"/>
            <w:shd w:val="clear" w:color="auto" w:fill="E3E4E5"/>
          </w:tcPr>
          <w:p>
            <w:pPr>
              <w:ind w:left="400"/>
              <w:spacing w:after="0" w:line="230" w:lineRule="exact"/>
              <w:rPr>
                <w:sz w:val="20"/>
                <w:szCs w:val="20"/>
                <w:color w:val="auto"/>
              </w:rPr>
            </w:pPr>
            <w:r>
              <w:rPr>
                <w:rFonts w:ascii="Times New Roman" w:cs="Times New Roman" w:eastAsia="Times New Roman" w:hAnsi="Times New Roman"/>
                <w:sz w:val="20"/>
                <w:szCs w:val="20"/>
                <w:color w:val="414142"/>
              </w:rPr>
              <w:t>Share</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based compensation expense</w:t>
            </w:r>
          </w:p>
        </w:tc>
        <w:tc>
          <w:tcPr>
            <w:tcW w:w="300" w:type="dxa"/>
            <w:vAlign w:val="bottom"/>
            <w:shd w:val="clear" w:color="auto" w:fill="E3E4E5"/>
          </w:tcPr>
          <w:p>
            <w:pPr>
              <w:spacing w:after="0"/>
              <w:rPr>
                <w:sz w:val="23"/>
                <w:szCs w:val="23"/>
                <w:color w:val="auto"/>
              </w:rPr>
            </w:pPr>
          </w:p>
        </w:tc>
        <w:tc>
          <w:tcPr>
            <w:tcW w:w="1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4,139</w:t>
            </w:r>
          </w:p>
        </w:tc>
        <w:tc>
          <w:tcPr>
            <w:tcW w:w="16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6,638</w:t>
            </w:r>
          </w:p>
        </w:tc>
        <w:tc>
          <w:tcPr>
            <w:tcW w:w="80" w:type="dxa"/>
            <w:vAlign w:val="bottom"/>
            <w:shd w:val="clear" w:color="auto" w:fill="E3E4E5"/>
          </w:tcPr>
          <w:p>
            <w:pPr>
              <w:spacing w:after="0"/>
              <w:rPr>
                <w:sz w:val="23"/>
                <w:szCs w:val="23"/>
                <w:color w:val="auto"/>
              </w:rPr>
            </w:pPr>
          </w:p>
        </w:tc>
      </w:tr>
      <w:tr>
        <w:trPr>
          <w:trHeight w:val="244"/>
        </w:trPr>
        <w:tc>
          <w:tcPr>
            <w:tcW w:w="7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Change in fair value of warrant liability, net</w:t>
            </w:r>
          </w:p>
        </w:tc>
        <w:tc>
          <w:tcPr>
            <w:tcW w:w="3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280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7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14142"/>
              </w:rPr>
              <w:t>Provision for credit losses</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180</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887</w:t>
            </w: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Accrued interest, amortization of debt issuance costs and other</w:t>
            </w:r>
          </w:p>
        </w:tc>
        <w:tc>
          <w:tcPr>
            <w:tcW w:w="3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1,304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2,462</w:t>
            </w:r>
          </w:p>
        </w:tc>
        <w:tc>
          <w:tcPr>
            <w:tcW w:w="80" w:type="dxa"/>
            <w:vAlign w:val="bottom"/>
          </w:tcPr>
          <w:p>
            <w:pPr>
              <w:spacing w:after="0"/>
              <w:rPr>
                <w:sz w:val="21"/>
                <w:szCs w:val="21"/>
                <w:color w:val="auto"/>
              </w:rPr>
            </w:pPr>
          </w:p>
        </w:tc>
      </w:tr>
      <w:tr>
        <w:trPr>
          <w:trHeight w:val="244"/>
        </w:trPr>
        <w:tc>
          <w:tcPr>
            <w:tcW w:w="7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14142"/>
              </w:rPr>
              <w:t>Inventory excess and obsolescence</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49</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22</w:t>
            </w: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Impairment loss on intangible assets</w:t>
            </w:r>
          </w:p>
        </w:tc>
        <w:tc>
          <w:tcPr>
            <w:tcW w:w="3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107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238</w:t>
            </w:r>
          </w:p>
        </w:tc>
        <w:tc>
          <w:tcPr>
            <w:tcW w:w="80" w:type="dxa"/>
            <w:vAlign w:val="bottom"/>
          </w:tcPr>
          <w:p>
            <w:pPr>
              <w:spacing w:after="0"/>
              <w:rPr>
                <w:sz w:val="21"/>
                <w:szCs w:val="21"/>
                <w:color w:val="auto"/>
              </w:rPr>
            </w:pPr>
          </w:p>
        </w:tc>
      </w:tr>
      <w:tr>
        <w:trPr>
          <w:trHeight w:val="244"/>
        </w:trPr>
        <w:tc>
          <w:tcPr>
            <w:tcW w:w="748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Changes in operating assets and liabilities:</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Accounts receivable</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(531)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(1,811)</w:t>
            </w:r>
          </w:p>
        </w:tc>
      </w:tr>
      <w:tr>
        <w:trPr>
          <w:trHeight w:val="244"/>
        </w:trPr>
        <w:tc>
          <w:tcPr>
            <w:tcW w:w="7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14142"/>
              </w:rPr>
              <w:t>Other current assets</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(258)</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716</w:t>
            </w: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Other long-term assets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(121)</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68</w:t>
            </w:r>
          </w:p>
        </w:tc>
        <w:tc>
          <w:tcPr>
            <w:tcW w:w="80" w:type="dxa"/>
            <w:vAlign w:val="bottom"/>
          </w:tcPr>
          <w:p>
            <w:pPr>
              <w:spacing w:after="0"/>
              <w:rPr>
                <w:sz w:val="21"/>
                <w:szCs w:val="21"/>
                <w:color w:val="auto"/>
              </w:rPr>
            </w:pPr>
          </w:p>
        </w:tc>
      </w:tr>
      <w:tr>
        <w:trPr>
          <w:trHeight w:val="244"/>
        </w:trPr>
        <w:tc>
          <w:tcPr>
            <w:tcW w:w="7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14142"/>
              </w:rPr>
              <w:t>Accounts payable and other accrued liabilities</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1,859</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1,637</w:t>
            </w: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ind w:left="400"/>
              <w:spacing w:after="0"/>
              <w:rPr>
                <w:sz w:val="20"/>
                <w:szCs w:val="20"/>
                <w:color w:val="auto"/>
              </w:rPr>
            </w:pPr>
            <w:r>
              <w:rPr>
                <w:rFonts w:ascii="Times New Roman" w:cs="Times New Roman" w:eastAsia="Times New Roman" w:hAnsi="Times New Roman"/>
                <w:sz w:val="20"/>
                <w:szCs w:val="20"/>
                <w:color w:val="231F20"/>
              </w:rPr>
              <w:t>Deferred revenue</w:t>
            </w:r>
          </w:p>
        </w:tc>
        <w:tc>
          <w:tcPr>
            <w:tcW w:w="3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174</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w:t>
            </w:r>
          </w:p>
        </w:tc>
        <w:tc>
          <w:tcPr>
            <w:tcW w:w="80" w:type="dxa"/>
            <w:vAlign w:val="bottom"/>
          </w:tcPr>
          <w:p>
            <w:pPr>
              <w:spacing w:after="0"/>
              <w:rPr>
                <w:sz w:val="21"/>
                <w:szCs w:val="21"/>
                <w:color w:val="auto"/>
              </w:rPr>
            </w:pPr>
          </w:p>
        </w:tc>
      </w:tr>
      <w:tr>
        <w:trPr>
          <w:trHeight w:val="244"/>
        </w:trPr>
        <w:tc>
          <w:tcPr>
            <w:tcW w:w="748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14142"/>
              </w:rPr>
              <w:t>Contingent consideration</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(23,242)</w:t>
            </w:r>
          </w:p>
        </w:tc>
      </w:tr>
      <w:tr>
        <w:trPr>
          <w:trHeight w:val="244"/>
        </w:trPr>
        <w:tc>
          <w:tcPr>
            <w:tcW w:w="7480" w:type="dxa"/>
            <w:vAlign w:val="bottom"/>
            <w:tcBorders>
              <w:bottom w:val="single" w:sz="8" w:color="E3E4E5"/>
            </w:tcBorders>
          </w:tcPr>
          <w:p>
            <w:pPr>
              <w:ind w:left="400"/>
              <w:spacing w:after="0"/>
              <w:rPr>
                <w:sz w:val="20"/>
                <w:szCs w:val="20"/>
                <w:color w:val="auto"/>
              </w:rPr>
            </w:pPr>
            <w:r>
              <w:rPr>
                <w:rFonts w:ascii="Times New Roman" w:cs="Times New Roman" w:eastAsia="Times New Roman" w:hAnsi="Times New Roman"/>
                <w:sz w:val="20"/>
                <w:szCs w:val="20"/>
                <w:color w:val="231F20"/>
              </w:rPr>
              <w:t>Current and long-term operating lease liabilities</w:t>
            </w:r>
          </w:p>
        </w:tc>
        <w:tc>
          <w:tcPr>
            <w:tcW w:w="30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(789)</w:t>
            </w:r>
          </w:p>
        </w:tc>
        <w:tc>
          <w:tcPr>
            <w:tcW w:w="160" w:type="dxa"/>
            <w:vAlign w:val="bottom"/>
            <w:tcBorders>
              <w:bottom w:val="single" w:sz="8" w:color="E3E4E5"/>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1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715</w:t>
            </w:r>
          </w:p>
        </w:tc>
        <w:tc>
          <w:tcPr>
            <w:tcW w:w="80" w:type="dxa"/>
            <w:vAlign w:val="bottom"/>
            <w:tcBorders>
              <w:bottom w:val="single" w:sz="8" w:color="231F20"/>
            </w:tcBorders>
          </w:tcPr>
          <w:p>
            <w:pPr>
              <w:spacing w:after="0"/>
              <w:rPr>
                <w:sz w:val="21"/>
                <w:szCs w:val="21"/>
                <w:color w:val="auto"/>
              </w:rPr>
            </w:pPr>
          </w:p>
        </w:tc>
      </w:tr>
      <w:tr>
        <w:trPr>
          <w:trHeight w:val="239"/>
        </w:trPr>
        <w:tc>
          <w:tcPr>
            <w:tcW w:w="7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Net cash, cash equivalents, and restricted cash used in operating activities</w:t>
            </w:r>
          </w:p>
        </w:tc>
        <w:tc>
          <w:tcPr>
            <w:tcW w:w="300" w:type="dxa"/>
            <w:vAlign w:val="bottom"/>
            <w:shd w:val="clear" w:color="auto" w:fill="E3E4E5"/>
          </w:tcPr>
          <w:p>
            <w:pPr>
              <w:spacing w:after="0"/>
              <w:rPr>
                <w:sz w:val="20"/>
                <w:szCs w:val="20"/>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(23,271)</w:t>
            </w:r>
          </w:p>
        </w:tc>
        <w:tc>
          <w:tcPr>
            <w:tcW w:w="16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12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(48,649)</w:t>
            </w:r>
          </w:p>
        </w:tc>
      </w:tr>
      <w:tr>
        <w:trPr>
          <w:trHeight w:val="244"/>
        </w:trPr>
        <w:tc>
          <w:tcPr>
            <w:tcW w:w="7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7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Cash flows from investing activities</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Purchase of property and equipment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(259)</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(3,230)</w:t>
            </w:r>
          </w:p>
        </w:tc>
      </w:tr>
      <w:tr>
        <w:trPr>
          <w:trHeight w:val="244"/>
        </w:trPr>
        <w:tc>
          <w:tcPr>
            <w:tcW w:w="748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Patent costs and intangible asset acquisition, net</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(144)</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(210)</w:t>
            </w:r>
          </w:p>
        </w:tc>
      </w:tr>
      <w:tr>
        <w:trPr>
          <w:trHeight w:val="239"/>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231F20"/>
              </w:rPr>
              <w:t>Net cash, cash equivalents, and restricted cash used in investing activities</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(403)</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(3,440)</w:t>
            </w:r>
          </w:p>
        </w:tc>
        <w:tc>
          <w:tcPr>
            <w:tcW w:w="80" w:type="dxa"/>
            <w:vAlign w:val="bottom"/>
            <w:tcBorders>
              <w:top w:val="single" w:sz="8" w:color="231F20"/>
            </w:tcBorders>
          </w:tcPr>
          <w:p>
            <w:pPr>
              <w:spacing w:after="0"/>
              <w:rPr>
                <w:sz w:val="20"/>
                <w:szCs w:val="20"/>
                <w:color w:val="auto"/>
              </w:rPr>
            </w:pPr>
          </w:p>
        </w:tc>
      </w:tr>
      <w:tr>
        <w:trPr>
          <w:trHeight w:val="244"/>
        </w:trPr>
        <w:tc>
          <w:tcPr>
            <w:tcW w:w="748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231F20"/>
              </w:rPr>
              <w:t>Cash flows from financing activities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4"/>
        </w:trPr>
        <w:tc>
          <w:tcPr>
            <w:tcW w:w="748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Proceeds from the issuance of common stock</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7,320</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55,625</w:t>
            </w: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Proceeds from issuance of common stock under employee stock purchase plan</w:t>
            </w:r>
          </w:p>
        </w:tc>
        <w:tc>
          <w:tcPr>
            <w:tcW w:w="3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497</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625</w:t>
            </w:r>
          </w:p>
        </w:tc>
        <w:tc>
          <w:tcPr>
            <w:tcW w:w="80" w:type="dxa"/>
            <w:vAlign w:val="bottom"/>
          </w:tcPr>
          <w:p>
            <w:pPr>
              <w:spacing w:after="0"/>
              <w:rPr>
                <w:sz w:val="21"/>
                <w:szCs w:val="21"/>
                <w:color w:val="auto"/>
              </w:rPr>
            </w:pPr>
          </w:p>
        </w:tc>
      </w:tr>
      <w:tr>
        <w:trPr>
          <w:trHeight w:val="244"/>
        </w:trPr>
        <w:tc>
          <w:tcPr>
            <w:tcW w:w="748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Proceeds from exercise of stock options</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25</w:t>
            </w:r>
          </w:p>
        </w:tc>
        <w:tc>
          <w:tcPr>
            <w:tcW w:w="80" w:type="dxa"/>
            <w:vAlign w:val="bottom"/>
            <w:shd w:val="clear" w:color="auto" w:fill="E3E4E5"/>
          </w:tcPr>
          <w:p>
            <w:pPr>
              <w:spacing w:after="0"/>
              <w:rPr>
                <w:sz w:val="21"/>
                <w:szCs w:val="21"/>
                <w:color w:val="auto"/>
              </w:rPr>
            </w:pPr>
          </w:p>
        </w:tc>
      </w:tr>
      <w:tr>
        <w:trPr>
          <w:trHeight w:val="244"/>
        </w:trPr>
        <w:tc>
          <w:tcPr>
            <w:tcW w:w="74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Proceeds from term loan and notes payable</w:t>
            </w:r>
          </w:p>
        </w:tc>
        <w:tc>
          <w:tcPr>
            <w:tcW w:w="300" w:type="dxa"/>
            <w:vAlign w:val="bottom"/>
          </w:tcPr>
          <w:p>
            <w:pPr>
              <w:spacing w:after="0"/>
              <w:rPr>
                <w:sz w:val="21"/>
                <w:szCs w:val="21"/>
                <w:color w:val="auto"/>
              </w:rPr>
            </w:pP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10,000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748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Repayment of term loan and notes payable</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(21)</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(51)</w:t>
            </w:r>
          </w:p>
        </w:tc>
      </w:tr>
      <w:tr>
        <w:trPr>
          <w:trHeight w:val="244"/>
        </w:trPr>
        <w:tc>
          <w:tcPr>
            <w:tcW w:w="748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Payment of debt issuance costs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(30)</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(44)</w:t>
            </w:r>
          </w:p>
        </w:tc>
      </w:tr>
      <w:tr>
        <w:trPr>
          <w:trHeight w:val="244"/>
        </w:trPr>
        <w:tc>
          <w:tcPr>
            <w:tcW w:w="748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Equity financing costs</w:t>
            </w:r>
          </w:p>
        </w:tc>
        <w:tc>
          <w:tcPr>
            <w:tcW w:w="300" w:type="dxa"/>
            <w:vAlign w:val="bottom"/>
            <w:shd w:val="clear" w:color="auto" w:fill="E3E4E5"/>
          </w:tcPr>
          <w:p>
            <w:pPr>
              <w:spacing w:after="0"/>
              <w:rPr>
                <w:sz w:val="21"/>
                <w:szCs w:val="21"/>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(532)</w:t>
            </w:r>
          </w:p>
        </w:tc>
        <w:tc>
          <w:tcPr>
            <w:tcW w:w="160" w:type="dxa"/>
            <w:vAlign w:val="bottom"/>
            <w:shd w:val="clear" w:color="auto" w:fill="E3E4E5"/>
          </w:tcPr>
          <w:p>
            <w:pPr>
              <w:spacing w:after="0"/>
              <w:rPr>
                <w:sz w:val="21"/>
                <w:szCs w:val="21"/>
                <w:color w:val="auto"/>
              </w:rPr>
            </w:pPr>
          </w:p>
        </w:tc>
        <w:tc>
          <w:tcPr>
            <w:tcW w:w="300" w:type="dxa"/>
            <w:vAlign w:val="bottom"/>
            <w:shd w:val="clear" w:color="auto" w:fill="E3E4E5"/>
          </w:tcPr>
          <w:p>
            <w:pPr>
              <w:spacing w:after="0"/>
              <w:rPr>
                <w:sz w:val="21"/>
                <w:szCs w:val="21"/>
                <w:color w:val="auto"/>
              </w:rPr>
            </w:pPr>
          </w:p>
        </w:tc>
        <w:tc>
          <w:tcPr>
            <w:tcW w:w="12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(3,685)</w:t>
            </w:r>
          </w:p>
        </w:tc>
      </w:tr>
      <w:tr>
        <w:trPr>
          <w:trHeight w:val="244"/>
        </w:trPr>
        <w:tc>
          <w:tcPr>
            <w:tcW w:w="7480" w:type="dxa"/>
            <w:vAlign w:val="bottom"/>
            <w:tcBorders>
              <w:bottom w:val="single" w:sz="8" w:color="E3E4E5"/>
            </w:tcBorders>
          </w:tcPr>
          <w:p>
            <w:pPr>
              <w:ind w:left="200"/>
              <w:spacing w:after="0"/>
              <w:rPr>
                <w:sz w:val="20"/>
                <w:szCs w:val="20"/>
                <w:color w:val="auto"/>
              </w:rPr>
            </w:pPr>
            <w:r>
              <w:rPr>
                <w:rFonts w:ascii="Times New Roman" w:cs="Times New Roman" w:eastAsia="Times New Roman" w:hAnsi="Times New Roman"/>
                <w:sz w:val="20"/>
                <w:szCs w:val="20"/>
                <w:color w:val="231F20"/>
              </w:rPr>
              <w:t>Other</w:t>
            </w:r>
          </w:p>
        </w:tc>
        <w:tc>
          <w:tcPr>
            <w:tcW w:w="30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(817)</w:t>
            </w:r>
          </w:p>
        </w:tc>
        <w:tc>
          <w:tcPr>
            <w:tcW w:w="160" w:type="dxa"/>
            <w:vAlign w:val="bottom"/>
            <w:tcBorders>
              <w:bottom w:val="single" w:sz="8" w:color="E3E4E5"/>
            </w:tcBorders>
          </w:tcPr>
          <w:p>
            <w:pPr>
              <w:spacing w:after="0"/>
              <w:rPr>
                <w:sz w:val="21"/>
                <w:szCs w:val="21"/>
                <w:color w:val="auto"/>
              </w:rPr>
            </w:pPr>
          </w:p>
        </w:tc>
        <w:tc>
          <w:tcPr>
            <w:tcW w:w="300" w:type="dxa"/>
            <w:vAlign w:val="bottom"/>
            <w:tcBorders>
              <w:bottom w:val="single" w:sz="8" w:color="231F20"/>
            </w:tcBorders>
          </w:tcPr>
          <w:p>
            <w:pPr>
              <w:spacing w:after="0"/>
              <w:rPr>
                <w:sz w:val="21"/>
                <w:szCs w:val="21"/>
                <w:color w:val="auto"/>
              </w:rPr>
            </w:pPr>
          </w:p>
        </w:tc>
        <w:tc>
          <w:tcPr>
            <w:tcW w:w="126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(445)</w:t>
            </w:r>
          </w:p>
        </w:tc>
      </w:tr>
      <w:tr>
        <w:trPr>
          <w:trHeight w:val="239"/>
        </w:trPr>
        <w:tc>
          <w:tcPr>
            <w:tcW w:w="74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Net cash, cash equivalents, and restricted cash provided by financing activities</w:t>
            </w:r>
          </w:p>
        </w:tc>
        <w:tc>
          <w:tcPr>
            <w:tcW w:w="300" w:type="dxa"/>
            <w:vAlign w:val="bottom"/>
            <w:shd w:val="clear" w:color="auto" w:fill="E3E4E5"/>
          </w:tcPr>
          <w:p>
            <w:pPr>
              <w:spacing w:after="0"/>
              <w:rPr>
                <w:sz w:val="20"/>
                <w:szCs w:val="20"/>
                <w:color w:val="auto"/>
              </w:rPr>
            </w:pPr>
          </w:p>
        </w:tc>
        <w:tc>
          <w:tcPr>
            <w:tcW w:w="1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16,417</w:t>
            </w:r>
          </w:p>
        </w:tc>
        <w:tc>
          <w:tcPr>
            <w:tcW w:w="160" w:type="dxa"/>
            <w:vAlign w:val="bottom"/>
            <w:shd w:val="clear" w:color="auto" w:fill="E3E4E5"/>
          </w:tcPr>
          <w:p>
            <w:pPr>
              <w:spacing w:after="0"/>
              <w:rPr>
                <w:sz w:val="20"/>
                <w:szCs w:val="20"/>
                <w:color w:val="auto"/>
              </w:rPr>
            </w:pPr>
          </w:p>
        </w:tc>
        <w:tc>
          <w:tcPr>
            <w:tcW w:w="300" w:type="dxa"/>
            <w:vAlign w:val="bottom"/>
            <w:shd w:val="clear" w:color="auto" w:fill="E3E4E5"/>
          </w:tcPr>
          <w:p>
            <w:pPr>
              <w:spacing w:after="0"/>
              <w:rPr>
                <w:sz w:val="20"/>
                <w:szCs w:val="20"/>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52,050</w:t>
            </w:r>
          </w:p>
        </w:tc>
        <w:tc>
          <w:tcPr>
            <w:tcW w:w="80" w:type="dxa"/>
            <w:vAlign w:val="bottom"/>
            <w:tcBorders>
              <w:bottom w:val="single" w:sz="8" w:color="231F20"/>
            </w:tcBorders>
            <w:shd w:val="clear" w:color="auto" w:fill="E3E4E5"/>
          </w:tcPr>
          <w:p>
            <w:pPr>
              <w:spacing w:after="0"/>
              <w:rPr>
                <w:sz w:val="20"/>
                <w:szCs w:val="20"/>
                <w:color w:val="auto"/>
              </w:rPr>
            </w:pPr>
          </w:p>
        </w:tc>
      </w:tr>
      <w:tr>
        <w:trPr>
          <w:trHeight w:val="239"/>
        </w:trPr>
        <w:tc>
          <w:tcPr>
            <w:tcW w:w="7480" w:type="dxa"/>
            <w:vAlign w:val="bottom"/>
          </w:tcPr>
          <w:p>
            <w:pPr>
              <w:spacing w:after="0"/>
              <w:rPr>
                <w:sz w:val="20"/>
                <w:szCs w:val="20"/>
                <w:color w:val="auto"/>
              </w:rPr>
            </w:pPr>
            <w:r>
              <w:rPr>
                <w:rFonts w:ascii="Times New Roman" w:cs="Times New Roman" w:eastAsia="Times New Roman" w:hAnsi="Times New Roman"/>
                <w:sz w:val="20"/>
                <w:szCs w:val="20"/>
                <w:color w:val="231F20"/>
              </w:rPr>
              <w:t>Net decrease in cash, cash equivalents, and restricted cash</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(7,257)</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(39)</w:t>
            </w:r>
          </w:p>
        </w:tc>
        <w:tc>
          <w:tcPr>
            <w:tcW w:w="80" w:type="dxa"/>
            <w:vAlign w:val="bottom"/>
          </w:tcPr>
          <w:p>
            <w:pPr>
              <w:spacing w:after="0"/>
              <w:rPr>
                <w:sz w:val="20"/>
                <w:szCs w:val="20"/>
                <w:color w:val="auto"/>
              </w:rPr>
            </w:pPr>
          </w:p>
        </w:tc>
      </w:tr>
      <w:tr>
        <w:trPr>
          <w:trHeight w:val="274"/>
        </w:trPr>
        <w:tc>
          <w:tcPr>
            <w:tcW w:w="7480" w:type="dxa"/>
            <w:vAlign w:val="bottom"/>
            <w:shd w:val="clear" w:color="auto" w:fill="E3E4E5"/>
          </w:tcPr>
          <w:p>
            <w:pPr>
              <w:spacing w:after="0" w:line="230" w:lineRule="exact"/>
              <w:rPr>
                <w:sz w:val="20"/>
                <w:szCs w:val="20"/>
                <w:color w:val="auto"/>
              </w:rPr>
            </w:pPr>
            <w:r>
              <w:rPr>
                <w:rFonts w:ascii="Times New Roman" w:cs="Times New Roman" w:eastAsia="Times New Roman" w:hAnsi="Times New Roman"/>
                <w:sz w:val="20"/>
                <w:szCs w:val="20"/>
                <w:color w:val="414142"/>
              </w:rPr>
              <w:t xml:space="preserve">Cash, cash equivalents, and restricted cash </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 xml:space="preserve"> beginning of period</w:t>
            </w:r>
          </w:p>
        </w:tc>
        <w:tc>
          <w:tcPr>
            <w:tcW w:w="300" w:type="dxa"/>
            <w:vAlign w:val="bottom"/>
            <w:shd w:val="clear" w:color="auto" w:fill="E3E4E5"/>
          </w:tcPr>
          <w:p>
            <w:pPr>
              <w:spacing w:after="0"/>
              <w:rPr>
                <w:sz w:val="23"/>
                <w:szCs w:val="23"/>
                <w:color w:val="auto"/>
              </w:rPr>
            </w:pPr>
          </w:p>
        </w:tc>
        <w:tc>
          <w:tcPr>
            <w:tcW w:w="13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26,332</w:t>
            </w:r>
          </w:p>
        </w:tc>
        <w:tc>
          <w:tcPr>
            <w:tcW w:w="160" w:type="dxa"/>
            <w:vAlign w:val="bottom"/>
            <w:shd w:val="clear" w:color="auto" w:fill="E3E4E5"/>
          </w:tcPr>
          <w:p>
            <w:pPr>
              <w:spacing w:after="0"/>
              <w:rPr>
                <w:sz w:val="23"/>
                <w:szCs w:val="23"/>
                <w:color w:val="auto"/>
              </w:rPr>
            </w:pPr>
          </w:p>
        </w:tc>
        <w:tc>
          <w:tcPr>
            <w:tcW w:w="300" w:type="dxa"/>
            <w:vAlign w:val="bottom"/>
            <w:shd w:val="clear" w:color="auto" w:fill="E3E4E5"/>
          </w:tcPr>
          <w:p>
            <w:pPr>
              <w:spacing w:after="0"/>
              <w:rPr>
                <w:sz w:val="23"/>
                <w:szCs w:val="23"/>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26,371</w:t>
            </w:r>
          </w:p>
        </w:tc>
        <w:tc>
          <w:tcPr>
            <w:tcW w:w="80" w:type="dxa"/>
            <w:vAlign w:val="bottom"/>
            <w:tcBorders>
              <w:bottom w:val="single" w:sz="8" w:color="231F20"/>
            </w:tcBorders>
            <w:shd w:val="clear" w:color="auto" w:fill="E3E4E5"/>
          </w:tcPr>
          <w:p>
            <w:pPr>
              <w:spacing w:after="0"/>
              <w:rPr>
                <w:sz w:val="23"/>
                <w:szCs w:val="23"/>
                <w:color w:val="auto"/>
              </w:rPr>
            </w:pPr>
          </w:p>
        </w:tc>
      </w:tr>
      <w:tr>
        <w:trPr>
          <w:trHeight w:val="269"/>
        </w:trPr>
        <w:tc>
          <w:tcPr>
            <w:tcW w:w="7480" w:type="dxa"/>
            <w:vAlign w:val="bottom"/>
          </w:tcPr>
          <w:p>
            <w:pPr>
              <w:spacing w:after="0" w:line="230" w:lineRule="exact"/>
              <w:rPr>
                <w:sz w:val="20"/>
                <w:szCs w:val="20"/>
                <w:color w:val="auto"/>
              </w:rPr>
            </w:pPr>
            <w:r>
              <w:rPr>
                <w:rFonts w:ascii="Times New Roman" w:cs="Times New Roman" w:eastAsia="Times New Roman" w:hAnsi="Times New Roman"/>
                <w:sz w:val="20"/>
                <w:szCs w:val="20"/>
                <w:color w:val="231F20"/>
              </w:rPr>
              <w:t xml:space="preserve">Cash, cash equivalents, and restricted cash </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 xml:space="preserve"> end of period</w:t>
            </w:r>
          </w:p>
        </w:tc>
        <w:tc>
          <w:tcPr>
            <w:tcW w:w="30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19,075</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26,332</w:t>
            </w:r>
          </w:p>
        </w:tc>
        <w:tc>
          <w:tcPr>
            <w:tcW w:w="80" w:type="dxa"/>
            <w:vAlign w:val="bottom"/>
          </w:tcPr>
          <w:p>
            <w:pPr>
              <w:spacing w:after="0"/>
              <w:rPr>
                <w:sz w:val="23"/>
                <w:szCs w:val="23"/>
                <w:color w:val="auto"/>
              </w:rPr>
            </w:pPr>
          </w:p>
        </w:tc>
      </w:tr>
      <w:tr>
        <w:trPr>
          <w:trHeight w:val="20"/>
        </w:trPr>
        <w:tc>
          <w:tcPr>
            <w:tcW w:w="748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4735195</wp:posOffset>
            </wp:positionH>
            <wp:positionV relativeFrom="paragraph">
              <wp:posOffset>-6504940</wp:posOffset>
            </wp:positionV>
            <wp:extent cx="2087245" cy="47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23">
                      <a:extLst>
                        <a:ext uri="{28A0092B-C50C-407E-A947-70E740481C1C}"/>
                      </a:extLst>
                    </a:blip>
                    <a:srcRect/>
                    <a:stretch>
                      <a:fillRect/>
                    </a:stretch>
                  </pic:blipFill>
                  <pic:spPr bwMode="auto">
                    <a:xfrm>
                      <a:off x="0" y="0"/>
                      <a:ext cx="2087245" cy="4762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-3221990</wp:posOffset>
            </wp:positionV>
            <wp:extent cx="208724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4">
                      <a:extLst>
                        <a:ext uri="{28A0092B-C50C-407E-A947-70E740481C1C}"/>
                      </a:extLst>
                    </a:blip>
                    <a:srcRect/>
                    <a:stretch>
                      <a:fillRect/>
                    </a:stretch>
                  </pic:blipFill>
                  <pic:spPr bwMode="auto">
                    <a:xfrm>
                      <a:off x="0" y="0"/>
                      <a:ext cx="2087245" cy="3810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-2447290</wp:posOffset>
            </wp:positionV>
            <wp:extent cx="2087245" cy="47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25">
                      <a:extLst>
                        <a:ext uri="{28A0092B-C50C-407E-A947-70E740481C1C}"/>
                      </a:extLst>
                    </a:blip>
                    <a:srcRect/>
                    <a:stretch>
                      <a:fillRect/>
                    </a:stretch>
                  </pic:blipFill>
                  <pic:spPr bwMode="auto">
                    <a:xfrm>
                      <a:off x="0" y="0"/>
                      <a:ext cx="2087245" cy="4762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-723900</wp:posOffset>
            </wp:positionV>
            <wp:extent cx="208724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6">
                      <a:extLst>
                        <a:ext uri="{28A0092B-C50C-407E-A947-70E740481C1C}"/>
                      </a:extLst>
                    </a:blip>
                    <a:srcRect/>
                    <a:stretch>
                      <a:fillRect/>
                    </a:stretch>
                  </pic:blipFill>
                  <pic:spPr bwMode="auto">
                    <a:xfrm>
                      <a:off x="0" y="0"/>
                      <a:ext cx="2087245" cy="38100"/>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-568960</wp:posOffset>
            </wp:positionV>
            <wp:extent cx="2087245" cy="4762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7">
                      <a:extLst>
                        <a:ext uri="{28A0092B-C50C-407E-A947-70E740481C1C}"/>
                      </a:extLst>
                    </a:blip>
                    <a:srcRect/>
                    <a:stretch>
                      <a:fillRect/>
                    </a:stretch>
                  </pic:blipFill>
                  <pic:spPr bwMode="auto">
                    <a:xfrm>
                      <a:off x="0" y="0"/>
                      <a:ext cx="2087245" cy="47625"/>
                    </a:xfrm>
                    <a:prstGeom prst="rect">
                      <a:avLst/>
                    </a:prstGeom>
                    <a:noFill/>
                  </pic:spPr>
                </pic:pic>
              </a:graphicData>
            </a:graphic>
          </wp:anchor>
        </w:drawing>
        <w:drawing>
          <wp:anchor simplePos="0" relativeHeight="251657728" behindDoc="1" locked="0" layoutInCell="0" allowOverlap="1">
            <wp:simplePos x="0" y="0"/>
            <wp:positionH relativeFrom="column">
              <wp:posOffset>4735195</wp:posOffset>
            </wp:positionH>
            <wp:positionV relativeFrom="paragraph">
              <wp:posOffset>-230505</wp:posOffset>
            </wp:positionV>
            <wp:extent cx="2087245" cy="476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8">
                      <a:extLst>
                        <a:ext uri="{28A0092B-C50C-407E-A947-70E740481C1C}"/>
                      </a:extLst>
                    </a:blip>
                    <a:srcRect/>
                    <a:stretch>
                      <a:fillRect/>
                    </a:stretch>
                  </pic:blipFill>
                  <pic:spPr bwMode="auto">
                    <a:xfrm>
                      <a:off x="0" y="0"/>
                      <a:ext cx="2087245" cy="47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financial statements.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F-6</w:t>
      </w:r>
    </w:p>
    <w:p>
      <w:pPr>
        <w:sectPr>
          <w:pgSz w:w="11880" w:h="15480" w:orient="portrait"/>
          <w:cols w:equalWidth="0" w:num="1">
            <w:col w:w="10800"/>
          </w:cols>
          <w:pgMar w:left="540" w:top="746" w:right="540" w:bottom="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74"/>
        </w:trPr>
        <w:tc>
          <w:tcPr>
            <w:tcW w:w="7360" w:type="dxa"/>
            <w:vAlign w:val="bottom"/>
          </w:tcPr>
          <w:p>
            <w:pPr>
              <w:jc w:val="center"/>
              <w:ind w:left="3340"/>
              <w:spacing w:after="0"/>
              <w:rPr>
                <w:sz w:val="20"/>
                <w:szCs w:val="20"/>
                <w:color w:val="auto"/>
              </w:rPr>
            </w:pPr>
            <w:r>
              <w:rPr>
                <w:rFonts w:ascii="Times New Roman" w:cs="Times New Roman" w:eastAsia="Times New Roman" w:hAnsi="Times New Roman"/>
                <w:sz w:val="20"/>
                <w:szCs w:val="20"/>
                <w:b w:val="1"/>
                <w:bCs w:val="1"/>
                <w:color w:val="231F20"/>
                <w:w w:val="98"/>
              </w:rPr>
              <w:t>BIODESIX, INC.</w:t>
            </w: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386"/>
        </w:trPr>
        <w:tc>
          <w:tcPr>
            <w:tcW w:w="7360" w:type="dxa"/>
            <w:vAlign w:val="bottom"/>
          </w:tcPr>
          <w:p>
            <w:pPr>
              <w:jc w:val="center"/>
              <w:ind w:left="3340"/>
              <w:spacing w:after="0"/>
              <w:rPr>
                <w:sz w:val="20"/>
                <w:szCs w:val="20"/>
                <w:color w:val="auto"/>
              </w:rPr>
            </w:pPr>
            <w:r>
              <w:rPr>
                <w:rFonts w:ascii="Times New Roman" w:cs="Times New Roman" w:eastAsia="Times New Roman" w:hAnsi="Times New Roman"/>
                <w:sz w:val="20"/>
                <w:szCs w:val="20"/>
                <w:b w:val="1"/>
                <w:bCs w:val="1"/>
                <w:color w:val="231F20"/>
              </w:rPr>
              <w:t>Statements of Cash Flows</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74"/>
        </w:trPr>
        <w:tc>
          <w:tcPr>
            <w:tcW w:w="7360" w:type="dxa"/>
            <w:vAlign w:val="bottom"/>
          </w:tcPr>
          <w:p>
            <w:pPr>
              <w:jc w:val="center"/>
              <w:ind w:left="3340"/>
              <w:spacing w:after="0"/>
              <w:rPr>
                <w:sz w:val="20"/>
                <w:szCs w:val="20"/>
                <w:color w:val="auto"/>
              </w:rPr>
            </w:pPr>
            <w:r>
              <w:rPr>
                <w:rFonts w:ascii="Times New Roman" w:cs="Times New Roman" w:eastAsia="Times New Roman" w:hAnsi="Times New Roman"/>
                <w:sz w:val="20"/>
                <w:szCs w:val="20"/>
                <w:b w:val="1"/>
                <w:bCs w:val="1"/>
                <w:color w:val="231F20"/>
                <w:w w:val="98"/>
              </w:rPr>
              <w:t>(in thousands)</w:t>
            </w:r>
          </w:p>
        </w:tc>
        <w:tc>
          <w:tcPr>
            <w:tcW w:w="10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spacing w:after="0"/>
              <w:rPr>
                <w:sz w:val="23"/>
                <w:szCs w:val="23"/>
                <w:color w:val="auto"/>
              </w:rPr>
            </w:pPr>
          </w:p>
        </w:tc>
      </w:tr>
      <w:tr>
        <w:trPr>
          <w:trHeight w:val="466"/>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231F20"/>
              </w:rPr>
              <w:t>(Continued from the previous page)</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74"/>
        </w:trPr>
        <w:tc>
          <w:tcPr>
            <w:tcW w:w="73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Supplemental cash flow information</w:t>
            </w:r>
            <w:r>
              <w:rPr>
                <w:rFonts w:ascii="Times New Roman" w:cs="Times New Roman" w:eastAsia="Times New Roman" w:hAnsi="Times New Roman"/>
                <w:sz w:val="20"/>
                <w:szCs w:val="20"/>
                <w:color w:val="231F20"/>
              </w:rPr>
              <w:t>:</w:t>
            </w: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3"/>
        </w:trPr>
        <w:tc>
          <w:tcPr>
            <w:tcW w:w="7360" w:type="dxa"/>
            <w:vAlign w:val="bottom"/>
          </w:tcPr>
          <w:p>
            <w:pPr>
              <w:spacing w:after="0"/>
              <w:rPr>
                <w:sz w:val="24"/>
                <w:szCs w:val="24"/>
                <w:color w:val="auto"/>
              </w:rPr>
            </w:pPr>
          </w:p>
        </w:tc>
        <w:tc>
          <w:tcPr>
            <w:tcW w:w="2860" w:type="dxa"/>
            <w:vAlign w:val="bottom"/>
            <w:tcBorders>
              <w:bottom w:val="single" w:sz="8" w:color="231F20"/>
            </w:tcBorders>
            <w:gridSpan w:val="3"/>
          </w:tcPr>
          <w:p>
            <w:pPr>
              <w:ind w:left="56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580" w:type="dxa"/>
            <w:vAlign w:val="bottom"/>
            <w:tcBorders>
              <w:bottom w:val="single" w:sz="8" w:color="231F20"/>
            </w:tcBorders>
          </w:tcPr>
          <w:p>
            <w:pPr>
              <w:spacing w:after="0"/>
              <w:rPr>
                <w:sz w:val="24"/>
                <w:szCs w:val="24"/>
                <w:color w:val="auto"/>
              </w:rPr>
            </w:pPr>
          </w:p>
        </w:tc>
      </w:tr>
      <w:tr>
        <w:trPr>
          <w:trHeight w:val="239"/>
        </w:trPr>
        <w:tc>
          <w:tcPr>
            <w:tcW w:w="7360" w:type="dxa"/>
            <w:vAlign w:val="bottom"/>
            <w:tcBorders>
              <w:bottom w:val="single" w:sz="8" w:color="E3E4E5"/>
            </w:tcBorders>
          </w:tcPr>
          <w:p>
            <w:pPr>
              <w:spacing w:after="0"/>
              <w:rPr>
                <w:sz w:val="20"/>
                <w:szCs w:val="20"/>
                <w:color w:val="auto"/>
              </w:rPr>
            </w:pPr>
          </w:p>
        </w:tc>
        <w:tc>
          <w:tcPr>
            <w:tcW w:w="1040" w:type="dxa"/>
            <w:vAlign w:val="bottom"/>
            <w:tcBorders>
              <w:bottom w:val="single" w:sz="8" w:color="E3E4E5"/>
            </w:tcBorders>
          </w:tcPr>
          <w:p>
            <w:pPr>
              <w:ind w:left="58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780" w:type="dxa"/>
            <w:vAlign w:val="bottom"/>
            <w:tcBorders>
              <w:bottom w:val="single" w:sz="8" w:color="E3E4E5"/>
            </w:tcBorders>
          </w:tcPr>
          <w:p>
            <w:pPr>
              <w:spacing w:after="0"/>
              <w:rPr>
                <w:sz w:val="20"/>
                <w:szCs w:val="20"/>
                <w:color w:val="auto"/>
              </w:rPr>
            </w:pPr>
          </w:p>
        </w:tc>
        <w:tc>
          <w:tcPr>
            <w:tcW w:w="1040" w:type="dxa"/>
            <w:vAlign w:val="bottom"/>
            <w:tcBorders>
              <w:bottom w:val="single" w:sz="8" w:color="414142"/>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580" w:type="dxa"/>
            <w:vAlign w:val="bottom"/>
            <w:tcBorders>
              <w:bottom w:val="single" w:sz="8" w:color="414142"/>
            </w:tcBorders>
          </w:tcPr>
          <w:p>
            <w:pPr>
              <w:spacing w:after="0"/>
              <w:rPr>
                <w:sz w:val="20"/>
                <w:szCs w:val="20"/>
                <w:color w:val="auto"/>
              </w:rPr>
            </w:pPr>
          </w:p>
        </w:tc>
      </w:tr>
      <w:tr>
        <w:trPr>
          <w:trHeight w:val="239"/>
        </w:trPr>
        <w:tc>
          <w:tcPr>
            <w:tcW w:w="73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Equity financing costs included in accounts payable and other accrued liabilities</w:t>
            </w:r>
          </w:p>
        </w:tc>
        <w:tc>
          <w:tcPr>
            <w:tcW w:w="1040" w:type="dxa"/>
            <w:vAlign w:val="bottom"/>
            <w:shd w:val="clear" w:color="auto" w:fill="E3E4E5"/>
          </w:tcPr>
          <w:p>
            <w:pPr>
              <w:jc w:val="right"/>
              <w:ind w:right="820"/>
              <w:spacing w:after="0"/>
              <w:rPr>
                <w:sz w:val="20"/>
                <w:szCs w:val="20"/>
                <w:color w:val="auto"/>
              </w:rPr>
            </w:pPr>
            <w:r>
              <w:rPr>
                <w:rFonts w:ascii="Times New Roman" w:cs="Times New Roman" w:eastAsia="Times New Roman" w:hAnsi="Times New Roman"/>
                <w:sz w:val="20"/>
                <w:szCs w:val="20"/>
                <w:color w:val="414142"/>
                <w:w w:val="99"/>
              </w:rPr>
              <w:t>$</w:t>
            </w:r>
          </w:p>
        </w:tc>
        <w:tc>
          <w:tcPr>
            <w:tcW w:w="780" w:type="dxa"/>
            <w:vAlign w:val="bottom"/>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14142"/>
              </w:rPr>
              <w:t>7</w:t>
            </w:r>
          </w:p>
        </w:tc>
        <w:tc>
          <w:tcPr>
            <w:tcW w:w="1040" w:type="dxa"/>
            <w:vAlign w:val="bottom"/>
            <w:shd w:val="clear" w:color="auto" w:fill="E3E4E5"/>
          </w:tcPr>
          <w:p>
            <w:pPr>
              <w:jc w:val="right"/>
              <w:ind w:right="840"/>
              <w:spacing w:after="0"/>
              <w:rPr>
                <w:sz w:val="20"/>
                <w:szCs w:val="20"/>
                <w:color w:val="auto"/>
              </w:rPr>
            </w:pPr>
            <w:r>
              <w:rPr>
                <w:rFonts w:ascii="Times New Roman" w:cs="Times New Roman" w:eastAsia="Times New Roman" w:hAnsi="Times New Roman"/>
                <w:sz w:val="20"/>
                <w:szCs w:val="20"/>
                <w:color w:val="414142"/>
                <w:w w:val="79"/>
              </w:rPr>
              <w:t>$</w:t>
            </w: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231F20"/>
              </w:rPr>
              <w:t>Operating lease right-of-use asset obtained in exchange for lease liabilities</w:t>
            </w:r>
          </w:p>
        </w:tc>
        <w:tc>
          <w:tcPr>
            <w:tcW w:w="1040" w:type="dxa"/>
            <w:vAlign w:val="bottom"/>
          </w:tcPr>
          <w:p>
            <w:pPr>
              <w:spacing w:after="0"/>
              <w:rPr>
                <w:sz w:val="21"/>
                <w:szCs w:val="21"/>
                <w:color w:val="auto"/>
              </w:rPr>
            </w:pPr>
          </w:p>
        </w:tc>
        <w:tc>
          <w:tcPr>
            <w:tcW w:w="7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644</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583</w:t>
            </w:r>
          </w:p>
        </w:tc>
      </w:tr>
      <w:tr>
        <w:trPr>
          <w:trHeight w:val="258"/>
        </w:trPr>
        <w:tc>
          <w:tcPr>
            <w:tcW w:w="73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Finance lease right-of-use assets obtained in exchange for lease liabilities</w:t>
            </w:r>
          </w:p>
        </w:tc>
        <w:tc>
          <w:tcPr>
            <w:tcW w:w="1040" w:type="dxa"/>
            <w:vAlign w:val="bottom"/>
            <w:shd w:val="clear" w:color="auto" w:fill="E3E4E5"/>
          </w:tcPr>
          <w:p>
            <w:pPr>
              <w:spacing w:after="0"/>
              <w:rPr>
                <w:sz w:val="22"/>
                <w:szCs w:val="22"/>
                <w:color w:val="auto"/>
              </w:rPr>
            </w:pPr>
          </w:p>
        </w:tc>
        <w:tc>
          <w:tcPr>
            <w:tcW w:w="780" w:type="dxa"/>
            <w:vAlign w:val="bottom"/>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14142"/>
              </w:rPr>
              <w:t>1,445</w:t>
            </w:r>
          </w:p>
        </w:tc>
        <w:tc>
          <w:tcPr>
            <w:tcW w:w="1040" w:type="dxa"/>
            <w:vAlign w:val="bottom"/>
            <w:shd w:val="clear" w:color="auto" w:fill="E3E4E5"/>
          </w:tcPr>
          <w:p>
            <w:pPr>
              <w:spacing w:after="0"/>
              <w:rPr>
                <w:sz w:val="22"/>
                <w:szCs w:val="22"/>
                <w:color w:val="auto"/>
              </w:rPr>
            </w:pP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999</w:t>
            </w:r>
          </w:p>
        </w:tc>
      </w:tr>
      <w:tr>
        <w:trPr>
          <w:trHeight w:val="244"/>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231F20"/>
              </w:rPr>
              <w:t>Cash paid for interest</w:t>
            </w:r>
          </w:p>
        </w:tc>
        <w:tc>
          <w:tcPr>
            <w:tcW w:w="1040" w:type="dxa"/>
            <w:vAlign w:val="bottom"/>
          </w:tcPr>
          <w:p>
            <w:pPr>
              <w:spacing w:after="0"/>
              <w:rPr>
                <w:sz w:val="21"/>
                <w:szCs w:val="21"/>
                <w:color w:val="auto"/>
              </w:rPr>
            </w:pPr>
          </w:p>
        </w:tc>
        <w:tc>
          <w:tcPr>
            <w:tcW w:w="7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6,398</w:t>
            </w: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7,024</w:t>
            </w:r>
          </w:p>
        </w:tc>
      </w:tr>
      <w:tr>
        <w:trPr>
          <w:trHeight w:val="258"/>
        </w:trPr>
        <w:tc>
          <w:tcPr>
            <w:tcW w:w="73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Change in fair value of Perceptive Warrants</w:t>
            </w:r>
          </w:p>
        </w:tc>
        <w:tc>
          <w:tcPr>
            <w:tcW w:w="1040" w:type="dxa"/>
            <w:vAlign w:val="bottom"/>
            <w:shd w:val="clear" w:color="auto" w:fill="E3E4E5"/>
          </w:tcPr>
          <w:p>
            <w:pPr>
              <w:spacing w:after="0"/>
              <w:rPr>
                <w:sz w:val="22"/>
                <w:szCs w:val="22"/>
                <w:color w:val="auto"/>
              </w:rPr>
            </w:pPr>
          </w:p>
        </w:tc>
        <w:tc>
          <w:tcPr>
            <w:tcW w:w="780" w:type="dxa"/>
            <w:vAlign w:val="bottom"/>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14142"/>
              </w:rPr>
              <w:t>227</w:t>
            </w:r>
          </w:p>
        </w:tc>
        <w:tc>
          <w:tcPr>
            <w:tcW w:w="1040" w:type="dxa"/>
            <w:vAlign w:val="bottom"/>
            <w:shd w:val="clear" w:color="auto" w:fill="E3E4E5"/>
          </w:tcPr>
          <w:p>
            <w:pPr>
              <w:spacing w:after="0"/>
              <w:rPr>
                <w:sz w:val="22"/>
                <w:szCs w:val="22"/>
                <w:color w:val="auto"/>
              </w:rPr>
            </w:pP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r>
      <w:tr>
        <w:trPr>
          <w:trHeight w:val="258"/>
        </w:trPr>
        <w:tc>
          <w:tcPr>
            <w:tcW w:w="7360" w:type="dxa"/>
            <w:vAlign w:val="bottom"/>
          </w:tcPr>
          <w:p>
            <w:pPr>
              <w:spacing w:after="0"/>
              <w:rPr>
                <w:sz w:val="20"/>
                <w:szCs w:val="20"/>
                <w:color w:val="auto"/>
              </w:rPr>
            </w:pPr>
            <w:r>
              <w:rPr>
                <w:rFonts w:ascii="Times New Roman" w:cs="Times New Roman" w:eastAsia="Times New Roman" w:hAnsi="Times New Roman"/>
                <w:sz w:val="20"/>
                <w:szCs w:val="20"/>
                <w:color w:val="231F20"/>
              </w:rPr>
              <w:t>Reclassification of Tranche C warrants to additional paid-in capital</w:t>
            </w:r>
          </w:p>
        </w:tc>
        <w:tc>
          <w:tcPr>
            <w:tcW w:w="1040" w:type="dxa"/>
            <w:vAlign w:val="bottom"/>
          </w:tcPr>
          <w:p>
            <w:pPr>
              <w:spacing w:after="0"/>
              <w:rPr>
                <w:sz w:val="22"/>
                <w:szCs w:val="22"/>
                <w:color w:val="auto"/>
              </w:rPr>
            </w:pPr>
          </w:p>
        </w:tc>
        <w:tc>
          <w:tcPr>
            <w:tcW w:w="7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231F20"/>
              </w:rPr>
              <w:t>280</w:t>
            </w:r>
          </w:p>
        </w:tc>
        <w:tc>
          <w:tcPr>
            <w:tcW w:w="10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58"/>
        </w:trPr>
        <w:tc>
          <w:tcPr>
            <w:tcW w:w="73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Purchases of property &amp; equipment included in accounts payable and accrued liabilities</w:t>
            </w:r>
          </w:p>
        </w:tc>
        <w:tc>
          <w:tcPr>
            <w:tcW w:w="1040" w:type="dxa"/>
            <w:vAlign w:val="bottom"/>
            <w:shd w:val="clear" w:color="auto" w:fill="E3E4E5"/>
          </w:tcPr>
          <w:p>
            <w:pPr>
              <w:spacing w:after="0"/>
              <w:rPr>
                <w:sz w:val="22"/>
                <w:szCs w:val="22"/>
                <w:color w:val="auto"/>
              </w:rPr>
            </w:pPr>
          </w:p>
        </w:tc>
        <w:tc>
          <w:tcPr>
            <w:tcW w:w="780" w:type="dxa"/>
            <w:vAlign w:val="bottom"/>
            <w:shd w:val="clear" w:color="auto" w:fill="E3E4E5"/>
          </w:tcPr>
          <w:p>
            <w:pPr>
              <w:jc w:val="right"/>
              <w:ind w:right="180"/>
              <w:spacing w:after="0"/>
              <w:rPr>
                <w:sz w:val="20"/>
                <w:szCs w:val="20"/>
                <w:color w:val="auto"/>
              </w:rPr>
            </w:pPr>
            <w:r>
              <w:rPr>
                <w:rFonts w:ascii="Times New Roman" w:cs="Times New Roman" w:eastAsia="Times New Roman" w:hAnsi="Times New Roman"/>
                <w:sz w:val="20"/>
                <w:szCs w:val="20"/>
                <w:color w:val="414142"/>
              </w:rPr>
              <w:t>27</w:t>
            </w:r>
          </w:p>
        </w:tc>
        <w:tc>
          <w:tcPr>
            <w:tcW w:w="1040" w:type="dxa"/>
            <w:vAlign w:val="bottom"/>
            <w:shd w:val="clear" w:color="auto" w:fill="E3E4E5"/>
          </w:tcPr>
          <w:p>
            <w:pPr>
              <w:spacing w:after="0"/>
              <w:rPr>
                <w:sz w:val="22"/>
                <w:szCs w:val="22"/>
                <w:color w:val="auto"/>
              </w:rPr>
            </w:pP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-1148080</wp:posOffset>
            </wp:positionV>
            <wp:extent cx="1089660" cy="476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9">
                      <a:extLst>
                        <a:ext uri="{28A0092B-C50C-407E-A947-70E740481C1C}"/>
                      </a:extLst>
                    </a:blip>
                    <a:srcRect/>
                    <a:stretch>
                      <a:fillRect/>
                    </a:stretch>
                  </pic:blipFill>
                  <pic:spPr bwMode="auto">
                    <a:xfrm>
                      <a:off x="0" y="0"/>
                      <a:ext cx="1089660" cy="47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6816725</wp:posOffset>
                </wp:positionH>
                <wp:positionV relativeFrom="paragraph">
                  <wp:posOffset>-1129665</wp:posOffset>
                </wp:positionV>
                <wp:extent cx="0" cy="9525"/>
                <wp:wrapNone/>
                <wp:docPr id="64" name="Shape 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231F20"/>
                          </a:solidFill>
                          <a:miter lim="800000"/>
                          <a:headEnd/>
                          <a:tailEnd/>
                        </a:ln>
                      </wps:spPr>
                      <wps:bodyPr/>
                    </wps:wsp>
                  </a:graphicData>
                </a:graphic>
              </wp:anchor>
            </w:drawing>
          </mc:Choice>
          <mc:Fallback>
            <w:pict>
              <v:line id="Shape 64" o:spid="_x0000_s10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36.75pt,-88.9499pt" to="536.75pt,-88.1999pt" o:allowincell="f" strokecolor="#231F20" strokeweight="0pt"/>
            </w:pict>
          </mc:Fallback>
        </mc:AlternateConten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The accompanying Notes are an integral part of these financial statements.</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F-7</w:t>
      </w:r>
    </w:p>
    <w:p>
      <w:pPr>
        <w:sectPr>
          <w:pgSz w:w="11880" w:h="15480" w:orient="portrait"/>
          <w:cols w:equalWidth="0" w:num="1">
            <w:col w:w="10800"/>
          </w:cols>
          <w:pgMar w:left="540" w:top="746" w:right="540" w:bottom="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231F20"/>
        </w:rPr>
        <w:t>BIODESIX, INC.</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231F20"/>
        </w:rPr>
        <w:t>Notes to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 – Organization and Description of Business</w:t>
      </w:r>
    </w:p>
    <w:p>
      <w:pPr>
        <w:spacing w:after="0" w:line="12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Biodesix, Inc. (the “Company”, “Biodesix”, “we” “us” and “our”), formerly Elston Technologies, Inc., was incorporated in Delaware in 2005. The Company’s headquarters are in Colorado and the Company performs its diagnostic tests and services in its laboratory facilities which are located in Louisville, Colorado and De Soto, Kansas. The Company conducts all of its operations within a single legal entity. Biodesix is a leading diagnostic solutions company, driven to improve clinical care and outcomes for patients. The Company develops diagnostic tests using a multi-omic approach to harness the strengths of different technologies that are best suited to address important clinical questions. We derive our revenue from two sources: (i) Biodesix Diagnostic Tests (Diagnostic Tests), providing lung diagnostic testing services for healthcare providers associated with our five blood-based tests and (ii) Biodesix Development Services (Development Services) providing diagnostic testing services to biopharmaceutical, life sciences, and diagnostic companies.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2 – Summary of Significant Accounting Policies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Basis of Presentation and Estimates</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454546"/>
        </w:rPr>
        <w:t xml:space="preserve">The Company’s financial statements have been prepared in accordance with accounting principles generally accepted in the United States (U.S. GAAP). The preparation of financial statements in conformity with U.S. GAAP requires management to make estimates and assumptions that affect the reported amounts of assets and liabilities and disclosures of contingent assets and liabilities at the date of the financial statements and the reported amounts of revenue and expenses during the reporting period. Significant items subject to such estimates include: revenue recognition; the estimation of the fair value of goodwill and other intangible assets pursuant to the Company's annual impairment analysis; fair value of stock options; income tax uncertainties, including a valuation allowance for deferred tax assets; fair value of warrant liabilities; leases, including </w:t>
      </w:r>
      <w:r>
        <w:rPr>
          <w:rFonts w:ascii="Times New Roman" w:cs="Times New Roman" w:eastAsia="Times New Roman" w:hAnsi="Times New Roman"/>
          <w:sz w:val="20"/>
          <w:szCs w:val="20"/>
          <w:color w:val="231F20"/>
        </w:rPr>
        <w:t>the estimated incremental borrowing rates</w:t>
      </w:r>
      <w:r>
        <w:rPr>
          <w:rFonts w:ascii="Times New Roman" w:cs="Times New Roman" w:eastAsia="Times New Roman" w:hAnsi="Times New Roman"/>
          <w:sz w:val="20"/>
          <w:szCs w:val="20"/>
          <w:color w:val="454546"/>
        </w:rPr>
        <w:t>;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recognized revenue and expenses that are not readily apparent from other sources. Actual results could differ from those estimates and assumptions.</w:t>
      </w:r>
    </w:p>
    <w:p>
      <w:pPr>
        <w:spacing w:after="0" w:line="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Comprehensive loss is defined as a change in equity during a period from transactions and other events and circumstances from non-owner sources. The Company’s comprehensive loss was the same as its reported net loss for all periods presented.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Reverse Stock Split</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On September 15, 2025, we effected a 1-for-20 reverse stock split, which reduced the number of our shares of common stock outstanding on that date from 155,958,071 shares to 7,797,830 shares. The number of authorized shares of our common stock and preferred stock remained unchanged at 200.0 million and 5.0 million, respectively. The number of shares of common stock issuable upon settlement of outstanding restricted stock units, exercise of stock options, and exercise of warrants was reduced proportionately as a result of the reverse stock split. Additionally, the exercise price of all outstanding options and warrants, the number of shares of common stock issuable upon exercise of all outstanding options and warrants, and the number of shares reserved for future issuance pursuant to our equity incentive plans were all adjusted proportionately as a result of the reverse stock split.</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All common stock share data share-based calculations and exercise prices set forth in this report have been adjusted to reflect our 1-for-20 reverse stock split, which was effective September 15, 2025, on a retroactive basis for the periods presented.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Segment Reporting</w:t>
      </w:r>
    </w:p>
    <w:p>
      <w:pPr>
        <w:spacing w:after="0" w:line="1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providing diagnostic testing in the clinical setting and providing services to biopharmaceutical companies.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See Note 15 — </w:t>
      </w:r>
      <w:r>
        <w:rPr>
          <w:rFonts w:ascii="Times New Roman" w:cs="Times New Roman" w:eastAsia="Times New Roman" w:hAnsi="Times New Roman"/>
          <w:sz w:val="20"/>
          <w:szCs w:val="20"/>
          <w:i w:val="1"/>
          <w:iCs w:val="1"/>
          <w:color w:val="231F20"/>
        </w:rPr>
        <w:t>Segment Reporting</w:t>
      </w:r>
      <w:r>
        <w:rPr>
          <w:rFonts w:ascii="Times New Roman" w:cs="Times New Roman" w:eastAsia="Times New Roman" w:hAnsi="Times New Roman"/>
          <w:sz w:val="20"/>
          <w:szCs w:val="20"/>
          <w:color w:val="231F20"/>
        </w:rPr>
        <w:t xml:space="preserve"> for additional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Revenue Recognition</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derive our revenue from two sources: (i) Diagnostic Tests, providing lung diagnostic testing services for healthcare providers associated with our five blood-based tests and (ii) Development Services, providing diagnostic testing services to biopharmaceutical, life sciences, and diagnostic companies.</w:t>
      </w:r>
    </w:p>
    <w:p>
      <w:pPr>
        <w:sectPr>
          <w:pgSz w:w="11880" w:h="15480" w:orient="portrait"/>
          <w:cols w:equalWidth="0" w:num="1">
            <w:col w:w="10800"/>
          </w:cols>
          <w:pgMar w:left="540" w:top="746" w:right="5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F-8</w:t>
      </w:r>
    </w:p>
    <w:p>
      <w:pPr>
        <w:sectPr>
          <w:pgSz w:w="11880" w:h="15480" w:orient="portrait"/>
          <w:cols w:equalWidth="0" w:num="1">
            <w:col w:w="10800"/>
          </w:cols>
          <w:pgMar w:left="540" w:top="746" w:right="540" w:bottom="0" w:gutter="0" w:footer="0" w:header="0"/>
          <w:type w:val="continuous"/>
        </w:sectPr>
      </w:pPr>
    </w:p>
    <w:bookmarkStart w:id="97" w:name="page98"/>
    <w:bookmarkEnd w:id="97"/>
    <w:p>
      <w:pPr>
        <w:jc w:val="both"/>
        <w:spacing w:after="0" w:line="258" w:lineRule="auto"/>
        <w:rPr>
          <w:sz w:val="20"/>
          <w:szCs w:val="20"/>
          <w:color w:val="auto"/>
        </w:rPr>
      </w:pPr>
      <w:r>
        <w:rPr>
          <w:rFonts w:ascii="Times New Roman" w:cs="Times New Roman" w:eastAsia="Times New Roman" w:hAnsi="Times New Roman"/>
          <w:sz w:val="20"/>
          <w:szCs w:val="20"/>
          <w:color w:val="231F20"/>
        </w:rPr>
        <w:t>Diagnostic Tests revenues consist of blood-based lung tests and are recognized in the amount expected to be received in exchange for diagnostic tests when the diagnostic tests are delivered. The Company determines the transaction price and amount to accrue related to its blood-based lung diagnostic test contracts using a portfolio approach by considering:</w:t>
      </w:r>
    </w:p>
    <w:p>
      <w:pPr>
        <w:spacing w:after="0" w:line="83" w:lineRule="exact"/>
        <w:rPr>
          <w:sz w:val="20"/>
          <w:szCs w:val="20"/>
          <w:color w:val="auto"/>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nature of the payer and payer coverage;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payment history;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test type;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the historical amount of time until payment by a payer;</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historical price concessions granted to groups of customers;</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whether there is a reimbursement contract between the payer and the Company;</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payment as a percentage of agreed upon rate (if applicable);</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amount paid per test; and</w:t>
      </w:r>
    </w:p>
    <w:p>
      <w:pPr>
        <w:spacing w:after="0" w:line="133" w:lineRule="exact"/>
        <w:rPr>
          <w:rFonts w:ascii="Arial" w:cs="Arial" w:eastAsia="Arial" w:hAnsi="Arial"/>
          <w:sz w:val="20"/>
          <w:szCs w:val="20"/>
          <w:color w:val="231F20"/>
        </w:rPr>
      </w:pPr>
    </w:p>
    <w:p>
      <w:pPr>
        <w:ind w:left="980" w:hanging="490"/>
        <w:spacing w:after="0"/>
        <w:tabs>
          <w:tab w:leader="none" w:pos="980" w:val="left"/>
        </w:tabs>
        <w:numPr>
          <w:ilvl w:val="0"/>
          <w:numId w:val="56"/>
        </w:numPr>
        <w:rPr>
          <w:rFonts w:ascii="Arial" w:cs="Arial" w:eastAsia="Arial" w:hAnsi="Arial"/>
          <w:sz w:val="20"/>
          <w:szCs w:val="20"/>
          <w:color w:val="231F20"/>
        </w:rPr>
      </w:pPr>
      <w:r>
        <w:rPr>
          <w:rFonts w:ascii="Times New Roman" w:cs="Times New Roman" w:eastAsia="Times New Roman" w:hAnsi="Times New Roman"/>
          <w:sz w:val="20"/>
          <w:szCs w:val="20"/>
          <w:color w:val="231F20"/>
        </w:rPr>
        <w:t>any current developments or changes that could impact reimbursement.</w:t>
      </w:r>
    </w:p>
    <w:p>
      <w:pPr>
        <w:spacing w:after="0" w:line="11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Variable consideration, if any, is estimated based on an analysis of historical experience and adjusted as better estimates become available. These estimates require significant judgment by management.</w:t>
      </w:r>
    </w:p>
    <w:p>
      <w:pPr>
        <w:spacing w:after="0" w:line="4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 xml:space="preserve">The Company also provides services to patients with whom the Company does not have contracts as defined Accounting Standards Codification (ASC) 606, </w:t>
      </w:r>
      <w:r>
        <w:rPr>
          <w:rFonts w:ascii="Times New Roman" w:cs="Times New Roman" w:eastAsia="Times New Roman" w:hAnsi="Times New Roman"/>
          <w:sz w:val="20"/>
          <w:szCs w:val="20"/>
          <w:i w:val="1"/>
          <w:iCs w:val="1"/>
          <w:color w:val="231F20"/>
        </w:rPr>
        <w:t>Revenue from contracts with customers</w:t>
      </w:r>
      <w:r>
        <w:rPr>
          <w:rFonts w:ascii="Times New Roman" w:cs="Times New Roman" w:eastAsia="Times New Roman" w:hAnsi="Times New Roman"/>
          <w:sz w:val="20"/>
          <w:szCs w:val="20"/>
          <w:color w:val="231F20"/>
        </w:rPr>
        <w:t>. The Company recognizes revenue for these patients when contracts are established at the amount of consideration to which it expects to be entitled, or when the Company receives substantially all of the consideration subsequent to satisfaction and delivery of the performance obligations.</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Development Services revenue consists of various types of tests or other scientific services for a purpose as defined by any individual customer, which are often larger biopharmaceutical companies, as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Customers for these services are typically large biopharmaceutical companies where collectability is reasonably assured and therefore revenue is accrued upon completion of the performance obligations. Revenue for these services is recognized upon delivery of the completed test results, upon completion of the contractual milestone(s), or over the term of the contract.</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Deferred revenue consists of payments received for research, development, and testing services fees received prior to the completion of performance of these tests and services.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See Note 11 — </w:t>
      </w:r>
      <w:r>
        <w:rPr>
          <w:rFonts w:ascii="Times New Roman" w:cs="Times New Roman" w:eastAsia="Times New Roman" w:hAnsi="Times New Roman"/>
          <w:sz w:val="20"/>
          <w:szCs w:val="20"/>
          <w:i w:val="1"/>
          <w:iCs w:val="1"/>
          <w:color w:val="231F20"/>
        </w:rPr>
        <w:t>Revenue and Accounts Receivable Credit Concentration</w:t>
      </w:r>
      <w:r>
        <w:rPr>
          <w:rFonts w:ascii="Times New Roman" w:cs="Times New Roman" w:eastAsia="Times New Roman" w:hAnsi="Times New Roman"/>
          <w:sz w:val="20"/>
          <w:szCs w:val="20"/>
          <w:color w:val="231F20"/>
        </w:rPr>
        <w:t xml:space="preserve"> for additional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Direct Costs and Expenses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components of our cost of diagnostic tests and testing services consist of cost of materials, direct labor, including bonuses, benefit and share-based compensation, depreciation of laboratory equipment, rent costs, amortization of leasehold improvements and information technology costs associated with acquiring and processing test samples, including sample accessioning, test performance, quality control analyses, charges to collect and transport samples; curation of test results for physicians; and in some cases, license or royalty fees due to third parties.</w:t>
      </w:r>
    </w:p>
    <w:p>
      <w:pPr>
        <w:spacing w:after="0" w:line="7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Royalties for licensed technology are calculated as a percentage of revenues generated using the associated technology and recorded as expense at the time the related revenue is recognized. One-time royalty payments related to signing of license agreements or other milestones, such as issuance of new patents, are amortized to expense over the expected useful life of the patents. Costs associated with performing tests are expensed as the test is processed regardless of whether and when revenue is recognized with respect to that test.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 xml:space="preserve">Research and Development </w:t>
      </w:r>
      <w:r>
        <w:rPr>
          <w:rFonts w:ascii="Times New Roman" w:cs="Times New Roman" w:eastAsia="Times New Roman" w:hAnsi="Times New Roman"/>
          <w:sz w:val="20"/>
          <w:szCs w:val="20"/>
          <w:b w:val="1"/>
          <w:bCs w:val="1"/>
          <w:i w:val="1"/>
          <w:iCs w:val="1"/>
          <w:color w:val="454546"/>
        </w:rPr>
        <w:t>Expenses</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Research and development expenses include external and internal costs incurred to develop our technology, collect clinical samples, and conduct clinical studies to develop and support our products. External costs consist primarily of payments to clinical trial sites, sample acquisition costs and laboratory supplies purchased in connection with the Company’s discovery and preclinical activities, process development and clinical development activities, infrastructure expenses, including allocated facility occupancy and information technology costs. Internal expenses include employee-related costs, including salaries, share-based compensation, and related benefits for employees engaged in research and development functions.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454546"/>
        </w:rPr>
        <w:t>The Company estimates and accrues its expenses resulting from its obligations under contracts with vendors and consultants in connection with conducting research and development activities. The financial terms of these contracts vary from contract to contract</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F-9</w:t>
      </w:r>
    </w:p>
    <w:p>
      <w:pPr>
        <w:sectPr>
          <w:pgSz w:w="11880" w:h="15480" w:orient="portrait"/>
          <w:cols w:equalWidth="0" w:num="1">
            <w:col w:w="10800"/>
          </w:cols>
          <w:pgMar w:left="540" w:top="750" w:right="540" w:bottom="0" w:gutter="0" w:footer="0" w:header="0"/>
        </w:sectPr>
      </w:pPr>
    </w:p>
    <w:bookmarkStart w:id="98" w:name="page99"/>
    <w:bookmarkEnd w:id="98"/>
    <w:p>
      <w:pPr>
        <w:jc w:val="both"/>
        <w:spacing w:after="0" w:line="252" w:lineRule="auto"/>
        <w:rPr>
          <w:sz w:val="20"/>
          <w:szCs w:val="20"/>
          <w:color w:val="auto"/>
        </w:rPr>
      </w:pPr>
      <w:r>
        <w:rPr>
          <w:rFonts w:ascii="Times New Roman" w:cs="Times New Roman" w:eastAsia="Times New Roman" w:hAnsi="Times New Roman"/>
          <w:sz w:val="20"/>
          <w:szCs w:val="20"/>
          <w:color w:val="454546"/>
        </w:rPr>
        <w:t>and may result in payments that do not match the periods over which materials or services are provided under such contracts. The Company’s estimates depend on the timeliness and accuracy of the data provided by consultants and vendors regarding the status of each activity. The Company periodically evaluates the estimates to determine if adjustments are necessary or appropriate based on information received. Research and development costs are expensed as incurred.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Sales, Marketing, General and Administrative Expenses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Selling expenses consist primarily of costs associated with our sales organization, including our direct sales force and sales management, client services, marketing, and reimbursement, as well as business development personnel who are focused on our biopharmaceutical customers. These expenses consist primarily of salaries, commissions, bonuses, employee benefits, travel, and share-based compensation, as well as marketing and educational activities and allocated overhead expenses.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Sales, marketing, general and administrative expenses also include costs for our marketing and sales organizations, and other functions including finance, legal, human resources, and information technology. These expenses consist principally of salaries, bonuses, employee benefits, travel, share -based compensation, as well as professional services fees such as consulting, audit, tax and legal fees, and general corporate costs and allocated overhead expenses.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Concentrations of Credit Risk and Other Uncertainties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Substantially all of the Company’s cash and cash equivalents are deposited with one major financial institution in the United States. The Company continually monitors its positions with, and the credit quality of, the financial institution with which it holds cash. Periodically throughout the year, the Company has maintained balances in various operating accounts in excess of federally insured limits. The Company has not experienced any losses on its deposits of cash and cash equivalents.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Several of the components for certain of the Company's sample collection kits, test reagents, and test systems are obtained from single-source suppliers. If these single-source suppliers fail to satisfy the Company's requirements on a timely basis, the Company could suffer delays in being able to deliver its diagnostic solutions, a possible loss of revenue, or incur higher costs, any of which could adversely affect its operating results.</w:t>
      </w:r>
    </w:p>
    <w:p>
      <w:pPr>
        <w:spacing w:after="0" w:line="7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 xml:space="preserve">For a discussion of credit risk concentration of accounts receivable as of December 31, 2025 and 2024, see Note 11 — </w:t>
      </w:r>
      <w:r>
        <w:rPr>
          <w:rFonts w:ascii="Times New Roman" w:cs="Times New Roman" w:eastAsia="Times New Roman" w:hAnsi="Times New Roman"/>
          <w:sz w:val="20"/>
          <w:szCs w:val="20"/>
          <w:i w:val="1"/>
          <w:iCs w:val="1"/>
          <w:color w:val="231F20"/>
        </w:rPr>
        <w:t>Revenue and</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Accounts Receivable Credit Concentration</w:t>
      </w:r>
      <w:r>
        <w:rPr>
          <w:rFonts w:ascii="Times New Roman" w:cs="Times New Roman" w:eastAsia="Times New Roman" w:hAnsi="Times New Roman"/>
          <w:sz w:val="20"/>
          <w:szCs w:val="20"/>
          <w:color w:val="231F20"/>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Cash and Cash Equivalents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Cash equivalents consist of short-term, highly-liquid instruments with an original maturity of three months or less from the date of purchase.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Restricted Cash</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Restricted cash consists of deposits related to the Company’s corporate credit card. As of December 31, 2025 and 2024, the Company had $0.1 million restricted cash, respectively, which was included in ‘Other current assets’ in the accompanying balance sheets.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Accounts Receivable and Allowance for Doubtful Accounts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Accounts receivable are stated at the amount management expects to collect from customers based on their outstanding invoices. Management reviews accounts receivable quarterly to determine if any receivable will potentially be uncollectible and to estimate the amount of allowance for credit losses necessary to reduce accounts receivable to its estimated net realizable value based on historical experience, customer creditworthiness, facts, and circumstances specific to outstanding balances, and payment terms.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Inventory</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Inventory consists primarily of material supplies, which are consumed in the performance of testing services and charged to ‘Direct costs and expenses.’ Inventory is stated at cost and reported within ‘Other current assets’ in the balance sheet and was $1.3 million and $1.0 million for the years ended December 31, 2025 and 2024, respectively. The Company recorded an insignificant amount as reserve for excess inventory for both the years ended December 31, 2025 and 2024. During both the years ended December 31, 2025 and 2024, the Company recorded an insignificant amount to the statement of operations for excess and obsolete inventory.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Property and Equipment</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Property and equipment are stated at cost less accumulated depreciation. Depreciation is computed using the straight-line method over the estimated useful lives of the assets, generally between three and five years. Leasehold improvements are amortized using the straight-line method over the shorter of the estimated useful life of the asset or the term of the lease. Maintenance and repairs are charged to expense as incurred, and improvements and betterments are capitalized. When assets are retired or otherwise disposed of, the cost and accumulated depreciation are removed from the balance sheet and any resulting gain or loss is reflected in the statements of operations in the period realized.</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Long-lived assets to be held and used are evaluated for impairment when events or circumstances indicate the carrying value of a long-lived asset or asset group is less than the undiscounted cash flows from the use and eventual disposition over its remaining useful</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F-10</w:t>
      </w:r>
    </w:p>
    <w:p>
      <w:pPr>
        <w:sectPr>
          <w:pgSz w:w="11880" w:h="15480" w:orient="portrait"/>
          <w:cols w:equalWidth="0" w:num="1">
            <w:col w:w="10800"/>
          </w:cols>
          <w:pgMar w:left="540" w:top="750" w:right="540" w:bottom="0" w:gutter="0" w:footer="0" w:header="0"/>
        </w:sectPr>
      </w:pPr>
    </w:p>
    <w:bookmarkStart w:id="99" w:name="page100"/>
    <w:bookmarkEnd w:id="99"/>
    <w:p>
      <w:pPr>
        <w:jc w:val="both"/>
        <w:spacing w:after="0" w:line="258" w:lineRule="auto"/>
        <w:rPr>
          <w:sz w:val="20"/>
          <w:szCs w:val="20"/>
          <w:color w:val="auto"/>
        </w:rPr>
      </w:pPr>
      <w:r>
        <w:rPr>
          <w:rFonts w:ascii="Times New Roman" w:cs="Times New Roman" w:eastAsia="Times New Roman" w:hAnsi="Times New Roman"/>
          <w:sz w:val="20"/>
          <w:szCs w:val="20"/>
          <w:color w:val="231F20"/>
        </w:rPr>
        <w:t>life. The Company assesses recoverability by comparing the sum or projected undiscounted cash flows from the use and eventual disposition of the asset or asset group to its carrying value, and records an impairment loss if the carrying value is greater than the undiscounted future cash flows. There were no impairments for the years ended December 31,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Intangible Assets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Intangible assets primarily consist of intangible assets acquired as part of business combinations, external costs associated with patent applications that are probable of future economic benefits, and trademark costs. Finite-lived intangibles are stated at cost, net of accumulated amortization. The Company amortizes finite-lived intangible assets using the straight-line method over their estimated useful lives of 10 years, based on management's estimate of the period over which their economic benefits will be realized, product life and patent life. Trademarks are considered indefinite lived and are not amortized.</w:t>
      </w:r>
    </w:p>
    <w:p>
      <w:pPr>
        <w:spacing w:after="0" w:line="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Intangible assets are reviewed for impairment whenever events or changes in circumstances indicate a reduction to fair value below their carrying amounts. The Company recorded $ 0.1 million and $0.2 million for impairments during the years ended December 31, 2025 and 2024, respectively, related to patents the Company is no longer pursuing.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Goodwill</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Goodwill represents the excess of purchase price over amounts allocated to acquired assets and liabilities assumed in business combinations. The carrying value of goodwill is evaluated for impairment at least annually or more frequently when events or circumstances occur indicate a potential for impairment. The annual impairment test is performed on the last day of our fourth quarter. Prior to performing a quantitative evaluation, an assessment of qualitative factors may be performed to determine whether it is more likely than not that the fair value of the reporting unit exceeds its carrying value. In the event the Company determines that it is more likely than not the carrying value of our single reporting unit is higher than its estimated fair value, quantitative testing is performed comparing recorded values to estimated fair values. If impairment is present, the impairment loss is measured as the excess of the recorded goodwill over its implied fair value. Through December 31, 2025, there were no accumulated impairment losses.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Leases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Company acts as a lessee under all its lease agreements and holds various real estate leases for its headquarters and laboratory facilities in Colorado and Kansas and other various copier leases.</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Management determines if an arrangement is a lease at inception or upon modification of a contract. The Company capitalizes only those leases with an initial term of twelve months or more. Leases are classified as either financing or operating, with classification affecting the pattern of expense recognition in the statements of operations. When determining whether a lease is a finance lease or an operating lease, ASC 842 does not specifically define criteria to determine the “major part of remaining economic life of the underlying asset” and “substantially all of the fair value of the underlying asset.” For lease classification determination, Management continues to use (i) 75% or greater to determine whether the lease term is a major part of the remaining economic life of the underlying asset and (ii) 90% or greater to determine whether the present value of the sum of lease payments is substantially all of the fair value of the underlying asset.</w:t>
      </w:r>
    </w:p>
    <w:p>
      <w:pPr>
        <w:spacing w:after="0" w:line="8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ROU assets represent the Company's right to use an underlying asset for the lease term. Lease liabilities represent the Company's obligation to make lease payments under the lease. Operating lease ROU assets and liabilities are recognized at the lease commencement date based on the present value of lease payments over the lease term. In determining the present value of lease payments, the Company uses either the rate implicit in the lease or its incremental borrowing rate, as applicable, based on the information available at lease commencement date. The Company applies the estimated incremental borrowing rates on a lease-by-lease level based on the economic environment associated with the lease. The operating lease ROU asset also includes any lease prepayments, net of lease incentives. We account for lease and non-lease components (such as common area maintenance, utilities, insurance and taxes) as a single lease component for all classes of underlying assets. Certain of the Company's leases include options to extend or terminate the lease. As leases approach maturity, the Company considers various factors such as market conditions and the terms of any renewal and termination options that may exist to determine whether we will renew or terminate the lease, as such, we generally do not include renewal or termination options in our lease terms for calculating our lease liability, as the options allow us to maintain operational flexibility and we are not reasonably certain we will exercise these options at the time of the lease commencement. The Company's lease agreements do not contain any material residual value guarantees or restrictive covenants. Lease expense for lease payments of operating leases is recognized on a straight-line basis over the term of the lease. The Company uses the long-lived assets impairment guidance to determine recognition and measurement of an ROU asset impairment, if any. The Company monitors for events or changes in circumstances that require a reassessment.</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 xml:space="preserve">The Company has a $5.0 million cash refundable deposit to secure the performance of the Company’s obligations associated with the operating lease agreement with Centennial Valley Properties I, LLC (see Note 9 –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 As of December 31, 2025 and 2024, the $5.0 million refundable deposit is reported within 'Other long-term assets' in the balance sheets.</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F-11</w:t>
      </w:r>
    </w:p>
    <w:p>
      <w:pPr>
        <w:sectPr>
          <w:pgSz w:w="11880" w:h="15480" w:orient="portrait"/>
          <w:cols w:equalWidth="0" w:num="1">
            <w:col w:w="10800"/>
          </w:cols>
          <w:pgMar w:left="540" w:top="750" w:right="540" w:bottom="6" w:gutter="0" w:footer="0" w:header="0"/>
          <w:type w:val="continuous"/>
        </w:sectPr>
      </w:pPr>
    </w:p>
    <w:bookmarkStart w:id="100" w:name="page101"/>
    <w:bookmarkEnd w:id="100"/>
    <w:p>
      <w:pPr>
        <w:jc w:val="both"/>
        <w:spacing w:after="0" w:line="258" w:lineRule="auto"/>
        <w:rPr>
          <w:sz w:val="20"/>
          <w:szCs w:val="20"/>
          <w:color w:val="auto"/>
        </w:rPr>
      </w:pPr>
      <w:r>
        <w:rPr>
          <w:rFonts w:ascii="Times New Roman" w:cs="Times New Roman" w:eastAsia="Times New Roman" w:hAnsi="Times New Roman"/>
          <w:sz w:val="20"/>
          <w:szCs w:val="20"/>
          <w:color w:val="231F20"/>
        </w:rPr>
        <w:t>The Company holds and acts as a lessee under various finance lease agreements for laboratory equipment in Colorado and Kansas. As of December 31, 2025 and 2024, the Company had $3.0 million and $2.2 million recorded as net finance lease ROU assets within 'Other long-term assets' in the balance sheets.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Additional information and disclosures required by this standard are contained in Note 9 — </w:t>
      </w:r>
      <w:r>
        <w:rPr>
          <w:rFonts w:ascii="Times New Roman" w:cs="Times New Roman" w:eastAsia="Times New Roman" w:hAnsi="Times New Roman"/>
          <w:sz w:val="20"/>
          <w:szCs w:val="20"/>
          <w:i w:val="1"/>
          <w:iCs w:val="1"/>
          <w:color w:val="231F20"/>
        </w:rPr>
        <w:t>Leases</w:t>
      </w:r>
      <w:r>
        <w:rPr>
          <w:rFonts w:ascii="Times New Roman" w:cs="Times New Roman" w:eastAsia="Times New Roman" w:hAnsi="Times New Roman"/>
          <w:sz w:val="20"/>
          <w:szCs w:val="20"/>
          <w:color w:val="231F20"/>
        </w:rPr>
        <w: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of Financial Instruments</w:t>
      </w:r>
    </w:p>
    <w:p>
      <w:pPr>
        <w:spacing w:after="0" w:line="11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U.S. GAAP for fair value establishes a hierarchy that prioritizes fair value measurements based on the types of inputs used for the various valuation techniques (market approach, income approach, and cost approach). We utilize a combination of market and income approaches to value our financial instruments. Our financial assets and liabilities are measured using inputs from the three levels of the fair value hierarchy. Fair value measurements are categorized within the fair value hierarchy based upon the lowest level of the most significant inputs used to determine fair value.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three levels of the hierarchy and the related inputs are as follows:</w:t>
      </w:r>
    </w:p>
    <w:p>
      <w:pPr>
        <w:spacing w:after="0" w:line="131" w:lineRule="exact"/>
        <w:rPr>
          <w:sz w:val="20"/>
          <w:szCs w:val="20"/>
          <w:color w:val="auto"/>
        </w:rPr>
      </w:pPr>
    </w:p>
    <w:p>
      <w:pPr>
        <w:ind w:left="400"/>
        <w:spacing w:after="0"/>
        <w:tabs>
          <w:tab w:leader="none" w:pos="5840" w:val="left"/>
        </w:tabs>
        <w:rPr>
          <w:sz w:val="20"/>
          <w:szCs w:val="20"/>
          <w:color w:val="auto"/>
        </w:rPr>
      </w:pPr>
      <w:r>
        <w:rPr>
          <w:rFonts w:ascii="Times New Roman" w:cs="Times New Roman" w:eastAsia="Times New Roman" w:hAnsi="Times New Roman"/>
          <w:sz w:val="20"/>
          <w:szCs w:val="20"/>
          <w:b w:val="1"/>
          <w:bCs w:val="1"/>
          <w:color w:val="231F20"/>
        </w:rPr>
        <w:t>Level</w:t>
      </w:r>
      <w:r>
        <w:rPr>
          <w:sz w:val="20"/>
          <w:szCs w:val="20"/>
          <w:color w:val="auto"/>
        </w:rPr>
        <w:tab/>
      </w:r>
      <w:r>
        <w:rPr>
          <w:rFonts w:ascii="Times New Roman" w:cs="Times New Roman" w:eastAsia="Times New Roman" w:hAnsi="Times New Roman"/>
          <w:sz w:val="20"/>
          <w:szCs w:val="20"/>
          <w:b w:val="1"/>
          <w:bCs w:val="1"/>
          <w:color w:val="231F20"/>
        </w:rPr>
        <w:t>Inputs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18415</wp:posOffset>
                </wp:positionV>
                <wp:extent cx="6858000" cy="155575"/>
                <wp:wrapNone/>
                <wp:docPr id="65" name="Shape 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5575"/>
                        </a:xfrm>
                        <a:prstGeom prst="rect">
                          <a:avLst/>
                        </a:prstGeom>
                        <a:solidFill>
                          <a:srgbClr val="E5E6E7"/>
                        </a:solidFill>
                      </wps:spPr>
                      <wps:bodyPr/>
                    </wps:wsp>
                  </a:graphicData>
                </a:graphic>
              </wp:anchor>
            </w:drawing>
          </mc:Choice>
          <mc:Fallback>
            <w:pict>
              <v:rect id="Shape 65" o:spid="_x0000_s1090" style="position:absolute;margin-left:0pt;margin-top:1.45pt;width:540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16510</wp:posOffset>
                </wp:positionV>
                <wp:extent cx="810260" cy="0"/>
                <wp:wrapNone/>
                <wp:docPr id="66" name="Shape 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260"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66" o:spid="_x0000_s10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1.3pt" to="63.8pt,1.3pt" o:allowincell="f" strokecolor="#231F20" strokeweight="0.25pt"/>
            </w:pict>
          </mc:Fallback>
        </mc:AlternateContent>
        <mc:AlternateContent>
          <mc:Choice Requires="wps">
            <w:drawing>
              <wp:anchor simplePos="0" relativeHeight="251657728" behindDoc="1" locked="0" layoutInCell="0" allowOverlap="1">
                <wp:simplePos x="0" y="0"/>
                <wp:positionH relativeFrom="column">
                  <wp:posOffset>810260</wp:posOffset>
                </wp:positionH>
                <wp:positionV relativeFrom="paragraph">
                  <wp:posOffset>16510</wp:posOffset>
                </wp:positionV>
                <wp:extent cx="142875" cy="0"/>
                <wp:wrapNone/>
                <wp:docPr id="67" name="Shape 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2875" cy="4763"/>
                        </a:xfrm>
                        <a:prstGeom prst="line">
                          <a:avLst/>
                        </a:prstGeom>
                        <a:solidFill>
                          <a:srgbClr val="FFFFFF"/>
                        </a:solidFill>
                        <a:ln w="3175">
                          <a:solidFill>
                            <a:srgbClr val="FFFFFF"/>
                          </a:solidFill>
                          <a:miter lim="800000"/>
                          <a:headEnd/>
                          <a:tailEnd/>
                        </a:ln>
                      </wps:spPr>
                      <wps:bodyPr/>
                    </wps:wsp>
                  </a:graphicData>
                </a:graphic>
              </wp:anchor>
            </w:drawing>
          </mc:Choice>
          <mc:Fallback>
            <w:pict>
              <v:line id="Shape 67" o:spid="_x0000_s10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3.8pt,1.3pt" to="75.05pt,1.3pt" o:allowincell="f" strokecolor="#FFFFFF" strokeweight="0.25pt"/>
            </w:pict>
          </mc:Fallback>
        </mc:AlternateContent>
        <mc:AlternateContent>
          <mc:Choice Requires="wps">
            <w:drawing>
              <wp:anchor simplePos="0" relativeHeight="251657728" behindDoc="1" locked="0" layoutInCell="0" allowOverlap="1">
                <wp:simplePos x="0" y="0"/>
                <wp:positionH relativeFrom="column">
                  <wp:posOffset>953135</wp:posOffset>
                </wp:positionH>
                <wp:positionV relativeFrom="paragraph">
                  <wp:posOffset>16510</wp:posOffset>
                </wp:positionV>
                <wp:extent cx="5904865" cy="0"/>
                <wp:wrapNone/>
                <wp:docPr id="68" name="Shape 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904865" cy="4763"/>
                        </a:xfrm>
                        <a:prstGeom prst="line">
                          <a:avLst/>
                        </a:prstGeom>
                        <a:solidFill>
                          <a:srgbClr val="FFFFFF"/>
                        </a:solidFill>
                        <a:ln w="3175">
                          <a:solidFill>
                            <a:srgbClr val="231F20"/>
                          </a:solidFill>
                          <a:miter lim="800000"/>
                          <a:headEnd/>
                          <a:tailEnd/>
                        </a:ln>
                      </wps:spPr>
                      <wps:bodyPr/>
                    </wps:wsp>
                  </a:graphicData>
                </a:graphic>
              </wp:anchor>
            </w:drawing>
          </mc:Choice>
          <mc:Fallback>
            <w:pict>
              <v:line id="Shape 68" o:spid="_x0000_s10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05pt,1.3pt" to="540pt,1.3pt" o:allowincell="f" strokecolor="#231F20" strokeweight="0.25pt"/>
            </w:pict>
          </mc:Fallback>
        </mc:AlternateContent>
      </w:r>
    </w:p>
    <w:p>
      <w:pPr>
        <w:spacing w:after="0" w:line="24" w:lineRule="exact"/>
        <w:rPr>
          <w:sz w:val="20"/>
          <w:szCs w:val="20"/>
          <w:color w:val="auto"/>
        </w:rPr>
      </w:pPr>
    </w:p>
    <w:p>
      <w:pPr>
        <w:ind w:left="1500" w:hanging="919"/>
        <w:spacing w:after="0"/>
        <w:tabs>
          <w:tab w:leader="none" w:pos="1500" w:val="left"/>
        </w:tabs>
        <w:numPr>
          <w:ilvl w:val="0"/>
          <w:numId w:val="57"/>
        </w:numPr>
        <w:rPr>
          <w:rFonts w:ascii="Times New Roman" w:cs="Times New Roman" w:eastAsia="Times New Roman" w:hAnsi="Times New Roman"/>
          <w:sz w:val="20"/>
          <w:szCs w:val="20"/>
          <w:color w:val="414142"/>
        </w:rPr>
      </w:pPr>
      <w:r>
        <w:rPr>
          <w:rFonts w:ascii="Times New Roman" w:cs="Times New Roman" w:eastAsia="Times New Roman" w:hAnsi="Times New Roman"/>
          <w:sz w:val="20"/>
          <w:szCs w:val="20"/>
          <w:color w:val="414142"/>
        </w:rPr>
        <w:t>Unadjusted quoted prices in active markets for identical assets and liabilities.</w:t>
      </w:r>
    </w:p>
    <w:p>
      <w:pPr>
        <w:spacing w:after="0" w:line="16" w:lineRule="exact"/>
        <w:rPr>
          <w:rFonts w:ascii="Times New Roman" w:cs="Times New Roman" w:eastAsia="Times New Roman" w:hAnsi="Times New Roman"/>
          <w:sz w:val="20"/>
          <w:szCs w:val="20"/>
          <w:color w:val="414142"/>
        </w:rPr>
      </w:pPr>
    </w:p>
    <w:p>
      <w:pPr>
        <w:ind w:left="1500" w:hanging="919"/>
        <w:spacing w:after="0"/>
        <w:tabs>
          <w:tab w:leader="none" w:pos="1500" w:val="left"/>
        </w:tabs>
        <w:numPr>
          <w:ilvl w:val="0"/>
          <w:numId w:val="57"/>
        </w:numPr>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231F20"/>
        </w:rPr>
        <w:t>Unadjusted quoted prices in active markets for similar assets and liabilities;</w:t>
      </w:r>
    </w:p>
    <w:p>
      <w:pPr>
        <w:spacing w:after="0" w:line="15" w:lineRule="exact"/>
        <w:rPr>
          <w:rFonts w:ascii="Times New Roman" w:cs="Times New Roman" w:eastAsia="Times New Roman" w:hAnsi="Times New Roman"/>
          <w:sz w:val="20"/>
          <w:szCs w:val="20"/>
          <w:color w:val="231F20"/>
        </w:rPr>
      </w:pPr>
    </w:p>
    <w:p>
      <w:pPr>
        <w:ind w:left="1500" w:right="1260"/>
        <w:spacing w:after="0" w:line="255" w:lineRule="auto"/>
        <w:rPr>
          <w:rFonts w:ascii="Times New Roman" w:cs="Times New Roman" w:eastAsia="Times New Roman" w:hAnsi="Times New Roman"/>
          <w:sz w:val="20"/>
          <w:szCs w:val="20"/>
          <w:color w:val="231F20"/>
        </w:rPr>
      </w:pPr>
      <w:r>
        <w:rPr>
          <w:rFonts w:ascii="Times New Roman" w:cs="Times New Roman" w:eastAsia="Times New Roman" w:hAnsi="Times New Roman"/>
          <w:sz w:val="20"/>
          <w:szCs w:val="20"/>
          <w:color w:val="414142"/>
        </w:rPr>
        <w:t xml:space="preserve">Unadjusted quoted prices for identical or similar assets or liabilities in markets that are not active; or </w:t>
      </w:r>
      <w:r>
        <w:rPr>
          <w:rFonts w:ascii="Times New Roman" w:cs="Times New Roman" w:eastAsia="Times New Roman" w:hAnsi="Times New Roman"/>
          <w:sz w:val="20"/>
          <w:szCs w:val="20"/>
          <w:color w:val="231F20"/>
        </w:rPr>
        <w:t>Inputs other than quoted prices that are observable for the asset or liability.</w:t>
      </w:r>
    </w:p>
    <w:p>
      <w:pPr>
        <w:spacing w:after="0" w:line="1" w:lineRule="exact"/>
        <w:rPr>
          <w:rFonts w:ascii="Times New Roman" w:cs="Times New Roman" w:eastAsia="Times New Roman" w:hAnsi="Times New Roman"/>
          <w:sz w:val="20"/>
          <w:szCs w:val="20"/>
          <w:color w:val="231F20"/>
        </w:rPr>
      </w:pPr>
    </w:p>
    <w:p>
      <w:pPr>
        <w:ind w:left="1500" w:hanging="919"/>
        <w:spacing w:after="0"/>
        <w:tabs>
          <w:tab w:leader="none" w:pos="1500" w:val="left"/>
        </w:tabs>
        <w:numPr>
          <w:ilvl w:val="0"/>
          <w:numId w:val="57"/>
        </w:numPr>
        <w:rPr>
          <w:rFonts w:ascii="Times New Roman" w:cs="Times New Roman" w:eastAsia="Times New Roman" w:hAnsi="Times New Roman"/>
          <w:sz w:val="20"/>
          <w:szCs w:val="20"/>
          <w:color w:val="414142"/>
        </w:rPr>
      </w:pPr>
      <w:r>
        <w:rPr>
          <w:rFonts w:ascii="Times New Roman" w:cs="Times New Roman" w:eastAsia="Times New Roman" w:hAnsi="Times New Roman"/>
          <w:sz w:val="20"/>
          <w:szCs w:val="20"/>
          <w:color w:val="414142"/>
        </w:rPr>
        <w:t>Unobservable inputs for the asset or liability.</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-467360</wp:posOffset>
                </wp:positionV>
                <wp:extent cx="6858000" cy="155575"/>
                <wp:wrapNone/>
                <wp:docPr id="69" name="Shape 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5575"/>
                        </a:xfrm>
                        <a:prstGeom prst="rect">
                          <a:avLst/>
                        </a:prstGeom>
                        <a:solidFill>
                          <a:srgbClr val="E5E6E7"/>
                        </a:solidFill>
                      </wps:spPr>
                      <wps:bodyPr/>
                    </wps:wsp>
                  </a:graphicData>
                </a:graphic>
              </wp:anchor>
            </w:drawing>
          </mc:Choice>
          <mc:Fallback>
            <w:pict>
              <v:rect id="Shape 69" o:spid="_x0000_s1094" style="position:absolute;margin-left:0pt;margin-top:-36.7999pt;width:540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0</wp:posOffset>
                </wp:positionH>
                <wp:positionV relativeFrom="paragraph">
                  <wp:posOffset>-156210</wp:posOffset>
                </wp:positionV>
                <wp:extent cx="6858000" cy="155575"/>
                <wp:wrapNone/>
                <wp:docPr id="70" name="Shape 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58000" cy="155575"/>
                        </a:xfrm>
                        <a:prstGeom prst="rect">
                          <a:avLst/>
                        </a:prstGeom>
                        <a:solidFill>
                          <a:srgbClr val="E5E6E7"/>
                        </a:solidFill>
                      </wps:spPr>
                      <wps:bodyPr/>
                    </wps:wsp>
                  </a:graphicData>
                </a:graphic>
              </wp:anchor>
            </w:drawing>
          </mc:Choice>
          <mc:Fallback>
            <w:pict>
              <v:rect id="Shape 70" o:spid="_x0000_s1095" style="position:absolute;margin-left:0pt;margin-top:-12.2999pt;width:540pt;height:12.2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carrying amounts of certain financial instruments including cash and cash equivalents, accounts receivable, prepaid expenses and other current assets, other long-term assets, accounts payable and accrued liabilities approximate fair value due to their relatively short maturities.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See Note 4 — </w:t>
      </w:r>
      <w:r>
        <w:rPr>
          <w:rFonts w:ascii="Times New Roman" w:cs="Times New Roman" w:eastAsia="Times New Roman" w:hAnsi="Times New Roman"/>
          <w:sz w:val="20"/>
          <w:szCs w:val="20"/>
          <w:i w:val="1"/>
          <w:iCs w:val="1"/>
          <w:color w:val="231F20"/>
        </w:rPr>
        <w:t>Fair Value</w:t>
      </w:r>
      <w:r>
        <w:rPr>
          <w:rFonts w:ascii="Times New Roman" w:cs="Times New Roman" w:eastAsia="Times New Roman" w:hAnsi="Times New Roman"/>
          <w:sz w:val="20"/>
          <w:szCs w:val="20"/>
          <w:color w:val="231F20"/>
        </w:rPr>
        <w:t xml:space="preserve"> for further discussion related to estimated fair value measurements.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Retirement Plan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has a defined contribution retirement plan in which all employees are eligible to participate. The plan is intended to qualify under Section 401(k) of the Internal Revenue Code. Employees may elect to have a percentage of their compensation contributed to the plan, subject to certain guidelines issued by the Internal Revenue Service. Beginning in 2025, the Company began making discretionary employer matching contributions. During the year ended December 31, 2025, the Company's total contributions to the plan were $0.7 million.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Contingent Consideration</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fair value of contingent consideration was assessed at each balance sheet date and changes, if any, to the fair value were recorded as ‘Interest expense’ in the statements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Warrant Liability</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fair value of warrant liabilities was assessed at each balance sheet date and changes, if any, to the fair value were recorded as 'Change in fair value of warrant liability, net' in the statements of operations.</w:t>
      </w:r>
    </w:p>
    <w:p>
      <w:pPr>
        <w:spacing w:after="0" w:line="64"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i w:val="1"/>
          <w:iCs w:val="1"/>
          <w:color w:val="231F20"/>
        </w:rPr>
        <w:t>Share</w:t>
      </w:r>
      <w:r>
        <w:rPr>
          <w:rFonts w:ascii="MS Gothic" w:cs="MS Gothic" w:eastAsia="MS Gothic" w:hAnsi="MS Gothic"/>
          <w:sz w:val="20"/>
          <w:szCs w:val="20"/>
          <w:b w:val="1"/>
          <w:bCs w:val="1"/>
          <w:i w:val="1"/>
          <w:iCs w:val="1"/>
          <w:color w:val="231F20"/>
        </w:rPr>
        <w:t>̻</w:t>
      </w:r>
      <w:r>
        <w:rPr>
          <w:rFonts w:ascii="Times New Roman" w:cs="Times New Roman" w:eastAsia="Times New Roman" w:hAnsi="Times New Roman"/>
          <w:sz w:val="20"/>
          <w:szCs w:val="20"/>
          <w:b w:val="1"/>
          <w:bCs w:val="1"/>
          <w:i w:val="1"/>
          <w:iCs w:val="1"/>
          <w:color w:val="231F20"/>
        </w:rPr>
        <w:t>Based Compensation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 Options</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The Company grants service condition and performance condition stock options. Stock options are granted with exercise prices equal to the fair market value of our common stock on the date of grant. The grant date fair value of each employee stock option is estimated on the date of grant using the Black-Scholes option-pricing model, which requires the use of assumptions, including the expected term of the option, expected volatility of our stock price, expected dividend yield, and the risk-free interest rate, among others. We estimate forfeitures and adjust these estimates to actual forfeitures as they occur. These assumptions involve inherent uncertainties including market conditions and employee behavior that are generally outside of the Company’s control. Service condition stock options are expensed based on the grant date fair value of the awards using the straight-line method over the requisite service period. Performance-condition stock options, if granted, vest based on achievement of multiple weighted performance goals, certification of performance achievement by the Compensation Committee of the Board of Directors, and continued service. For performance-condition stock options, compensation expense is updated for our expected performance level against performance goals at the end of each reporting period, which involves judgment as to achievement of certain performance metrics.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Restricted Stock Units (RSUs)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Company grants service-condition RSUs. The grant date fair values of these RSUs are based on the closing market price of our common stock on the grant date. We estimate forfeitures and adjust these estimates to actual forfeitures as they occur. The service-</w:t>
      </w:r>
    </w:p>
    <w:p>
      <w:pPr>
        <w:sectPr>
          <w:pgSz w:w="11880" w:h="15480" w:orient="portrait"/>
          <w:cols w:equalWidth="0" w:num="1">
            <w:col w:w="10800"/>
          </w:cols>
          <w:pgMar w:left="540" w:top="750" w:right="540" w:bottom="6"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F-12</w:t>
      </w:r>
    </w:p>
    <w:p>
      <w:pPr>
        <w:sectPr>
          <w:pgSz w:w="11880" w:h="15480" w:orient="portrait"/>
          <w:cols w:equalWidth="0" w:num="1">
            <w:col w:w="10800"/>
          </w:cols>
          <w:pgMar w:left="540" w:top="750" w:right="540" w:bottom="6" w:gutter="0" w:footer="0" w:header="0"/>
          <w:type w:val="continuous"/>
        </w:sectPr>
      </w:pPr>
    </w:p>
    <w:bookmarkStart w:id="101" w:name="page102"/>
    <w:bookmarkEnd w:id="101"/>
    <w:p>
      <w:pPr>
        <w:jc w:val="both"/>
        <w:spacing w:after="0" w:line="277" w:lineRule="auto"/>
        <w:rPr>
          <w:sz w:val="20"/>
          <w:szCs w:val="20"/>
          <w:color w:val="auto"/>
        </w:rPr>
      </w:pPr>
      <w:r>
        <w:rPr>
          <w:rFonts w:ascii="Times New Roman" w:cs="Times New Roman" w:eastAsia="Times New Roman" w:hAnsi="Times New Roman"/>
          <w:sz w:val="20"/>
          <w:szCs w:val="20"/>
          <w:color w:val="231F20"/>
        </w:rPr>
        <w:t>condition RSUs vest based on continued service with compensation expense recognized on a straight-line basis over the requisite service period.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See Note 12 — </w:t>
      </w:r>
      <w:r>
        <w:rPr>
          <w:rFonts w:ascii="Times New Roman" w:cs="Times New Roman" w:eastAsia="Times New Roman" w:hAnsi="Times New Roman"/>
          <w:sz w:val="20"/>
          <w:szCs w:val="20"/>
          <w:i w:val="1"/>
          <w:iCs w:val="1"/>
          <w:color w:val="231F20"/>
        </w:rPr>
        <w:t>Share-Based Compensation</w:t>
      </w:r>
      <w:r>
        <w:rPr>
          <w:rFonts w:ascii="Times New Roman" w:cs="Times New Roman" w:eastAsia="Times New Roman" w:hAnsi="Times New Roman"/>
          <w:sz w:val="20"/>
          <w:szCs w:val="20"/>
          <w:color w:val="231F20"/>
        </w:rPr>
        <w:t xml:space="preserve"> for additional information related to share-based compensation.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Income Taxes</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 xml:space="preserve">The Company accounts for income taxes in accordance with ASC 740,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under which deferred income taxes are recognized based on the estimated future tax effects of differences between the financial statement and tax bases of assets and liabilities given the provisions of enacted tax laws. Deferred income tax provisions and benefits are based on changes to the assets or liabilities from year to year. In providing for deferred taxes, the Company considers tax regulations of the jurisdictions in which the Company operates, estimates of future taxable income, and available tax planning strategies. If tax regulations, operating results, or the ability to implement tax-planning strategies vary, adjustments to the carrying value of deferred tax assets and liabilities may be required. A valuation allowance is recorded when it is more likely than not that a deferred tax asset will not be realized. The recorded valuation allowance is based on significant estimates and judgments and if the facts and circumstances change, the valuation allowance could materially change. In accounting for uncertainty in income taxes, the Company recognizes the financial statement benefit of a tax position only after determining that the relevant tax authority would more likely than not sustain the position following an audit. For tax positions meeting the more likely than not threshold, the amount recognized in the financial statements is the largest benefit that has a greater than 50% likelihood of being realized upon ultimate settlement with the relevant tax authority. The Company recognizes interest and penalties accrued on any unrecognized tax benefits as a component of income tax expense.</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See Note 14 —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xml:space="preserve"> for additional information related to income taxes.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Net Loss per Common Share</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Basic net loss per common share is calculated by dividing net loss by the weighted-average number of common shares outstanding during the period, without consideration of common stock equivalents. Diluted net loss per common share is computed by dividing net loss by the weighted-average number of common share equivalents outstanding for the period, if dilutive, using the treasury stock method. Potentially dilutive securities consisting of options to purchase common stock, warrants to purchase common stock, RSUs and shares subject to purchase under our employee stock purchase plan were excluded from the calculation of diluted net loss per common share because their effect would be anti-dilutive for all periods presented.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3 – Recent Issued Accounting Standards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Recently adopted accounting standards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 xml:space="preserve">In December 2023, the FASB issued ASU 2023-09, </w:t>
      </w:r>
      <w:r>
        <w:rPr>
          <w:rFonts w:ascii="Times New Roman" w:cs="Times New Roman" w:eastAsia="Times New Roman" w:hAnsi="Times New Roman"/>
          <w:sz w:val="20"/>
          <w:szCs w:val="20"/>
          <w:i w:val="1"/>
          <w:iCs w:val="1"/>
          <w:color w:val="231F20"/>
        </w:rPr>
        <w:t>Income Taxes (Topic 740): Improvements to Income Tax Disclosures</w:t>
      </w:r>
      <w:r>
        <w:rPr>
          <w:rFonts w:ascii="Times New Roman" w:cs="Times New Roman" w:eastAsia="Times New Roman" w:hAnsi="Times New Roman"/>
          <w:sz w:val="20"/>
          <w:szCs w:val="20"/>
          <w:color w:val="231F20"/>
        </w:rPr>
        <w:t>. This ASU improves the transparency of income tax disclosures by requiring consistent categories and greater disaggregation of information in the rate reconciliation and income taxes paid by jurisdiction. This guidance became effective for the Company for the annual period beginning on January 1, 2025, and will be effective for interim periods beginning on January 1, 2026. The Company has adopted ASU 2023-09 for the year ended December 31, 2025, and applied the new disclosure requirements retrospectively to the prior period.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 xml:space="preserve">See Note 14 — </w:t>
      </w:r>
      <w:r>
        <w:rPr>
          <w:rFonts w:ascii="Times New Roman" w:cs="Times New Roman" w:eastAsia="Times New Roman" w:hAnsi="Times New Roman"/>
          <w:sz w:val="20"/>
          <w:szCs w:val="20"/>
          <w:i w:val="1"/>
          <w:iCs w:val="1"/>
          <w:color w:val="231F20"/>
        </w:rPr>
        <w:t>Income Taxes</w:t>
      </w:r>
      <w:r>
        <w:rPr>
          <w:rFonts w:ascii="Times New Roman" w:cs="Times New Roman" w:eastAsia="Times New Roman" w:hAnsi="Times New Roman"/>
          <w:sz w:val="20"/>
          <w:szCs w:val="20"/>
          <w:color w:val="231F20"/>
        </w:rPr>
        <w:t xml:space="preserve"> for additional information.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Standards being evaluated</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 xml:space="preserve">In November 2024, the FASB issued ASU 2024-03, </w:t>
      </w:r>
      <w:r>
        <w:rPr>
          <w:rFonts w:ascii="Times New Roman" w:cs="Times New Roman" w:eastAsia="Times New Roman" w:hAnsi="Times New Roman"/>
          <w:sz w:val="20"/>
          <w:szCs w:val="20"/>
          <w:i w:val="1"/>
          <w:iCs w:val="1"/>
          <w:color w:val="231F20"/>
        </w:rPr>
        <w:t>Disaggregation of Income Statement Expenses</w:t>
      </w:r>
      <w:r>
        <w:rPr>
          <w:rFonts w:ascii="Times New Roman" w:cs="Times New Roman" w:eastAsia="Times New Roman" w:hAnsi="Times New Roman"/>
          <w:sz w:val="20"/>
          <w:szCs w:val="20"/>
          <w:color w:val="231F20"/>
        </w:rPr>
        <w:t>. This ASU improves the transparency of a public business entity's expense disclosures by requiring more detailed information about the types of expenses (including purchases of inventory, employee compensation, depreciation, amortization, and depletion) in commonly presented expense captions (such as cost of sales, SG&amp;A, and research and development). This guidance will become effective for the Company for the annual period beginning on January 1, 2027, and interim periods beginning on January 1, 2028, with early adoption permitted. The Company is currently evaluating this guidance and assessing the overall impact on its financial statements.</w:t>
      </w:r>
    </w:p>
    <w:p>
      <w:pPr>
        <w:spacing w:after="0" w:line="95"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20"/>
          <w:szCs w:val="20"/>
          <w:color w:val="231F20"/>
        </w:rPr>
        <w:t>In July 2025, the FASB issued ASU 2025</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 xml:space="preserve">05, </w:t>
      </w:r>
      <w:r>
        <w:rPr>
          <w:rFonts w:ascii="Times New Roman" w:cs="Times New Roman" w:eastAsia="Times New Roman" w:hAnsi="Times New Roman"/>
          <w:sz w:val="20"/>
          <w:szCs w:val="20"/>
          <w:i w:val="1"/>
          <w:iCs w:val="1"/>
          <w:color w:val="231F20"/>
        </w:rPr>
        <w:t>Financial Instruments – Credit Losses (Topic 326): Measurement of Credit Losses for</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Accounts Receivable and Contract Assets</w:t>
      </w:r>
      <w:r>
        <w:rPr>
          <w:rFonts w:ascii="Times New Roman" w:cs="Times New Roman" w:eastAsia="Times New Roman" w:hAnsi="Times New Roman"/>
          <w:sz w:val="20"/>
          <w:szCs w:val="20"/>
          <w:color w:val="231F20"/>
        </w:rPr>
        <w:t>. This ASU provides a practical expedient for entities estimating expected credit losses on</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current trade receivables and contract assets arising from revenue transactions accounted for under Topic 606. The practical expedient allows entities to assume that current economic conditions as of the balance sheet date do not change for the remaining life of the current accounts receivable and current contract assets. Therefore, an entity will not need to develop reasonable and supportable forecasts of future economic conditions. The practical expedient applies only to current accounts receivable and current contract assets. Entities electing to apply the practical expedient must do so consistently across all current accounts receivable and current contract assets arising from transactions accounted for under Topic 606. If adopted, this guidance will become effective for the Company for annual periods beginning after December 15, 2025, including interim periods within those annual periods with early adoption permitted and is required to be applied prospectively. The Company is currently evaluating the available elections under the new standard, including whether to adopt the practical expedient. However, based on our preliminary assessment, we do not expect the adoption of ASU 2025</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05 to have a material impact on our financial statements.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F-13</w:t>
      </w:r>
    </w:p>
    <w:p>
      <w:pPr>
        <w:sectPr>
          <w:pgSz w:w="11880" w:h="15480" w:orient="portrait"/>
          <w:cols w:equalWidth="0" w:num="1">
            <w:col w:w="10800"/>
          </w:cols>
          <w:pgMar w:left="540" w:top="750" w:right="540" w:bottom="0" w:gutter="0" w:footer="0" w:header="0"/>
        </w:sectPr>
      </w:pPr>
    </w:p>
    <w:bookmarkStart w:id="102" w:name="page103"/>
    <w:bookmarkEnd w:id="102"/>
    <w:p>
      <w:pPr>
        <w:jc w:val="both"/>
        <w:spacing w:after="0" w:line="239" w:lineRule="exact"/>
        <w:rPr>
          <w:sz w:val="20"/>
          <w:szCs w:val="20"/>
          <w:color w:val="auto"/>
        </w:rPr>
      </w:pPr>
      <w:r>
        <w:rPr>
          <w:rFonts w:ascii="Times New Roman" w:cs="Times New Roman" w:eastAsia="Times New Roman" w:hAnsi="Times New Roman"/>
          <w:sz w:val="20"/>
          <w:szCs w:val="20"/>
          <w:color w:val="231F20"/>
        </w:rPr>
        <w:t xml:space="preserve">In December 2025, the FASB issued ASU 2025-11, </w:t>
      </w:r>
      <w:r>
        <w:rPr>
          <w:rFonts w:ascii="Times New Roman" w:cs="Times New Roman" w:eastAsia="Times New Roman" w:hAnsi="Times New Roman"/>
          <w:sz w:val="20"/>
          <w:szCs w:val="20"/>
          <w:i w:val="1"/>
          <w:iCs w:val="1"/>
          <w:color w:val="231F20"/>
        </w:rPr>
        <w:t>Interim Reporting (Topic 270): Narrow-Scope Improvements</w:t>
      </w:r>
      <w:r>
        <w:rPr>
          <w:rFonts w:ascii="Times New Roman" w:cs="Times New Roman" w:eastAsia="Times New Roman" w:hAnsi="Times New Roman"/>
          <w:sz w:val="20"/>
          <w:szCs w:val="20"/>
          <w:color w:val="231F20"/>
        </w:rPr>
        <w:t>. This ASU clarifies the interim reporting requirements by improving navigability of Topic 270 and more clearly specifying what disclosures are required in an interim reporting period. It is not intended to significantly change interim reporting or expand or reduce interim disclosure requirements. This guidance will become effective for the Company for the interim periods beginning after December 15, 2027, with early adoption permitted. The Company is currently evaluating this guidance and assessing the overall impact on its financial statements. However, based on our preliminary assessment, we do not expect the adoption of ASU 2025</w:t>
      </w:r>
      <w:r>
        <w:rPr>
          <w:rFonts w:ascii="MS Gothic" w:cs="MS Gothic" w:eastAsia="MS Gothic" w:hAnsi="MS Gothic"/>
          <w:sz w:val="20"/>
          <w:szCs w:val="20"/>
          <w:color w:val="231F20"/>
        </w:rPr>
        <w:t>̻</w:t>
      </w:r>
      <w:r>
        <w:rPr>
          <w:rFonts w:ascii="Times New Roman" w:cs="Times New Roman" w:eastAsia="Times New Roman" w:hAnsi="Times New Roman"/>
          <w:sz w:val="20"/>
          <w:szCs w:val="20"/>
          <w:color w:val="231F20"/>
        </w:rPr>
        <w:t>11 to have a material impact on our interim financial statements.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4 - Fair Value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Recurring Fair Value Measurements</w:t>
      </w:r>
    </w:p>
    <w:p>
      <w:pPr>
        <w:spacing w:after="0" w:line="1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Our borrowing instruments are recorded at their carrying values in the balance sheets, which may differ from their respective fair values. The fair value of borrowings as of December 31, 2025 and 2024 is primarily associated with the Perceptive Term Loan Facility entered into with Perceptive Credit Holdings IV, LP in November 2022 and was determined using a discounted cash flow analysis, excluding the fair value of the Perceptive Warrant (as defined below) issued in conjunction with the transaction. The carrying value of outstanding borrowings approximates the fair value as of December 31, 2025. The difference between the carrying value and fair value of outstanding borrowings as of December 31, 2024 is due to an increase in the fair value of debt as a result of improved credit markets. The table below presents the carrying and fair values of outstanding borrowings, which are classified as Level 2, as of the dates indicated (in thousands):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4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80" w:type="dxa"/>
            <w:vAlign w:val="bottom"/>
            <w:gridSpan w:val="4"/>
          </w:tcPr>
          <w:p>
            <w:pPr>
              <w:jc w:val="right"/>
              <w:ind w:right="208"/>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Borders>
              <w:bottom w:val="single" w:sz="8" w:color="231F20"/>
            </w:tcBorders>
          </w:tcPr>
          <w:p>
            <w:pPr>
              <w:spacing w:after="0"/>
              <w:rPr>
                <w:sz w:val="22"/>
                <w:szCs w:val="22"/>
                <w:color w:val="auto"/>
              </w:rPr>
            </w:pPr>
          </w:p>
        </w:tc>
      </w:tr>
      <w:tr>
        <w:trPr>
          <w:trHeight w:val="239"/>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40" w:type="dxa"/>
            <w:vAlign w:val="bottom"/>
            <w:gridSpan w:val="4"/>
          </w:tcPr>
          <w:p>
            <w:pPr>
              <w:jc w:val="right"/>
              <w:ind w:right="74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100" w:type="dxa"/>
            <w:vAlign w:val="bottom"/>
          </w:tcPr>
          <w:p>
            <w:pPr>
              <w:spacing w:after="0"/>
              <w:rPr>
                <w:sz w:val="20"/>
                <w:szCs w:val="20"/>
                <w:color w:val="auto"/>
              </w:rPr>
            </w:pPr>
          </w:p>
        </w:tc>
        <w:tc>
          <w:tcPr>
            <w:tcW w:w="20" w:type="dxa"/>
            <w:vAlign w:val="bottom"/>
            <w:tcBorders>
              <w:bottom w:val="single" w:sz="8" w:color="231F20"/>
            </w:tcBorders>
          </w:tcPr>
          <w:p>
            <w:pPr>
              <w:spacing w:after="0"/>
              <w:rPr>
                <w:sz w:val="20"/>
                <w:szCs w:val="20"/>
                <w:color w:val="auto"/>
              </w:rPr>
            </w:pPr>
          </w:p>
        </w:tc>
        <w:tc>
          <w:tcPr>
            <w:tcW w:w="360" w:type="dxa"/>
            <w:vAlign w:val="bottom"/>
            <w:tcBorders>
              <w:bottom w:val="single" w:sz="8" w:color="231F20"/>
            </w:tcBorders>
          </w:tcPr>
          <w:p>
            <w:pPr>
              <w:spacing w:after="0"/>
              <w:rPr>
                <w:sz w:val="20"/>
                <w:szCs w:val="20"/>
                <w:color w:val="auto"/>
              </w:rPr>
            </w:pPr>
          </w:p>
        </w:tc>
        <w:tc>
          <w:tcPr>
            <w:tcW w:w="2600" w:type="dxa"/>
            <w:vAlign w:val="bottom"/>
            <w:tcBorders>
              <w:bottom w:val="single" w:sz="8" w:color="231F20"/>
            </w:tcBorders>
            <w:gridSpan w:val="4"/>
          </w:tcPr>
          <w:p>
            <w:pPr>
              <w:jc w:val="right"/>
              <w:ind w:right="600"/>
              <w:spacing w:after="0"/>
              <w:rPr>
                <w:sz w:val="20"/>
                <w:szCs w:val="20"/>
                <w:color w:val="auto"/>
              </w:rPr>
            </w:pPr>
            <w:r>
              <w:rPr>
                <w:rFonts w:ascii="Times New Roman" w:cs="Times New Roman" w:eastAsia="Times New Roman" w:hAnsi="Times New Roman"/>
                <w:sz w:val="20"/>
                <w:szCs w:val="20"/>
                <w:b w:val="1"/>
                <w:bCs w:val="1"/>
                <w:color w:val="231F20"/>
              </w:rPr>
              <w:t>December 31, 2024</w:t>
            </w:r>
          </w:p>
        </w:tc>
        <w:tc>
          <w:tcPr>
            <w:tcW w:w="60" w:type="dxa"/>
            <w:vAlign w:val="bottom"/>
            <w:tcBorders>
              <w:bottom w:val="single" w:sz="8" w:color="231F20"/>
            </w:tcBorders>
          </w:tcPr>
          <w:p>
            <w:pPr>
              <w:spacing w:after="0"/>
              <w:rPr>
                <w:sz w:val="20"/>
                <w:szCs w:val="20"/>
                <w:color w:val="auto"/>
              </w:rPr>
            </w:pPr>
          </w:p>
        </w:tc>
      </w:tr>
      <w:tr>
        <w:trPr>
          <w:trHeight w:val="239"/>
        </w:trPr>
        <w:tc>
          <w:tcPr>
            <w:tcW w:w="4400" w:type="dxa"/>
            <w:vAlign w:val="bottom"/>
            <w:tcBorders>
              <w:bottom w:val="single" w:sz="8" w:color="231F20"/>
            </w:tcBorders>
          </w:tcPr>
          <w:p>
            <w:pPr>
              <w:spacing w:after="0"/>
              <w:rPr>
                <w:sz w:val="20"/>
                <w:szCs w:val="20"/>
                <w:color w:val="auto"/>
              </w:rPr>
            </w:pPr>
          </w:p>
        </w:tc>
        <w:tc>
          <w:tcPr>
            <w:tcW w:w="120" w:type="dxa"/>
            <w:vAlign w:val="bottom"/>
            <w:tcBorders>
              <w:bottom w:val="single" w:sz="8" w:color="E3E4E5"/>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600" w:type="dxa"/>
            <w:vAlign w:val="bottom"/>
            <w:tcBorders>
              <w:bottom w:val="single" w:sz="8" w:color="231F20"/>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Carrying Value</w:t>
            </w:r>
          </w:p>
        </w:tc>
        <w:tc>
          <w:tcPr>
            <w:tcW w:w="120" w:type="dxa"/>
            <w:vAlign w:val="bottom"/>
            <w:tcBorders>
              <w:bottom w:val="single" w:sz="8" w:color="E3E4E5"/>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231F20"/>
              </w:rPr>
              <w:t>Fair Value</w:t>
            </w:r>
          </w:p>
        </w:tc>
        <w:tc>
          <w:tcPr>
            <w:tcW w:w="10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1580" w:type="dxa"/>
            <w:vAlign w:val="bottom"/>
            <w:tcBorders>
              <w:bottom w:val="single" w:sz="8" w:color="231F20"/>
            </w:tcBorders>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Carrying Value</w:t>
            </w:r>
          </w:p>
        </w:tc>
        <w:tc>
          <w:tcPr>
            <w:tcW w:w="120" w:type="dxa"/>
            <w:vAlign w:val="bottom"/>
            <w:tcBorders>
              <w:bottom w:val="single" w:sz="8" w:color="E3E4E5"/>
            </w:tcBorders>
          </w:tcPr>
          <w:p>
            <w:pPr>
              <w:spacing w:after="0"/>
              <w:rPr>
                <w:sz w:val="20"/>
                <w:szCs w:val="20"/>
                <w:color w:val="auto"/>
              </w:rPr>
            </w:pPr>
          </w:p>
        </w:tc>
        <w:tc>
          <w:tcPr>
            <w:tcW w:w="120" w:type="dxa"/>
            <w:vAlign w:val="bottom"/>
            <w:tcBorders>
              <w:bottom w:val="single" w:sz="8" w:color="231F20"/>
            </w:tcBorders>
          </w:tcPr>
          <w:p>
            <w:pPr>
              <w:spacing w:after="0"/>
              <w:rPr>
                <w:sz w:val="20"/>
                <w:szCs w:val="20"/>
                <w:color w:val="auto"/>
              </w:rPr>
            </w:pPr>
          </w:p>
        </w:tc>
        <w:tc>
          <w:tcPr>
            <w:tcW w:w="1200" w:type="dxa"/>
            <w:vAlign w:val="bottom"/>
            <w:tcBorders>
              <w:bottom w:val="single" w:sz="8" w:color="231F20"/>
            </w:tcBorders>
            <w:gridSpan w:val="2"/>
          </w:tcPr>
          <w:p>
            <w:pPr>
              <w:ind w:left="40"/>
              <w:spacing w:after="0"/>
              <w:rPr>
                <w:sz w:val="20"/>
                <w:szCs w:val="20"/>
                <w:color w:val="auto"/>
              </w:rPr>
            </w:pPr>
            <w:r>
              <w:rPr>
                <w:rFonts w:ascii="Times New Roman" w:cs="Times New Roman" w:eastAsia="Times New Roman" w:hAnsi="Times New Roman"/>
                <w:sz w:val="20"/>
                <w:szCs w:val="20"/>
                <w:b w:val="1"/>
                <w:bCs w:val="1"/>
                <w:color w:val="231F20"/>
              </w:rPr>
              <w:t>Fair Value</w:t>
            </w:r>
          </w:p>
        </w:tc>
      </w:tr>
      <w:tr>
        <w:trPr>
          <w:trHeight w:val="239"/>
        </w:trPr>
        <w:tc>
          <w:tcPr>
            <w:tcW w:w="44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Borrowings</w:t>
            </w:r>
          </w:p>
        </w:tc>
        <w:tc>
          <w:tcPr>
            <w:tcW w:w="120" w:type="dxa"/>
            <w:vAlign w:val="bottom"/>
            <w:shd w:val="clear" w:color="auto" w:fill="E3E4E5"/>
          </w:tcPr>
          <w:p>
            <w:pPr>
              <w:spacing w:after="0"/>
              <w:rPr>
                <w:sz w:val="20"/>
                <w:szCs w:val="20"/>
                <w:color w:val="auto"/>
              </w:rPr>
            </w:pPr>
          </w:p>
        </w:tc>
        <w:tc>
          <w:tcPr>
            <w:tcW w:w="1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60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47,451</w:t>
            </w:r>
          </w:p>
        </w:tc>
        <w:tc>
          <w:tcPr>
            <w:tcW w:w="120" w:type="dxa"/>
            <w:vAlign w:val="bottom"/>
            <w:shd w:val="clear" w:color="auto" w:fill="E3E4E5"/>
          </w:tcPr>
          <w:p>
            <w:pPr>
              <w:spacing w:after="0"/>
              <w:rPr>
                <w:sz w:val="20"/>
                <w:szCs w:val="20"/>
                <w:color w:val="auto"/>
              </w:rPr>
            </w:pPr>
          </w:p>
        </w:tc>
        <w:tc>
          <w:tcPr>
            <w:tcW w:w="1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200" w:type="dxa"/>
            <w:vAlign w:val="bottom"/>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14142"/>
              </w:rPr>
              <w:t>47,532</w:t>
            </w:r>
          </w:p>
        </w:tc>
        <w:tc>
          <w:tcPr>
            <w:tcW w:w="10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360" w:type="dxa"/>
            <w:vAlign w:val="bottom"/>
            <w:shd w:val="clear" w:color="auto" w:fill="E3E4E5"/>
          </w:tcPr>
          <w:p>
            <w:pPr>
              <w:jc w:val="right"/>
              <w:ind w:right="188"/>
              <w:spacing w:after="0"/>
              <w:rPr>
                <w:sz w:val="20"/>
                <w:szCs w:val="20"/>
                <w:color w:val="auto"/>
              </w:rPr>
            </w:pPr>
            <w:r>
              <w:rPr>
                <w:rFonts w:ascii="Times New Roman" w:cs="Times New Roman" w:eastAsia="Times New Roman" w:hAnsi="Times New Roman"/>
                <w:sz w:val="17"/>
                <w:szCs w:val="17"/>
                <w:color w:val="414142"/>
                <w:w w:val="70"/>
              </w:rPr>
              <w:t>$</w:t>
            </w:r>
          </w:p>
        </w:tc>
        <w:tc>
          <w:tcPr>
            <w:tcW w:w="122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36,429</w:t>
            </w:r>
          </w:p>
        </w:tc>
        <w:tc>
          <w:tcPr>
            <w:tcW w:w="120" w:type="dxa"/>
            <w:vAlign w:val="bottom"/>
            <w:shd w:val="clear" w:color="auto" w:fill="E3E4E5"/>
          </w:tcPr>
          <w:p>
            <w:pPr>
              <w:spacing w:after="0"/>
              <w:rPr>
                <w:sz w:val="20"/>
                <w:szCs w:val="20"/>
                <w:color w:val="auto"/>
              </w:rPr>
            </w:pPr>
          </w:p>
        </w:tc>
        <w:tc>
          <w:tcPr>
            <w:tcW w:w="1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37,484</w:t>
            </w:r>
          </w:p>
        </w:tc>
        <w:tc>
          <w:tcPr>
            <w:tcW w:w="60" w:type="dxa"/>
            <w:vAlign w:val="bottom"/>
            <w:shd w:val="clear" w:color="auto" w:fill="E3E4E5"/>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2845435</wp:posOffset>
            </wp:positionH>
            <wp:positionV relativeFrom="paragraph">
              <wp:posOffset>-507365</wp:posOffset>
            </wp:positionV>
            <wp:extent cx="398970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30">
                      <a:extLst>
                        <a:ext uri="{28A0092B-C50C-407E-A947-70E740481C1C}"/>
                      </a:extLst>
                    </a:blip>
                    <a:srcRect/>
                    <a:stretch>
                      <a:fillRect/>
                    </a:stretch>
                  </pic:blipFill>
                  <pic:spPr bwMode="auto">
                    <a:xfrm>
                      <a:off x="0" y="0"/>
                      <a:ext cx="3989705" cy="3810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-342265</wp:posOffset>
            </wp:positionV>
            <wp:extent cx="2032000"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31">
                      <a:extLst>
                        <a:ext uri="{28A0092B-C50C-407E-A947-70E740481C1C}"/>
                      </a:extLst>
                    </a:blip>
                    <a:srcRect/>
                    <a:stretch>
                      <a:fillRect/>
                    </a:stretch>
                  </pic:blipFill>
                  <pic:spPr bwMode="auto">
                    <a:xfrm>
                      <a:off x="0" y="0"/>
                      <a:ext cx="2032000" cy="38100"/>
                    </a:xfrm>
                    <a:prstGeom prst="rect">
                      <a:avLst/>
                    </a:prstGeom>
                    <a:noFill/>
                  </pic:spPr>
                </pic:pic>
              </a:graphicData>
            </a:graphic>
          </wp:anchor>
        </w:drawing>
        <w:drawing>
          <wp:anchor simplePos="0" relativeHeight="251657728" behindDoc="1" locked="0" layoutInCell="0" allowOverlap="1">
            <wp:simplePos x="0" y="0"/>
            <wp:positionH relativeFrom="column">
              <wp:posOffset>2845435</wp:posOffset>
            </wp:positionH>
            <wp:positionV relativeFrom="paragraph">
              <wp:posOffset>-173355</wp:posOffset>
            </wp:positionV>
            <wp:extent cx="17462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2">
                      <a:extLst>
                        <a:ext uri="{28A0092B-C50C-407E-A947-70E740481C1C}"/>
                      </a:extLst>
                    </a:blip>
                    <a:srcRect/>
                    <a:stretch>
                      <a:fillRect/>
                    </a:stretch>
                  </pic:blipFill>
                  <pic:spPr bwMode="auto">
                    <a:xfrm>
                      <a:off x="0" y="0"/>
                      <a:ext cx="174625" cy="38100"/>
                    </a:xfrm>
                    <a:prstGeom prst="rect">
                      <a:avLst/>
                    </a:prstGeom>
                    <a:noFill/>
                  </pic:spPr>
                </pic:pic>
              </a:graphicData>
            </a:graphic>
          </wp:anchor>
        </w:drawing>
        <w:drawing>
          <wp:anchor simplePos="0" relativeHeight="251657728" behindDoc="1" locked="0" layoutInCell="0" allowOverlap="1">
            <wp:simplePos x="0" y="0"/>
            <wp:positionH relativeFrom="column">
              <wp:posOffset>3868420</wp:posOffset>
            </wp:positionH>
            <wp:positionV relativeFrom="paragraph">
              <wp:posOffset>-173355</wp:posOffset>
            </wp:positionV>
            <wp:extent cx="2966720"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33">
                      <a:extLst>
                        <a:ext uri="{28A0092B-C50C-407E-A947-70E740481C1C}"/>
                      </a:extLst>
                    </a:blip>
                    <a:srcRect/>
                    <a:stretch>
                      <a:fillRect/>
                    </a:stretch>
                  </pic:blipFill>
                  <pic:spPr bwMode="auto">
                    <a:xfrm>
                      <a:off x="0" y="0"/>
                      <a:ext cx="2966720" cy="38100"/>
                    </a:xfrm>
                    <a:prstGeom prst="rect">
                      <a:avLst/>
                    </a:prstGeom>
                    <a:noFill/>
                  </pic:spPr>
                </pic:pic>
              </a:graphicData>
            </a:graphic>
          </wp:anchor>
        </w:drawing>
      </w:r>
    </w:p>
    <w:p>
      <w:pPr>
        <w:spacing w:after="0" w:line="20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 xml:space="preserve">The financial liabilities that are measured and recorded at estimated fair value on a recurring basis consist of the warrant liabilities granted as consideration for the Perceptive Term Loan Facility (see Note 8 –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contingent value rights granted to certain holders of our previously converted Series F Preferred Stock, and, prior to 2025, contingent consideration associated with our previous acquisition of Indi, which were accounted for as liabilities and remeasured through our statements of operations. The fair values of these financial liabilities are classified as Level 3 in the fair value hierarchy, however, as of December 31, 2025 and 2024, there are no liability balances associated with warrant liabilities, contingent value rights, or contingent consideration.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the changes in warrant liabilities for the dates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40" w:type="dxa"/>
            <w:vAlign w:val="bottom"/>
            <w:gridSpan w:val="3"/>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rPr>
              <w:t>For the twelve months ended</w:t>
            </w:r>
          </w:p>
        </w:tc>
        <w:tc>
          <w:tcPr>
            <w:tcW w:w="0" w:type="dxa"/>
            <w:vAlign w:val="bottom"/>
          </w:tcPr>
          <w:p>
            <w:pPr>
              <w:spacing w:after="0"/>
              <w:rPr>
                <w:sz w:val="1"/>
                <w:szCs w:val="1"/>
                <w:color w:val="auto"/>
              </w:rPr>
            </w:pPr>
          </w:p>
        </w:tc>
      </w:tr>
      <w:tr>
        <w:trPr>
          <w:trHeight w:val="254"/>
        </w:trPr>
        <w:tc>
          <w:tcPr>
            <w:tcW w:w="7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Level 3 Rollforward</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80" w:type="dxa"/>
            <w:vAlign w:val="bottom"/>
            <w:gridSpan w:val="2"/>
          </w:tcPr>
          <w:p>
            <w:pPr>
              <w:jc w:val="center"/>
              <w:ind w:right="36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0" w:type="dxa"/>
            <w:vAlign w:val="bottom"/>
          </w:tcPr>
          <w:p>
            <w:pPr>
              <w:spacing w:after="0"/>
              <w:rPr>
                <w:sz w:val="1"/>
                <w:szCs w:val="1"/>
                <w:color w:val="auto"/>
              </w:rPr>
            </w:pPr>
          </w:p>
        </w:tc>
      </w:tr>
      <w:tr>
        <w:trPr>
          <w:trHeight w:val="239"/>
        </w:trPr>
        <w:tc>
          <w:tcPr>
            <w:tcW w:w="7960" w:type="dxa"/>
            <w:vAlign w:val="bottom"/>
            <w:tcBorders>
              <w:bottom w:val="single" w:sz="8" w:color="231F20"/>
            </w:tcBorders>
            <w:vMerge w:val="continue"/>
          </w:tcPr>
          <w:p>
            <w:pPr>
              <w:spacing w:after="0"/>
              <w:rPr>
                <w:sz w:val="20"/>
                <w:szCs w:val="20"/>
                <w:color w:val="auto"/>
              </w:rPr>
            </w:pPr>
          </w:p>
        </w:tc>
        <w:tc>
          <w:tcPr>
            <w:tcW w:w="18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260" w:type="dxa"/>
            <w:vAlign w:val="bottom"/>
            <w:tcBorders>
              <w:top w:val="single" w:sz="8" w:color="231F20"/>
              <w:bottom w:val="single" w:sz="8" w:color="231F20"/>
            </w:tcBorders>
          </w:tcPr>
          <w:p>
            <w:pPr>
              <w:spacing w:after="0"/>
              <w:rPr>
                <w:sz w:val="20"/>
                <w:szCs w:val="20"/>
                <w:color w:val="auto"/>
              </w:rPr>
            </w:pPr>
          </w:p>
        </w:tc>
        <w:tc>
          <w:tcPr>
            <w:tcW w:w="2300" w:type="dxa"/>
            <w:vAlign w:val="bottom"/>
            <w:tcBorders>
              <w:top w:val="single" w:sz="8" w:color="231F20"/>
              <w:bottom w:val="single" w:sz="8" w:color="231F20"/>
            </w:tcBorders>
          </w:tcPr>
          <w:p>
            <w:pPr>
              <w:jc w:val="center"/>
              <w:ind w:right="180"/>
              <w:spacing w:after="0"/>
              <w:rPr>
                <w:sz w:val="20"/>
                <w:szCs w:val="20"/>
                <w:color w:val="auto"/>
              </w:rPr>
            </w:pPr>
            <w:r>
              <w:rPr>
                <w:rFonts w:ascii="Times New Roman" w:cs="Times New Roman" w:eastAsia="Times New Roman" w:hAnsi="Times New Roman"/>
                <w:sz w:val="20"/>
                <w:szCs w:val="20"/>
                <w:b w:val="1"/>
                <w:bCs w:val="1"/>
                <w:color w:val="231F20"/>
                <w:w w:val="99"/>
              </w:rPr>
              <w:t>Warrant Liabilities</w:t>
            </w:r>
          </w:p>
        </w:tc>
        <w:tc>
          <w:tcPr>
            <w:tcW w:w="80" w:type="dxa"/>
            <w:vAlign w:val="bottom"/>
            <w:tcBorders>
              <w:bottom w:val="single" w:sz="8" w:color="E3E4E5"/>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9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14142"/>
              </w:rPr>
              <w:t>Balance - January 1, 2025</w:t>
            </w:r>
          </w:p>
        </w:tc>
        <w:tc>
          <w:tcPr>
            <w:tcW w:w="18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260" w:type="dxa"/>
            <w:vAlign w:val="bottom"/>
            <w:shd w:val="clear" w:color="auto" w:fill="E3E4E5"/>
          </w:tcPr>
          <w:p>
            <w:pPr>
              <w:jc w:val="right"/>
              <w:ind w:right="90"/>
              <w:spacing w:after="0"/>
              <w:rPr>
                <w:sz w:val="20"/>
                <w:szCs w:val="20"/>
                <w:color w:val="auto"/>
              </w:rPr>
            </w:pPr>
            <w:r>
              <w:rPr>
                <w:rFonts w:ascii="Times New Roman" w:cs="Times New Roman" w:eastAsia="Times New Roman" w:hAnsi="Times New Roman"/>
                <w:sz w:val="17"/>
                <w:szCs w:val="17"/>
                <w:color w:val="414142"/>
                <w:w w:val="70"/>
              </w:rPr>
              <w:t>$</w:t>
            </w:r>
          </w:p>
        </w:tc>
        <w:tc>
          <w:tcPr>
            <w:tcW w:w="2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8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231F20"/>
              </w:rPr>
              <w:t>Changes in fair value, net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Reclassification of Tranche C Warrants to additional paid-in capital</w:t>
            </w:r>
          </w:p>
        </w:tc>
        <w:tc>
          <w:tcPr>
            <w:tcW w:w="18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260" w:type="dxa"/>
            <w:vAlign w:val="bottom"/>
            <w:shd w:val="clear" w:color="auto" w:fill="E3E4E5"/>
          </w:tcPr>
          <w:p>
            <w:pPr>
              <w:spacing w:after="0"/>
              <w:rPr>
                <w:sz w:val="21"/>
                <w:szCs w:val="21"/>
                <w:color w:val="auto"/>
              </w:rPr>
            </w:pPr>
          </w:p>
        </w:tc>
        <w:tc>
          <w:tcPr>
            <w:tcW w:w="23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(280)</w:t>
            </w:r>
          </w:p>
        </w:tc>
        <w:tc>
          <w:tcPr>
            <w:tcW w:w="0" w:type="dxa"/>
            <w:vAlign w:val="bottom"/>
          </w:tcPr>
          <w:p>
            <w:pPr>
              <w:spacing w:after="0"/>
              <w:rPr>
                <w:sz w:val="1"/>
                <w:szCs w:val="1"/>
                <w:color w:val="auto"/>
              </w:rPr>
            </w:pPr>
          </w:p>
        </w:tc>
      </w:tr>
      <w:tr>
        <w:trPr>
          <w:trHeight w:val="239"/>
        </w:trPr>
        <w:tc>
          <w:tcPr>
            <w:tcW w:w="796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Balance - December 31, 2025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top w:val="single" w:sz="8" w:color="231F20"/>
              <w:bottom w:val="single" w:sz="8" w:color="231F20"/>
            </w:tcBorders>
          </w:tcPr>
          <w:p>
            <w:pPr>
              <w:jc w:val="right"/>
              <w:ind w:right="90"/>
              <w:spacing w:after="0"/>
              <w:rPr>
                <w:sz w:val="20"/>
                <w:szCs w:val="20"/>
                <w:color w:val="auto"/>
              </w:rPr>
            </w:pPr>
            <w:r>
              <w:rPr>
                <w:rFonts w:ascii="Times New Roman" w:cs="Times New Roman" w:eastAsia="Times New Roman" w:hAnsi="Times New Roman"/>
                <w:sz w:val="17"/>
                <w:szCs w:val="17"/>
                <w:color w:val="231F20"/>
                <w:w w:val="70"/>
              </w:rPr>
              <w:t>$</w:t>
            </w:r>
          </w:p>
        </w:tc>
        <w:tc>
          <w:tcPr>
            <w:tcW w:w="2300" w:type="dxa"/>
            <w:vAlign w:val="bottom"/>
            <w:tcBorders>
              <w:top w:val="single" w:sz="8" w:color="231F20"/>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260" w:type="dxa"/>
            <w:vAlign w:val="bottom"/>
            <w:tcBorders>
              <w:bottom w:val="single" w:sz="8" w:color="231F20"/>
            </w:tcBorders>
          </w:tcPr>
          <w:p>
            <w:pPr>
              <w:spacing w:after="0" w:line="20" w:lineRule="exact"/>
              <w:rPr>
                <w:sz w:val="1"/>
                <w:szCs w:val="1"/>
                <w:color w:val="auto"/>
              </w:rPr>
            </w:pPr>
          </w:p>
        </w:tc>
        <w:tc>
          <w:tcPr>
            <w:tcW w:w="230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following table presents the changes in contingent consideration for the dates indicated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3"/>
          </w:tcPr>
          <w:p>
            <w:pPr>
              <w:jc w:val="center"/>
              <w:ind w:right="100"/>
              <w:spacing w:after="0"/>
              <w:rPr>
                <w:sz w:val="20"/>
                <w:szCs w:val="20"/>
                <w:color w:val="auto"/>
              </w:rPr>
            </w:pPr>
            <w:r>
              <w:rPr>
                <w:rFonts w:ascii="Times New Roman" w:cs="Times New Roman" w:eastAsia="Times New Roman" w:hAnsi="Times New Roman"/>
                <w:sz w:val="20"/>
                <w:szCs w:val="20"/>
                <w:b w:val="1"/>
                <w:bCs w:val="1"/>
                <w:color w:val="231F20"/>
              </w:rPr>
              <w:t>For the twelve months ended</w:t>
            </w:r>
          </w:p>
        </w:tc>
        <w:tc>
          <w:tcPr>
            <w:tcW w:w="0" w:type="dxa"/>
            <w:vAlign w:val="bottom"/>
          </w:tcPr>
          <w:p>
            <w:pPr>
              <w:spacing w:after="0"/>
              <w:rPr>
                <w:sz w:val="1"/>
                <w:szCs w:val="1"/>
                <w:color w:val="auto"/>
              </w:rPr>
            </w:pPr>
          </w:p>
        </w:tc>
      </w:tr>
      <w:tr>
        <w:trPr>
          <w:trHeight w:val="254"/>
        </w:trPr>
        <w:tc>
          <w:tcPr>
            <w:tcW w:w="79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Level 3 Rollforward</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52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231F20"/>
              </w:rPr>
              <w:t>December 31, 2024</w:t>
            </w:r>
          </w:p>
        </w:tc>
        <w:tc>
          <w:tcPr>
            <w:tcW w:w="0" w:type="dxa"/>
            <w:vAlign w:val="bottom"/>
          </w:tcPr>
          <w:p>
            <w:pPr>
              <w:spacing w:after="0"/>
              <w:rPr>
                <w:sz w:val="1"/>
                <w:szCs w:val="1"/>
                <w:color w:val="auto"/>
              </w:rPr>
            </w:pPr>
          </w:p>
        </w:tc>
      </w:tr>
      <w:tr>
        <w:trPr>
          <w:trHeight w:val="239"/>
        </w:trPr>
        <w:tc>
          <w:tcPr>
            <w:tcW w:w="7960" w:type="dxa"/>
            <w:vAlign w:val="bottom"/>
            <w:tcBorders>
              <w:bottom w:val="single" w:sz="8" w:color="414142"/>
            </w:tcBorders>
            <w:vMerge w:val="continue"/>
          </w:tcPr>
          <w:p>
            <w:pPr>
              <w:spacing w:after="0"/>
              <w:rPr>
                <w:sz w:val="20"/>
                <w:szCs w:val="20"/>
                <w:color w:val="auto"/>
              </w:rPr>
            </w:pPr>
          </w:p>
        </w:tc>
        <w:tc>
          <w:tcPr>
            <w:tcW w:w="180" w:type="dxa"/>
            <w:vAlign w:val="bottom"/>
            <w:tcBorders>
              <w:bottom w:val="single" w:sz="8" w:color="E3E4E5"/>
            </w:tcBorders>
          </w:tcPr>
          <w:p>
            <w:pPr>
              <w:spacing w:after="0"/>
              <w:rPr>
                <w:sz w:val="20"/>
                <w:szCs w:val="20"/>
                <w:color w:val="auto"/>
              </w:rPr>
            </w:pPr>
          </w:p>
        </w:tc>
        <w:tc>
          <w:tcPr>
            <w:tcW w:w="140" w:type="dxa"/>
            <w:vAlign w:val="bottom"/>
            <w:tcBorders>
              <w:top w:val="single" w:sz="8" w:color="231F20"/>
              <w:bottom w:val="single" w:sz="8" w:color="414142"/>
            </w:tcBorders>
          </w:tcPr>
          <w:p>
            <w:pPr>
              <w:spacing w:after="0"/>
              <w:rPr>
                <w:sz w:val="20"/>
                <w:szCs w:val="20"/>
                <w:color w:val="auto"/>
              </w:rPr>
            </w:pPr>
          </w:p>
        </w:tc>
        <w:tc>
          <w:tcPr>
            <w:tcW w:w="2440" w:type="dxa"/>
            <w:vAlign w:val="bottom"/>
            <w:tcBorders>
              <w:top w:val="single" w:sz="8" w:color="231F20"/>
              <w:bottom w:val="single" w:sz="8" w:color="414142"/>
            </w:tcBorders>
          </w:tcPr>
          <w:p>
            <w:pPr>
              <w:jc w:val="center"/>
              <w:ind w:right="40"/>
              <w:spacing w:after="0"/>
              <w:rPr>
                <w:sz w:val="20"/>
                <w:szCs w:val="20"/>
                <w:color w:val="auto"/>
              </w:rPr>
            </w:pPr>
            <w:r>
              <w:rPr>
                <w:rFonts w:ascii="Times New Roman" w:cs="Times New Roman" w:eastAsia="Times New Roman" w:hAnsi="Times New Roman"/>
                <w:sz w:val="20"/>
                <w:szCs w:val="20"/>
                <w:b w:val="1"/>
                <w:bCs w:val="1"/>
                <w:color w:val="231F20"/>
              </w:rPr>
              <w:t>Contingent Consideration</w:t>
            </w:r>
          </w:p>
        </w:tc>
        <w:tc>
          <w:tcPr>
            <w:tcW w:w="80" w:type="dxa"/>
            <w:vAlign w:val="bottom"/>
            <w:tcBorders>
              <w:bottom w:val="single" w:sz="8" w:color="E3E4E5"/>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9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14142"/>
              </w:rPr>
              <w:t>Beginning balances - January 1, 2024</w:t>
            </w:r>
          </w:p>
        </w:tc>
        <w:tc>
          <w:tcPr>
            <w:tcW w:w="180" w:type="dxa"/>
            <w:vAlign w:val="bottom"/>
            <w:shd w:val="clear" w:color="auto" w:fill="E3E4E5"/>
          </w:tcPr>
          <w:p>
            <w:pPr>
              <w:spacing w:after="0"/>
              <w:rPr>
                <w:sz w:val="20"/>
                <w:szCs w:val="20"/>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24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21,857</w:t>
            </w:r>
          </w:p>
        </w:tc>
        <w:tc>
          <w:tcPr>
            <w:tcW w:w="8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231F20"/>
              </w:rPr>
              <w:t>Interest expense</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1,137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Loss on extinguishment of liabilities</w:t>
            </w:r>
          </w:p>
        </w:tc>
        <w:tc>
          <w:tcPr>
            <w:tcW w:w="18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24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248</w:t>
            </w:r>
          </w:p>
        </w:tc>
        <w:tc>
          <w:tcPr>
            <w:tcW w:w="8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960" w:type="dxa"/>
            <w:vAlign w:val="bottom"/>
          </w:tcPr>
          <w:p>
            <w:pPr>
              <w:spacing w:after="0"/>
              <w:rPr>
                <w:sz w:val="20"/>
                <w:szCs w:val="20"/>
                <w:color w:val="auto"/>
              </w:rPr>
            </w:pPr>
            <w:r>
              <w:rPr>
                <w:rFonts w:ascii="Times New Roman" w:cs="Times New Roman" w:eastAsia="Times New Roman" w:hAnsi="Times New Roman"/>
                <w:sz w:val="20"/>
                <w:szCs w:val="20"/>
                <w:color w:val="231F20"/>
              </w:rPr>
              <w:t>Payments</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(23,242)</w:t>
            </w:r>
          </w:p>
        </w:tc>
        <w:tc>
          <w:tcPr>
            <w:tcW w:w="0" w:type="dxa"/>
            <w:vAlign w:val="bottom"/>
          </w:tcPr>
          <w:p>
            <w:pPr>
              <w:spacing w:after="0"/>
              <w:rPr>
                <w:sz w:val="1"/>
                <w:szCs w:val="1"/>
                <w:color w:val="auto"/>
              </w:rPr>
            </w:pPr>
          </w:p>
        </w:tc>
      </w:tr>
      <w:tr>
        <w:trPr>
          <w:trHeight w:val="259"/>
        </w:trPr>
        <w:tc>
          <w:tcPr>
            <w:tcW w:w="79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14142"/>
              </w:rPr>
              <w:t>Ending balances - December 31, 2024</w:t>
            </w:r>
          </w:p>
        </w:tc>
        <w:tc>
          <w:tcPr>
            <w:tcW w:w="180" w:type="dxa"/>
            <w:vAlign w:val="bottom"/>
            <w:shd w:val="clear" w:color="auto" w:fill="E3E4E5"/>
          </w:tcPr>
          <w:p>
            <w:pPr>
              <w:spacing w:after="0"/>
              <w:rPr>
                <w:sz w:val="22"/>
                <w:szCs w:val="22"/>
                <w:color w:val="auto"/>
              </w:rPr>
            </w:pPr>
          </w:p>
        </w:tc>
        <w:tc>
          <w:tcPr>
            <w:tcW w:w="1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24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8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24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5153660</wp:posOffset>
            </wp:positionH>
            <wp:positionV relativeFrom="paragraph">
              <wp:posOffset>-840740</wp:posOffset>
            </wp:positionV>
            <wp:extent cx="1668780"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34">
                      <a:extLst>
                        <a:ext uri="{28A0092B-C50C-407E-A947-70E740481C1C}"/>
                      </a:extLst>
                    </a:blip>
                    <a:srcRect/>
                    <a:stretch>
                      <a:fillRect/>
                    </a:stretch>
                  </pic:blipFill>
                  <pic:spPr bwMode="auto">
                    <a:xfrm>
                      <a:off x="0" y="0"/>
                      <a:ext cx="1668780" cy="38100"/>
                    </a:xfrm>
                    <a:prstGeom prst="rect">
                      <a:avLst/>
                    </a:prstGeom>
                    <a:noFill/>
                  </pic:spPr>
                </pic:pic>
              </a:graphicData>
            </a:graphic>
          </wp:anchor>
        </w:drawing>
        <w:drawing>
          <wp:anchor simplePos="0" relativeHeight="251657728" behindDoc="1" locked="0" layoutInCell="0" allowOverlap="1">
            <wp:simplePos x="0" y="0"/>
            <wp:positionH relativeFrom="column">
              <wp:posOffset>5153660</wp:posOffset>
            </wp:positionH>
            <wp:positionV relativeFrom="paragraph">
              <wp:posOffset>-211455</wp:posOffset>
            </wp:positionV>
            <wp:extent cx="1668780" cy="476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35">
                      <a:extLst>
                        <a:ext uri="{28A0092B-C50C-407E-A947-70E740481C1C}"/>
                      </a:extLst>
                    </a:blip>
                    <a:srcRect/>
                    <a:stretch>
                      <a:fillRect/>
                    </a:stretch>
                  </pic:blipFill>
                  <pic:spPr bwMode="auto">
                    <a:xfrm>
                      <a:off x="0" y="0"/>
                      <a:ext cx="1668780" cy="4762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Warrant Liabilities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 xml:space="preserve">On November 21, 2022, as consideration for the Perceptive Term Loan Facility (see Note 8 –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xml:space="preserve">), the Company issued Perceptive a warrant to purchase up to 250,000 shares of the Company's common stock (the Perceptive Warrant), including Initial Warrants (as defined in Note 10 – </w:t>
      </w:r>
      <w:r>
        <w:rPr>
          <w:rFonts w:ascii="Times New Roman" w:cs="Times New Roman" w:eastAsia="Times New Roman" w:hAnsi="Times New Roman"/>
          <w:sz w:val="20"/>
          <w:szCs w:val="20"/>
          <w:i w:val="1"/>
          <w:iCs w:val="1"/>
          <w:color w:val="231F20"/>
        </w:rPr>
        <w:t>Equity</w:t>
      </w:r>
      <w:r>
        <w:rPr>
          <w:rFonts w:ascii="Times New Roman" w:cs="Times New Roman" w:eastAsia="Times New Roman" w:hAnsi="Times New Roman"/>
          <w:sz w:val="20"/>
          <w:szCs w:val="20"/>
          <w:color w:val="231F20"/>
        </w:rPr>
        <w:t xml:space="preserve"> below) and Tranche B and C Warrants. The Initial Warrants are equity classified (see Note 10 – </w:t>
      </w:r>
      <w:r>
        <w:rPr>
          <w:rFonts w:ascii="Times New Roman" w:cs="Times New Roman" w:eastAsia="Times New Roman" w:hAnsi="Times New Roman"/>
          <w:sz w:val="20"/>
          <w:szCs w:val="20"/>
          <w:i w:val="1"/>
          <w:iCs w:val="1"/>
          <w:color w:val="231F20"/>
        </w:rPr>
        <w:t>Equity</w:t>
      </w:r>
      <w:r>
        <w:rPr>
          <w:rFonts w:ascii="Times New Roman" w:cs="Times New Roman" w:eastAsia="Times New Roman" w:hAnsi="Times New Roman"/>
          <w:sz w:val="20"/>
          <w:szCs w:val="20"/>
          <w:color w:val="231F20"/>
        </w:rPr>
        <w:t>) while the Tranche B and C Warrants were initially classified as liabilities and recognized at fair value. On December 15, 2023 (the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F-14</w:t>
      </w:r>
    </w:p>
    <w:p>
      <w:pPr>
        <w:sectPr>
          <w:pgSz w:w="11880" w:h="15480" w:orient="portrait"/>
          <w:cols w:equalWidth="0" w:num="1">
            <w:col w:w="10800"/>
          </w:cols>
          <w:pgMar w:left="540" w:top="750" w:right="540" w:bottom="0" w:gutter="0" w:footer="0" w:header="0"/>
        </w:sectPr>
      </w:pPr>
    </w:p>
    <w:bookmarkStart w:id="103" w:name="page104"/>
    <w:bookmarkEnd w:id="103"/>
    <w:p>
      <w:pPr>
        <w:jc w:val="both"/>
        <w:spacing w:after="0" w:line="252" w:lineRule="auto"/>
        <w:rPr>
          <w:sz w:val="20"/>
          <w:szCs w:val="20"/>
          <w:color w:val="auto"/>
        </w:rPr>
      </w:pPr>
      <w:r>
        <w:rPr>
          <w:rFonts w:ascii="Times New Roman" w:cs="Times New Roman" w:eastAsia="Times New Roman" w:hAnsi="Times New Roman"/>
          <w:sz w:val="20"/>
          <w:szCs w:val="20"/>
          <w:color w:val="231F20"/>
        </w:rPr>
        <w:t xml:space="preserve">Tranche B Borrowing Date), the Company exercised its ability to draw the Tranche B loan (see Note 8 –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xml:space="preserve">). In connection with the Tranche B draw, the Company remeasured the Tranche B Warrants through the Tranche B Borrowing Date and recorded the change in fair value through the statements of operations and, subsequently, reclassified the fair value to additional paid-in capital (see Note 10 – </w:t>
      </w:r>
      <w:r>
        <w:rPr>
          <w:rFonts w:ascii="Times New Roman" w:cs="Times New Roman" w:eastAsia="Times New Roman" w:hAnsi="Times New Roman"/>
          <w:sz w:val="20"/>
          <w:szCs w:val="20"/>
          <w:i w:val="1"/>
          <w:iCs w:val="1"/>
          <w:color w:val="231F20"/>
        </w:rPr>
        <w:t>Equity</w:t>
      </w:r>
      <w:r>
        <w:rPr>
          <w:rFonts w:ascii="Times New Roman" w:cs="Times New Roman" w:eastAsia="Times New Roman" w:hAnsi="Times New Roman"/>
          <w:sz w:val="20"/>
          <w:szCs w:val="20"/>
          <w:color w:val="231F20"/>
        </w:rPr>
        <w:t>).</w:t>
      </w:r>
    </w:p>
    <w:p>
      <w:pPr>
        <w:spacing w:after="0" w:line="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 xml:space="preserve">The fair value of the Tranche C Warrants was determined using a Black-Scholes option-pricing model and subject to certain unobservable inputs. The significant unobservable inputs used in the measurement of the fair value included the fair value of the Company's common stock, risk-free rate, the volatility of common stock, and the probability of the expected borrowing. The Tranche C loan had a prior commitment date through September 30, 2024 and, as of that date, the Company did not exercise its ability to draw the Tranche C loan. On February 28, 2025 (the Fifth Amendment Effective Date), the Company entered into the Fifth Amendment to the Credit Agreement and Guaranty (the Fifth Amendment) with Perceptive (see Note 8 –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whereby subject to the terms and conditions of the Fifth Amendment, the Tranche C Loan Commitment Termination Date (as defined in the Credit Agreement) was extended, providing continued availability to the Tranche C Loan through December 31, 2025. In addition, on the Tranche C Loan Borrowing Date (as defined in the Credit Agreement), the Tranche C Warrants, as amended, would become vested and exercisable at an exercise price equal to $15.86, the Company's closing stock price on February 28, 2025.</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 xml:space="preserve">On May 8, 2025, the Company exercised its ability to draw the Tranche C loan under the Perceptive Term Loan Facility for $10.0 million (the Tranche C Loan) pursuant to the Credit Agreement. As consideration for drawing the Tranche C Loan, the Company agreed to modify the previously agreed upon per share exercise price of $15.86 for the Tranche C Warrants to a new per share exercise of $8.382, which was equal to the 10-day VWAP of the Company’s common stock on May 9, 2025, the business day immediately preceding the Tranche C Loan borrowing date. In connection with the Tranche C draw, the Company remeasured the Tranche C Warrants through the Tranche C Borrowing Date and recorded the change in fair value through the statement of operations and, subsequently, reclassified the fair value to additional paid-in capital (see Note 10 – </w:t>
      </w:r>
      <w:r>
        <w:rPr>
          <w:rFonts w:ascii="Times New Roman" w:cs="Times New Roman" w:eastAsia="Times New Roman" w:hAnsi="Times New Roman"/>
          <w:sz w:val="20"/>
          <w:szCs w:val="20"/>
          <w:i w:val="1"/>
          <w:iCs w:val="1"/>
          <w:color w:val="231F20"/>
        </w:rPr>
        <w:t>Equity</w:t>
      </w:r>
      <w:r>
        <w:rPr>
          <w:rFonts w:ascii="Times New Roman" w:cs="Times New Roman" w:eastAsia="Times New Roman" w:hAnsi="Times New Roman"/>
          <w:sz w:val="20"/>
          <w:szCs w:val="20"/>
          <w:color w:val="231F20"/>
        </w:rPr>
        <w:t>).</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During the year ended December 31, 2025, the Company recorded a loss of $0.3 million as a change in fair value through the statements of operations due to changes in unobservable inputs. During the year ended December 31, 2024, the Company recorded no change in fair value through the statements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Contingent Value Rights</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 xml:space="preserve">In January 2016, the Company issued shares of Series F Preferred Stock (the Series F Offering) that were subsequently converted into common stock in connection with the Company's initial public offering in October 2020. In connection with the Series F Offering, investors who purchased more than their pro-rata amount in the financing received a calculated number of contingent value rights (CVRs). One CVR represents 0.00375% of the Company’s interest in the drug ficlatuzumab, which began a Phase 3 clinical trial in January 2024 (see Note 16 - </w:t>
      </w:r>
      <w:r>
        <w:rPr>
          <w:rFonts w:ascii="Times New Roman" w:cs="Times New Roman" w:eastAsia="Times New Roman" w:hAnsi="Times New Roman"/>
          <w:sz w:val="20"/>
          <w:szCs w:val="20"/>
          <w:i w:val="1"/>
          <w:iCs w:val="1"/>
          <w:color w:val="231F20"/>
        </w:rPr>
        <w:t>Commitments and Contingencies</w:t>
      </w:r>
      <w:r>
        <w:rPr>
          <w:rFonts w:ascii="Times New Roman" w:cs="Times New Roman" w:eastAsia="Times New Roman" w:hAnsi="Times New Roman"/>
          <w:sz w:val="20"/>
          <w:szCs w:val="20"/>
          <w:color w:val="231F20"/>
        </w:rPr>
        <w:t xml:space="preserve"> below). In January 2016, the Company issued 3,999 CVRs, or 15% interest in the drug ficlatuzumab, originally valued at $0.5 million. The initial estimated value of the CVRs were recorded as a liability and as a reduction to the Series F proceeds. Subsequent to recoupment of our initial co-development costs, upon receipt of a milestone, royalty, or any other type of payment from the Company’s ownership rights in the drug, the Company is required to make a cash payment to the CVR holders equal to 15% of net proceeds, as defined. During the years ended December 31, 2025 and 2024, the Company recorded no change in fair value due to the remote probability of receiving net proceeds in excess of our initial co-development costs.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Contingent consideration</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In connection with the acquisition of Indi in 2018, the Company recorded contingent consideration for amounts contingently payable to Indi's selling shareholders pursuant to the terms of the asset purchase agreement (the Indi APA). The contingent consideration arrangement required additional consideration to be paid by the Company to such shareholders upon attainment of a three-consecutive month gross margin target of $2.0 million within the seven-year period after the acquisition date, which was achieved during the three months ended June 30, 2021. Under the terms of the original agreement, when the gross margin target was achieved, the Company was required to issue 2,520,108 shares of common stock. For the six months following the achievement of the gross margin target, Indi had the option to require the Company to redeem these common shares for $37.0 million in cash over eight equal quarterly installments. If Indi elected to not exercise its option, the Company had 12 months to repurchase the common stock in two equal and consecutive quarterly cash installments totaling $37.0 million.</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In August 2021, the Company entered into an amendment to the original agreement in which all parties agreed to forgo the issuance of common stock and agreed that the Company would, in lieu thereof, make six quarterly installments of approximately $4.6 million each beginning in January 2022 and a final payment of approximately $9.3 million in July 2023 for a total of $37.0 million (the Milestone Payments and each individually a Milestone Payment). The aggregate amount of payments owed by the Company under this amendment was the same as if Indi had exercised the put right or the Company had exercised the call right provided for in the original agreement.</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On April 7, 2022, the Company entered into Amendment No. 3 to the Indi APA, in which the parties agreed to restructure the Milestone Payments. The Company made five quarterly installments of $2.0 million each beginning in April 2022, three quarterly</w:t>
      </w:r>
    </w:p>
    <w:p>
      <w:pPr>
        <w:sectPr>
          <w:pgSz w:w="11880" w:h="15480" w:orient="portrait"/>
          <w:cols w:equalWidth="0" w:num="1">
            <w:col w:w="10800"/>
          </w:cols>
          <w:pgMar w:left="540" w:top="750" w:right="540" w:bottom="6" w:gutter="0" w:footer="0" w:header="0"/>
        </w:sect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F-15</w:t>
      </w:r>
    </w:p>
    <w:p>
      <w:pPr>
        <w:sectPr>
          <w:pgSz w:w="11880" w:h="15480" w:orient="portrait"/>
          <w:cols w:equalWidth="0" w:num="1">
            <w:col w:w="10800"/>
          </w:cols>
          <w:pgMar w:left="540" w:top="750" w:right="540" w:bottom="6" w:gutter="0" w:footer="0" w:header="0"/>
          <w:type w:val="continuous"/>
        </w:sectPr>
      </w:pPr>
    </w:p>
    <w:bookmarkStart w:id="104" w:name="page105"/>
    <w:bookmarkEnd w:id="104"/>
    <w:p>
      <w:pPr>
        <w:jc w:val="both"/>
        <w:spacing w:after="0" w:line="246" w:lineRule="auto"/>
        <w:rPr>
          <w:sz w:val="20"/>
          <w:szCs w:val="20"/>
          <w:color w:val="auto"/>
        </w:rPr>
      </w:pPr>
      <w:r>
        <w:rPr>
          <w:rFonts w:ascii="Times New Roman" w:cs="Times New Roman" w:eastAsia="Times New Roman" w:hAnsi="Times New Roman"/>
          <w:sz w:val="20"/>
          <w:szCs w:val="20"/>
          <w:color w:val="231F20"/>
        </w:rPr>
        <w:t>installments of $3.0 million which began in July 2023, one installment of $5.0 million in April 2024, and one installment of $8.4 million in July 2024. In addition, the Company agreed to an exit fee of approximately $6.1 million to be paid in October 2024. Interest accrued on the difference between the payment schedule as agreed in the August 2021 amendment and the April 2022 amended payment schedule, at an aggregate per annum rate equal to 10%, with such interest payable quarterly on the following installment payment date. Our ability to make these payments was subject to ongoing compliance under the Perceptive Term Loan Facility. On September 30, 2024, the Company obtained consent from Perceptive and prepaid the October 1, 2024 exit fee of $6.1 million to Indi. The Company has no remaining obligations to Indi.</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During the year ended December 31, 2024, the Company recorded $1.1 million in interest expense due to the passage of time and fixed payment schedule.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340" w:type="dxa"/>
            <w:vAlign w:val="bottom"/>
          </w:tcPr>
          <w:p>
            <w:pPr>
              <w:spacing w:after="0"/>
              <w:rPr>
                <w:sz w:val="20"/>
                <w:szCs w:val="20"/>
                <w:color w:val="auto"/>
              </w:rPr>
            </w:pPr>
            <w:r>
              <w:rPr>
                <w:rFonts w:ascii="Times New Roman" w:cs="Times New Roman" w:eastAsia="Times New Roman" w:hAnsi="Times New Roman"/>
                <w:sz w:val="20"/>
                <w:szCs w:val="20"/>
                <w:b w:val="1"/>
                <w:bCs w:val="1"/>
                <w:color w:val="231F20"/>
              </w:rPr>
              <w:t>Note 5 – Property and Equipment</w:t>
            </w: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6"/>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Property and equipment consist of the following (in thousands):</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6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6"/>
          </w:tcPr>
          <w:p>
            <w:pPr>
              <w:jc w:val="right"/>
              <w:ind w:right="260"/>
              <w:spacing w:after="0"/>
              <w:rPr>
                <w:sz w:val="20"/>
                <w:szCs w:val="20"/>
                <w:color w:val="auto"/>
              </w:rPr>
            </w:pPr>
            <w:r>
              <w:rPr>
                <w:rFonts w:ascii="Times New Roman" w:cs="Times New Roman" w:eastAsia="Times New Roman" w:hAnsi="Times New Roman"/>
                <w:sz w:val="20"/>
                <w:szCs w:val="20"/>
                <w:b w:val="1"/>
                <w:bCs w:val="1"/>
                <w:color w:val="231F20"/>
              </w:rPr>
              <w:t>December 31, 2024</w:t>
            </w:r>
          </w:p>
        </w:tc>
        <w:tc>
          <w:tcPr>
            <w:tcW w:w="0" w:type="dxa"/>
            <w:vAlign w:val="bottom"/>
          </w:tcPr>
          <w:p>
            <w:pPr>
              <w:spacing w:after="0"/>
              <w:rPr>
                <w:sz w:val="1"/>
                <w:szCs w:val="1"/>
                <w:color w:val="auto"/>
              </w:rPr>
            </w:pPr>
          </w:p>
        </w:tc>
      </w:tr>
      <w:tr>
        <w:trPr>
          <w:trHeight w:val="239"/>
        </w:trPr>
        <w:tc>
          <w:tcPr>
            <w:tcW w:w="634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Lab equipment</w:t>
            </w:r>
          </w:p>
        </w:tc>
        <w:tc>
          <w:tcPr>
            <w:tcW w:w="220" w:type="dxa"/>
            <w:vAlign w:val="bottom"/>
            <w:tcBorders>
              <w:top w:val="single" w:sz="8" w:color="E3E4E5"/>
            </w:tcBorders>
            <w:shd w:val="clear" w:color="auto" w:fill="E3E4E5"/>
          </w:tcPr>
          <w:p>
            <w:pPr>
              <w:spacing w:after="0"/>
              <w:rPr>
                <w:sz w:val="20"/>
                <w:szCs w:val="20"/>
                <w:color w:val="auto"/>
              </w:rPr>
            </w:pPr>
          </w:p>
        </w:tc>
        <w:tc>
          <w:tcPr>
            <w:tcW w:w="720" w:type="dxa"/>
            <w:vAlign w:val="bottom"/>
            <w:tcBorders>
              <w:top w:val="single" w:sz="8" w:color="231F20"/>
            </w:tcBorders>
            <w:shd w:val="clear" w:color="auto" w:fill="E5E6E7"/>
          </w:tcPr>
          <w:p>
            <w:pPr>
              <w:jc w:val="right"/>
              <w:ind w:right="520"/>
              <w:spacing w:after="0"/>
              <w:rPr>
                <w:sz w:val="20"/>
                <w:szCs w:val="20"/>
                <w:color w:val="auto"/>
              </w:rPr>
            </w:pPr>
            <w:r>
              <w:rPr>
                <w:rFonts w:ascii="Times New Roman" w:cs="Times New Roman" w:eastAsia="Times New Roman" w:hAnsi="Times New Roman"/>
                <w:sz w:val="20"/>
                <w:szCs w:val="20"/>
                <w:color w:val="414142"/>
                <w:w w:val="79"/>
              </w:rPr>
              <w:t>$</w:t>
            </w:r>
          </w:p>
        </w:tc>
        <w:tc>
          <w:tcPr>
            <w:tcW w:w="340" w:type="dxa"/>
            <w:vAlign w:val="bottom"/>
            <w:tcBorders>
              <w:top w:val="single" w:sz="8" w:color="231F20"/>
            </w:tcBorders>
            <w:shd w:val="clear" w:color="auto" w:fill="E5E6E7"/>
          </w:tcPr>
          <w:p>
            <w:pPr>
              <w:spacing w:after="0"/>
              <w:rPr>
                <w:sz w:val="20"/>
                <w:szCs w:val="20"/>
                <w:color w:val="auto"/>
              </w:rPr>
            </w:pPr>
          </w:p>
        </w:tc>
        <w:tc>
          <w:tcPr>
            <w:tcW w:w="90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6,423</w:t>
            </w:r>
          </w:p>
        </w:tc>
        <w:tc>
          <w:tcPr>
            <w:tcW w:w="120" w:type="dxa"/>
            <w:vAlign w:val="bottom"/>
            <w:tcBorders>
              <w:top w:val="single" w:sz="8" w:color="E5E6E7"/>
            </w:tcBorders>
            <w:shd w:val="clear" w:color="auto" w:fill="E5E6E7"/>
          </w:tcPr>
          <w:p>
            <w:pPr>
              <w:spacing w:after="0"/>
              <w:rPr>
                <w:sz w:val="20"/>
                <w:szCs w:val="20"/>
                <w:color w:val="auto"/>
              </w:rPr>
            </w:pPr>
          </w:p>
        </w:tc>
        <w:tc>
          <w:tcPr>
            <w:tcW w:w="240" w:type="dxa"/>
            <w:vAlign w:val="bottom"/>
            <w:tcBorders>
              <w:top w:val="single" w:sz="8" w:color="231F20"/>
            </w:tcBorders>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14142"/>
              </w:rPr>
              <w:t>$</w:t>
            </w:r>
          </w:p>
        </w:tc>
        <w:tc>
          <w:tcPr>
            <w:tcW w:w="100" w:type="dxa"/>
            <w:vAlign w:val="bottom"/>
            <w:tcBorders>
              <w:top w:val="single" w:sz="8" w:color="231F20"/>
            </w:tcBorders>
            <w:shd w:val="clear" w:color="auto" w:fill="E3E4E5"/>
          </w:tcPr>
          <w:p>
            <w:pPr>
              <w:spacing w:after="0"/>
              <w:rPr>
                <w:sz w:val="20"/>
                <w:szCs w:val="20"/>
                <w:color w:val="auto"/>
              </w:rPr>
            </w:pPr>
          </w:p>
        </w:tc>
        <w:tc>
          <w:tcPr>
            <w:tcW w:w="160" w:type="dxa"/>
            <w:vAlign w:val="bottom"/>
            <w:tcBorders>
              <w:top w:val="single" w:sz="8" w:color="231F20"/>
            </w:tcBorders>
            <w:shd w:val="clear" w:color="auto" w:fill="E3E4E5"/>
          </w:tcPr>
          <w:p>
            <w:pPr>
              <w:spacing w:after="0"/>
              <w:rPr>
                <w:sz w:val="20"/>
                <w:szCs w:val="20"/>
                <w:color w:val="auto"/>
              </w:rPr>
            </w:pPr>
          </w:p>
        </w:tc>
        <w:tc>
          <w:tcPr>
            <w:tcW w:w="1000" w:type="dxa"/>
            <w:vAlign w:val="bottom"/>
            <w:tcBorders>
              <w:top w:val="single" w:sz="8" w:color="231F20"/>
            </w:tcBorders>
            <w:shd w:val="clear" w:color="auto" w:fill="E3E4E5"/>
          </w:tcPr>
          <w:p>
            <w:pPr>
              <w:spacing w:after="0"/>
              <w:rPr>
                <w:sz w:val="20"/>
                <w:szCs w:val="20"/>
                <w:color w:val="auto"/>
              </w:rPr>
            </w:pPr>
          </w:p>
        </w:tc>
        <w:tc>
          <w:tcPr>
            <w:tcW w:w="5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5,854</w:t>
            </w:r>
          </w:p>
        </w:tc>
        <w:tc>
          <w:tcPr>
            <w:tcW w:w="20" w:type="dxa"/>
            <w:vAlign w:val="bottom"/>
            <w:tcBorders>
              <w:top w:val="single" w:sz="8" w:color="E3E4E5"/>
            </w:tcBorders>
            <w:shd w:val="clear" w:color="auto" w:fill="E3E4E5"/>
          </w:tcPr>
          <w:p>
            <w:pPr>
              <w:spacing w:after="0"/>
              <w:rPr>
                <w:sz w:val="20"/>
                <w:szCs w:val="20"/>
                <w:color w:val="auto"/>
              </w:rPr>
            </w:pPr>
          </w:p>
        </w:tc>
        <w:tc>
          <w:tcPr>
            <w:tcW w:w="60" w:type="dxa"/>
            <w:vAlign w:val="bottom"/>
            <w:tcBorders>
              <w:top w:val="single" w:sz="8" w:color="E3E4E5"/>
            </w:tcBorders>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Leasehold improvements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28,265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28,192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Computer equipment</w:t>
            </w:r>
          </w:p>
        </w:tc>
        <w:tc>
          <w:tcPr>
            <w:tcW w:w="220" w:type="dxa"/>
            <w:vAlign w:val="bottom"/>
            <w:shd w:val="clear" w:color="auto" w:fill="E3E4E5"/>
          </w:tcPr>
          <w:p>
            <w:pPr>
              <w:spacing w:after="0"/>
              <w:rPr>
                <w:sz w:val="21"/>
                <w:szCs w:val="21"/>
                <w:color w:val="auto"/>
              </w:rPr>
            </w:pPr>
          </w:p>
        </w:tc>
        <w:tc>
          <w:tcPr>
            <w:tcW w:w="72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1,075</w:t>
            </w:r>
          </w:p>
        </w:tc>
        <w:tc>
          <w:tcPr>
            <w:tcW w:w="120" w:type="dxa"/>
            <w:vAlign w:val="bottom"/>
            <w:shd w:val="clear" w:color="auto" w:fill="E5E6E7"/>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000" w:type="dxa"/>
            <w:vAlign w:val="bottom"/>
            <w:shd w:val="clear" w:color="auto" w:fill="E3E4E5"/>
          </w:tcPr>
          <w:p>
            <w:pPr>
              <w:spacing w:after="0"/>
              <w:rPr>
                <w:sz w:val="21"/>
                <w:szCs w:val="21"/>
                <w:color w:val="auto"/>
              </w:rPr>
            </w:pP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1,305</w:t>
            </w:r>
          </w:p>
        </w:tc>
        <w:tc>
          <w:tcPr>
            <w:tcW w:w="2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Furniture and fixtures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1,100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Software</w:t>
            </w:r>
          </w:p>
        </w:tc>
        <w:tc>
          <w:tcPr>
            <w:tcW w:w="220" w:type="dxa"/>
            <w:vAlign w:val="bottom"/>
            <w:shd w:val="clear" w:color="auto" w:fill="E3E4E5"/>
          </w:tcPr>
          <w:p>
            <w:pPr>
              <w:spacing w:after="0"/>
              <w:rPr>
                <w:sz w:val="21"/>
                <w:szCs w:val="21"/>
                <w:color w:val="auto"/>
              </w:rPr>
            </w:pPr>
          </w:p>
        </w:tc>
        <w:tc>
          <w:tcPr>
            <w:tcW w:w="720" w:type="dxa"/>
            <w:vAlign w:val="bottom"/>
            <w:shd w:val="clear" w:color="auto" w:fill="E5E6E7"/>
          </w:tcPr>
          <w:p>
            <w:pPr>
              <w:spacing w:after="0"/>
              <w:rPr>
                <w:sz w:val="21"/>
                <w:szCs w:val="21"/>
                <w:color w:val="auto"/>
              </w:rPr>
            </w:pPr>
          </w:p>
        </w:tc>
        <w:tc>
          <w:tcPr>
            <w:tcW w:w="34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325</w:t>
            </w:r>
          </w:p>
        </w:tc>
        <w:tc>
          <w:tcPr>
            <w:tcW w:w="120" w:type="dxa"/>
            <w:vAlign w:val="bottom"/>
            <w:shd w:val="clear" w:color="auto" w:fill="E5E6E7"/>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000" w:type="dxa"/>
            <w:vAlign w:val="bottom"/>
            <w:shd w:val="clear" w:color="auto" w:fill="E3E4E5"/>
          </w:tcPr>
          <w:p>
            <w:pPr>
              <w:spacing w:after="0"/>
              <w:rPr>
                <w:sz w:val="21"/>
                <w:szCs w:val="21"/>
                <w:color w:val="auto"/>
              </w:rPr>
            </w:pPr>
          </w:p>
        </w:tc>
        <w:tc>
          <w:tcPr>
            <w:tcW w:w="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325</w:t>
            </w:r>
          </w:p>
        </w:tc>
        <w:tc>
          <w:tcPr>
            <w:tcW w:w="2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Vehicles</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Construction in process</w:t>
            </w:r>
          </w:p>
        </w:tc>
        <w:tc>
          <w:tcPr>
            <w:tcW w:w="220" w:type="dxa"/>
            <w:vAlign w:val="bottom"/>
            <w:shd w:val="clear" w:color="auto" w:fill="E3E4E5"/>
          </w:tcPr>
          <w:p>
            <w:pPr>
              <w:spacing w:after="0"/>
              <w:rPr>
                <w:sz w:val="21"/>
                <w:szCs w:val="21"/>
                <w:color w:val="auto"/>
              </w:rPr>
            </w:pPr>
          </w:p>
        </w:tc>
        <w:tc>
          <w:tcPr>
            <w:tcW w:w="720" w:type="dxa"/>
            <w:vAlign w:val="bottom"/>
            <w:tcBorders>
              <w:bottom w:val="single" w:sz="8" w:color="231F20"/>
            </w:tcBorders>
            <w:shd w:val="clear" w:color="auto" w:fill="E5E6E7"/>
          </w:tcPr>
          <w:p>
            <w:pPr>
              <w:spacing w:after="0"/>
              <w:rPr>
                <w:sz w:val="21"/>
                <w:szCs w:val="21"/>
                <w:color w:val="auto"/>
              </w:rPr>
            </w:pPr>
          </w:p>
        </w:tc>
        <w:tc>
          <w:tcPr>
            <w:tcW w:w="340" w:type="dxa"/>
            <w:vAlign w:val="bottom"/>
            <w:tcBorders>
              <w:bottom w:val="single" w:sz="8" w:color="231F20"/>
            </w:tcBorders>
            <w:shd w:val="clear" w:color="auto" w:fill="E5E6E7"/>
          </w:tcPr>
          <w:p>
            <w:pPr>
              <w:spacing w:after="0"/>
              <w:rPr>
                <w:sz w:val="21"/>
                <w:szCs w:val="21"/>
                <w:color w:val="auto"/>
              </w:rPr>
            </w:pPr>
          </w:p>
        </w:tc>
        <w:tc>
          <w:tcPr>
            <w:tcW w:w="90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27</w:t>
            </w:r>
          </w:p>
        </w:tc>
        <w:tc>
          <w:tcPr>
            <w:tcW w:w="120" w:type="dxa"/>
            <w:vAlign w:val="bottom"/>
            <w:shd w:val="clear" w:color="auto" w:fill="E5E6E7"/>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40" w:type="dxa"/>
            <w:vAlign w:val="bottom"/>
            <w:tcBorders>
              <w:bottom w:val="single" w:sz="8" w:color="231F20"/>
            </w:tcBorders>
            <w:shd w:val="clear" w:color="auto" w:fill="E3E4E5"/>
          </w:tcPr>
          <w:p>
            <w:pPr>
              <w:spacing w:after="0"/>
              <w:rPr>
                <w:sz w:val="21"/>
                <w:szCs w:val="21"/>
                <w:color w:val="auto"/>
              </w:rPr>
            </w:pPr>
          </w:p>
        </w:tc>
        <w:tc>
          <w:tcPr>
            <w:tcW w:w="100" w:type="dxa"/>
            <w:vAlign w:val="bottom"/>
            <w:tcBorders>
              <w:bottom w:val="single" w:sz="8" w:color="231F20"/>
            </w:tcBorders>
            <w:shd w:val="clear" w:color="auto" w:fill="E3E4E5"/>
          </w:tcPr>
          <w:p>
            <w:pPr>
              <w:spacing w:after="0"/>
              <w:rPr>
                <w:sz w:val="21"/>
                <w:szCs w:val="21"/>
                <w:color w:val="auto"/>
              </w:rPr>
            </w:pPr>
          </w:p>
        </w:tc>
        <w:tc>
          <w:tcPr>
            <w:tcW w:w="160" w:type="dxa"/>
            <w:vAlign w:val="bottom"/>
            <w:tcBorders>
              <w:bottom w:val="single" w:sz="8" w:color="231F20"/>
            </w:tcBorders>
            <w:shd w:val="clear" w:color="auto" w:fill="E3E4E5"/>
          </w:tcPr>
          <w:p>
            <w:pPr>
              <w:spacing w:after="0"/>
              <w:rPr>
                <w:sz w:val="21"/>
                <w:szCs w:val="21"/>
                <w:color w:val="auto"/>
              </w:rPr>
            </w:pPr>
          </w:p>
        </w:tc>
        <w:tc>
          <w:tcPr>
            <w:tcW w:w="1000" w:type="dxa"/>
            <w:vAlign w:val="bottom"/>
            <w:tcBorders>
              <w:bottom w:val="single" w:sz="8" w:color="231F20"/>
            </w:tcBorders>
            <w:shd w:val="clear" w:color="auto" w:fill="E3E4E5"/>
          </w:tcPr>
          <w:p>
            <w:pPr>
              <w:spacing w:after="0"/>
              <w:rPr>
                <w:sz w:val="21"/>
                <w:szCs w:val="21"/>
                <w:color w:val="auto"/>
              </w:rPr>
            </w:pPr>
          </w:p>
        </w:tc>
        <w:tc>
          <w:tcPr>
            <w:tcW w:w="5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89</w:t>
            </w:r>
          </w:p>
        </w:tc>
        <w:tc>
          <w:tcPr>
            <w:tcW w:w="20" w:type="dxa"/>
            <w:vAlign w:val="bottom"/>
            <w:shd w:val="clear" w:color="auto" w:fill="E3E4E5"/>
          </w:tcPr>
          <w:p>
            <w:pPr>
              <w:spacing w:after="0"/>
              <w:rPr>
                <w:sz w:val="21"/>
                <w:szCs w:val="21"/>
                <w:color w:val="auto"/>
              </w:rPr>
            </w:pPr>
          </w:p>
        </w:tc>
        <w:tc>
          <w:tcPr>
            <w:tcW w:w="6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37,333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36,962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Less accumulated depreciation</w:t>
            </w:r>
          </w:p>
        </w:tc>
        <w:tc>
          <w:tcPr>
            <w:tcW w:w="220" w:type="dxa"/>
            <w:vAlign w:val="bottom"/>
            <w:shd w:val="clear" w:color="auto" w:fill="E3E4E5"/>
          </w:tcPr>
          <w:p>
            <w:pPr>
              <w:spacing w:after="0"/>
              <w:rPr>
                <w:sz w:val="21"/>
                <w:szCs w:val="21"/>
                <w:color w:val="auto"/>
              </w:rPr>
            </w:pPr>
          </w:p>
        </w:tc>
        <w:tc>
          <w:tcPr>
            <w:tcW w:w="720" w:type="dxa"/>
            <w:vAlign w:val="bottom"/>
            <w:shd w:val="clear" w:color="auto" w:fill="E3E4E5"/>
          </w:tcPr>
          <w:p>
            <w:pPr>
              <w:spacing w:after="0"/>
              <w:rPr>
                <w:sz w:val="21"/>
                <w:szCs w:val="21"/>
                <w:color w:val="auto"/>
              </w:rPr>
            </w:pPr>
          </w:p>
        </w:tc>
        <w:tc>
          <w:tcPr>
            <w:tcW w:w="340" w:type="dxa"/>
            <w:vAlign w:val="bottom"/>
            <w:shd w:val="clear" w:color="auto" w:fill="E3E4E5"/>
          </w:tcPr>
          <w:p>
            <w:pPr>
              <w:spacing w:after="0"/>
              <w:rPr>
                <w:sz w:val="21"/>
                <w:szCs w:val="21"/>
                <w:color w:val="auto"/>
              </w:rPr>
            </w:pPr>
          </w:p>
        </w:tc>
        <w:tc>
          <w:tcPr>
            <w:tcW w:w="102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(12,516)</w:t>
            </w:r>
          </w:p>
        </w:tc>
        <w:tc>
          <w:tcPr>
            <w:tcW w:w="10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000" w:type="dxa"/>
            <w:vAlign w:val="bottom"/>
            <w:shd w:val="clear" w:color="auto" w:fill="E3E4E5"/>
          </w:tcPr>
          <w:p>
            <w:pPr>
              <w:spacing w:after="0"/>
              <w:rPr>
                <w:sz w:val="21"/>
                <w:szCs w:val="21"/>
                <w:color w:val="auto"/>
              </w:rPr>
            </w:pPr>
          </w:p>
        </w:tc>
        <w:tc>
          <w:tcPr>
            <w:tcW w:w="660" w:type="dxa"/>
            <w:vAlign w:val="bottom"/>
            <w:gridSpan w:val="3"/>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(9,134)</w:t>
            </w:r>
          </w:p>
        </w:tc>
        <w:tc>
          <w:tcPr>
            <w:tcW w:w="0" w:type="dxa"/>
            <w:vAlign w:val="bottom"/>
          </w:tcPr>
          <w:p>
            <w:pPr>
              <w:spacing w:after="0"/>
              <w:rPr>
                <w:sz w:val="1"/>
                <w:szCs w:val="1"/>
                <w:color w:val="auto"/>
              </w:rPr>
            </w:pPr>
          </w:p>
        </w:tc>
      </w:tr>
      <w:tr>
        <w:trPr>
          <w:trHeight w:val="259"/>
        </w:trPr>
        <w:tc>
          <w:tcPr>
            <w:tcW w:w="634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Total property and equipment, net</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20"/>
                <w:szCs w:val="20"/>
                <w:color w:val="231F20"/>
              </w:rPr>
              <w:t>$</w:t>
            </w:r>
          </w:p>
        </w:tc>
        <w:tc>
          <w:tcPr>
            <w:tcW w:w="3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24,817</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8"/>
              </w:rPr>
              <w:t>27,828</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Depreciation expense related to property and equipment was (in thousands):</w:t>
            </w:r>
          </w:p>
        </w:tc>
        <w:tc>
          <w:tcPr>
            <w:tcW w:w="220" w:type="dxa"/>
            <w:vAlign w:val="bottom"/>
          </w:tcPr>
          <w:p>
            <w:pPr>
              <w:spacing w:after="0" w:line="20" w:lineRule="exact"/>
              <w:rPr>
                <w:sz w:val="1"/>
                <w:szCs w:val="1"/>
                <w:color w:val="auto"/>
              </w:rPr>
            </w:pPr>
          </w:p>
        </w:tc>
        <w:tc>
          <w:tcPr>
            <w:tcW w:w="720" w:type="dxa"/>
            <w:vAlign w:val="bottom"/>
            <w:tcBorders>
              <w:top w:val="single" w:sz="8" w:color="231F20"/>
              <w:bottom w:val="single" w:sz="8" w:color="231F20"/>
            </w:tcBorders>
          </w:tcPr>
          <w:p>
            <w:pPr>
              <w:spacing w:after="0" w:line="20" w:lineRule="exact"/>
              <w:rPr>
                <w:sz w:val="1"/>
                <w:szCs w:val="1"/>
                <w:color w:val="auto"/>
              </w:rPr>
            </w:pPr>
          </w:p>
        </w:tc>
        <w:tc>
          <w:tcPr>
            <w:tcW w:w="3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000" w:type="dxa"/>
            <w:vAlign w:val="bottom"/>
            <w:tcBorders>
              <w:top w:val="single" w:sz="8" w:color="231F20"/>
              <w:bottom w:val="single" w:sz="8" w:color="231F20"/>
            </w:tcBorders>
          </w:tcPr>
          <w:p>
            <w:pPr>
              <w:spacing w:after="0" w:line="20" w:lineRule="exact"/>
              <w:rPr>
                <w:sz w:val="1"/>
                <w:szCs w:val="1"/>
                <w:color w:val="auto"/>
              </w:rPr>
            </w:pPr>
          </w:p>
        </w:tc>
        <w:tc>
          <w:tcPr>
            <w:tcW w:w="580" w:type="dxa"/>
            <w:vAlign w:val="bottom"/>
            <w:tcBorders>
              <w:top w:val="single" w:sz="8" w:color="231F20"/>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63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Borders>
              <w:bottom w:val="single" w:sz="8" w:color="231F20"/>
            </w:tcBorders>
          </w:tcPr>
          <w:p>
            <w:pPr>
              <w:spacing w:after="0"/>
              <w:rPr>
                <w:sz w:val="24"/>
                <w:szCs w:val="24"/>
                <w:color w:val="auto"/>
              </w:rPr>
            </w:pPr>
          </w:p>
        </w:tc>
        <w:tc>
          <w:tcPr>
            <w:tcW w:w="2520" w:type="dxa"/>
            <w:vAlign w:val="bottom"/>
            <w:tcBorders>
              <w:bottom w:val="single" w:sz="8" w:color="231F20"/>
            </w:tcBorders>
            <w:gridSpan w:val="7"/>
          </w:tcPr>
          <w:p>
            <w:pPr>
              <w:jc w:val="right"/>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580" w:type="dxa"/>
            <w:vAlign w:val="bottom"/>
            <w:tcBorders>
              <w:bottom w:val="single" w:sz="8" w:color="231F20"/>
            </w:tcBorders>
          </w:tcPr>
          <w:p>
            <w:pPr>
              <w:spacing w:after="0"/>
              <w:rPr>
                <w:sz w:val="24"/>
                <w:szCs w:val="24"/>
                <w:color w:val="auto"/>
              </w:rPr>
            </w:pPr>
          </w:p>
        </w:tc>
        <w:tc>
          <w:tcPr>
            <w:tcW w:w="2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4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Direct costs and expenses</w:t>
            </w:r>
          </w:p>
        </w:tc>
        <w:tc>
          <w:tcPr>
            <w:tcW w:w="220" w:type="dxa"/>
            <w:vAlign w:val="bottom"/>
            <w:tcBorders>
              <w:top w:val="single" w:sz="8" w:color="E3E4E5"/>
            </w:tcBorders>
            <w:shd w:val="clear" w:color="auto" w:fill="E3E4E5"/>
          </w:tcPr>
          <w:p>
            <w:pPr>
              <w:spacing w:after="0"/>
              <w:rPr>
                <w:sz w:val="20"/>
                <w:szCs w:val="20"/>
                <w:color w:val="auto"/>
              </w:rPr>
            </w:pPr>
          </w:p>
        </w:tc>
        <w:tc>
          <w:tcPr>
            <w:tcW w:w="720" w:type="dxa"/>
            <w:vAlign w:val="bottom"/>
            <w:tcBorders>
              <w:top w:val="single" w:sz="8" w:color="E3E4E5"/>
            </w:tcBorders>
            <w:shd w:val="clear" w:color="auto" w:fill="E3E4E5"/>
          </w:tcPr>
          <w:p>
            <w:pPr>
              <w:spacing w:after="0"/>
              <w:rPr>
                <w:sz w:val="20"/>
                <w:szCs w:val="20"/>
                <w:color w:val="auto"/>
              </w:rPr>
            </w:pPr>
          </w:p>
        </w:tc>
        <w:tc>
          <w:tcPr>
            <w:tcW w:w="340" w:type="dxa"/>
            <w:vAlign w:val="bottom"/>
            <w:tcBorders>
              <w:top w:val="single" w:sz="8" w:color="231F20"/>
            </w:tcBorders>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14142"/>
                <w:w w:val="79"/>
              </w:rPr>
              <w:t>$</w:t>
            </w:r>
          </w:p>
        </w:tc>
        <w:tc>
          <w:tcPr>
            <w:tcW w:w="900" w:type="dxa"/>
            <w:vAlign w:val="bottom"/>
            <w:tcBorders>
              <w:top w:val="single" w:sz="8" w:color="231F20"/>
            </w:tcBorders>
            <w:shd w:val="clear" w:color="auto" w:fill="E3E4E5"/>
          </w:tcPr>
          <w:p>
            <w:pPr>
              <w:spacing w:after="0"/>
              <w:rPr>
                <w:sz w:val="20"/>
                <w:szCs w:val="20"/>
                <w:color w:val="auto"/>
              </w:rPr>
            </w:pPr>
          </w:p>
        </w:tc>
        <w:tc>
          <w:tcPr>
            <w:tcW w:w="360" w:type="dxa"/>
            <w:vAlign w:val="bottom"/>
            <w:tcBorders>
              <w:top w:val="single" w:sz="8" w:color="231F20"/>
            </w:tcBorders>
            <w:gridSpan w:val="3"/>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482</w:t>
            </w:r>
          </w:p>
        </w:tc>
        <w:tc>
          <w:tcPr>
            <w:tcW w:w="100" w:type="dxa"/>
            <w:vAlign w:val="bottom"/>
            <w:tcBorders>
              <w:top w:val="single" w:sz="8" w:color="E3E4E5"/>
            </w:tcBorders>
            <w:shd w:val="clear" w:color="auto" w:fill="E3E4E5"/>
          </w:tcPr>
          <w:p>
            <w:pPr>
              <w:spacing w:after="0"/>
              <w:rPr>
                <w:sz w:val="20"/>
                <w:szCs w:val="20"/>
                <w:color w:val="auto"/>
              </w:rPr>
            </w:pPr>
          </w:p>
        </w:tc>
        <w:tc>
          <w:tcPr>
            <w:tcW w:w="1160" w:type="dxa"/>
            <w:vAlign w:val="bottom"/>
            <w:gridSpan w:val="2"/>
            <w:shd w:val="clear" w:color="auto" w:fill="E3E4E5"/>
          </w:tcPr>
          <w:p>
            <w:pPr>
              <w:jc w:val="right"/>
              <w:ind w:right="800"/>
              <w:spacing w:after="0"/>
              <w:rPr>
                <w:sz w:val="20"/>
                <w:szCs w:val="20"/>
                <w:color w:val="auto"/>
              </w:rPr>
            </w:pPr>
            <w:r>
              <w:rPr>
                <w:rFonts w:ascii="Times New Roman" w:cs="Times New Roman" w:eastAsia="Times New Roman" w:hAnsi="Times New Roman"/>
                <w:sz w:val="20"/>
                <w:szCs w:val="20"/>
                <w:color w:val="414142"/>
              </w:rPr>
              <w:t>$</w:t>
            </w:r>
          </w:p>
        </w:tc>
        <w:tc>
          <w:tcPr>
            <w:tcW w:w="60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413</w:t>
            </w:r>
          </w:p>
        </w:tc>
        <w:tc>
          <w:tcPr>
            <w:tcW w:w="60" w:type="dxa"/>
            <w:vAlign w:val="bottom"/>
            <w:tcBorders>
              <w:top w:val="single" w:sz="8" w:color="E3E4E5"/>
            </w:tcBorders>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340" w:type="dxa"/>
            <w:vAlign w:val="bottom"/>
          </w:tcPr>
          <w:p>
            <w:pPr>
              <w:spacing w:after="0"/>
              <w:rPr>
                <w:sz w:val="20"/>
                <w:szCs w:val="20"/>
                <w:color w:val="auto"/>
              </w:rPr>
            </w:pPr>
            <w:r>
              <w:rPr>
                <w:rFonts w:ascii="Times New Roman" w:cs="Times New Roman" w:eastAsia="Times New Roman" w:hAnsi="Times New Roman"/>
                <w:sz w:val="20"/>
                <w:szCs w:val="20"/>
                <w:color w:val="231F20"/>
              </w:rPr>
              <w:t>Selling, marketing, general and administrative</w:t>
            </w: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231F20"/>
              </w:rPr>
              <w:t>3,160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3,352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340" w:type="dxa"/>
            <w:vAlign w:val="bottom"/>
            <w:shd w:val="clear" w:color="auto" w:fill="E3E4E5"/>
          </w:tcPr>
          <w:p>
            <w:pPr>
              <w:ind w:left="160"/>
              <w:spacing w:after="0"/>
              <w:rPr>
                <w:sz w:val="20"/>
                <w:szCs w:val="20"/>
                <w:color w:val="auto"/>
              </w:rPr>
            </w:pPr>
            <w:r>
              <w:rPr>
                <w:rFonts w:ascii="Times New Roman" w:cs="Times New Roman" w:eastAsia="Times New Roman" w:hAnsi="Times New Roman"/>
                <w:sz w:val="20"/>
                <w:szCs w:val="20"/>
                <w:color w:val="414142"/>
              </w:rPr>
              <w:t>Total</w:t>
            </w:r>
          </w:p>
        </w:tc>
        <w:tc>
          <w:tcPr>
            <w:tcW w:w="220" w:type="dxa"/>
            <w:vAlign w:val="bottom"/>
            <w:shd w:val="clear" w:color="auto" w:fill="E3E4E5"/>
          </w:tcPr>
          <w:p>
            <w:pPr>
              <w:spacing w:after="0"/>
              <w:rPr>
                <w:sz w:val="22"/>
                <w:szCs w:val="22"/>
                <w:color w:val="auto"/>
              </w:rPr>
            </w:pPr>
          </w:p>
        </w:tc>
        <w:tc>
          <w:tcPr>
            <w:tcW w:w="720" w:type="dxa"/>
            <w:vAlign w:val="bottom"/>
            <w:shd w:val="clear" w:color="auto" w:fill="E3E4E5"/>
          </w:tcPr>
          <w:p>
            <w:pPr>
              <w:spacing w:after="0"/>
              <w:rPr>
                <w:sz w:val="22"/>
                <w:szCs w:val="22"/>
                <w:color w:val="auto"/>
              </w:rPr>
            </w:pPr>
          </w:p>
        </w:tc>
        <w:tc>
          <w:tcPr>
            <w:tcW w:w="340" w:type="dxa"/>
            <w:vAlign w:val="bottom"/>
            <w:tcBorders>
              <w:bottom w:val="single" w:sz="8" w:color="231F20"/>
            </w:tcBorders>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14142"/>
                <w:w w:val="79"/>
              </w:rPr>
              <w:t>$</w:t>
            </w:r>
          </w:p>
        </w:tc>
        <w:tc>
          <w:tcPr>
            <w:tcW w:w="1260" w:type="dxa"/>
            <w:vAlign w:val="bottom"/>
            <w:tcBorders>
              <w:bottom w:val="single" w:sz="8" w:color="231F20"/>
            </w:tcBorders>
            <w:gridSpan w:val="4"/>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3,642</w:t>
            </w:r>
          </w:p>
        </w:tc>
        <w:tc>
          <w:tcPr>
            <w:tcW w:w="260" w:type="dxa"/>
            <w:vAlign w:val="bottom"/>
            <w:gridSpan w:val="2"/>
            <w:shd w:val="clear" w:color="auto" w:fill="E3E4E5"/>
          </w:tcPr>
          <w:p>
            <w:pPr>
              <w:spacing w:after="0"/>
              <w:rPr>
                <w:sz w:val="22"/>
                <w:szCs w:val="22"/>
                <w:color w:val="auto"/>
              </w:rPr>
            </w:pPr>
          </w:p>
        </w:tc>
        <w:tc>
          <w:tcPr>
            <w:tcW w:w="1000" w:type="dxa"/>
            <w:vAlign w:val="bottom"/>
            <w:tcBorders>
              <w:bottom w:val="single" w:sz="8" w:color="231F20"/>
            </w:tcBorders>
            <w:shd w:val="clear" w:color="auto" w:fill="E3E4E5"/>
          </w:tcPr>
          <w:p>
            <w:pPr>
              <w:jc w:val="right"/>
              <w:ind w:right="800"/>
              <w:spacing w:after="0"/>
              <w:rPr>
                <w:sz w:val="20"/>
                <w:szCs w:val="20"/>
                <w:color w:val="auto"/>
              </w:rPr>
            </w:pPr>
            <w:r>
              <w:rPr>
                <w:rFonts w:ascii="Times New Roman" w:cs="Times New Roman" w:eastAsia="Times New Roman" w:hAnsi="Times New Roman"/>
                <w:sz w:val="20"/>
                <w:szCs w:val="20"/>
                <w:color w:val="414142"/>
                <w:w w:val="79"/>
              </w:rPr>
              <w:t>$</w:t>
            </w:r>
          </w:p>
        </w:tc>
        <w:tc>
          <w:tcPr>
            <w:tcW w:w="600" w:type="dxa"/>
            <w:vAlign w:val="bottom"/>
            <w:tcBorders>
              <w:bottom w:val="single" w:sz="8" w:color="231F20"/>
            </w:tcBorders>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3,765</w:t>
            </w:r>
          </w:p>
        </w:tc>
        <w:tc>
          <w:tcPr>
            <w:tcW w:w="60" w:type="dxa"/>
            <w:vAlign w:val="bottom"/>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231F20"/>
            </w:tcBorders>
          </w:tcPr>
          <w:p>
            <w:pPr>
              <w:spacing w:after="0" w:line="20" w:lineRule="exact"/>
              <w:rPr>
                <w:sz w:val="1"/>
                <w:szCs w:val="1"/>
                <w:color w:val="auto"/>
              </w:rPr>
            </w:pPr>
          </w:p>
        </w:tc>
        <w:tc>
          <w:tcPr>
            <w:tcW w:w="900" w:type="dxa"/>
            <w:vAlign w:val="bottom"/>
            <w:tcBorders>
              <w:bottom w:val="single" w:sz="8" w:color="231F20"/>
            </w:tcBorders>
          </w:tcPr>
          <w:p>
            <w:pPr>
              <w:spacing w:after="0" w:line="20" w:lineRule="exact"/>
              <w:rPr>
                <w:sz w:val="1"/>
                <w:szCs w:val="1"/>
                <w:color w:val="auto"/>
              </w:rPr>
            </w:pPr>
          </w:p>
        </w:tc>
        <w:tc>
          <w:tcPr>
            <w:tcW w:w="1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40" w:type="dxa"/>
            <w:vAlign w:val="bottom"/>
            <w:tcBorders>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231F20"/>
            </w:tcBorders>
          </w:tcPr>
          <w:p>
            <w:pPr>
              <w:spacing w:after="0" w:line="20" w:lineRule="exact"/>
              <w:rPr>
                <w:sz w:val="1"/>
                <w:szCs w:val="1"/>
                <w:color w:val="auto"/>
              </w:rPr>
            </w:pPr>
          </w:p>
        </w:tc>
        <w:tc>
          <w:tcPr>
            <w:tcW w:w="5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4157345</wp:posOffset>
            </wp:positionH>
            <wp:positionV relativeFrom="paragraph">
              <wp:posOffset>-3004185</wp:posOffset>
            </wp:positionV>
            <wp:extent cx="2658110" cy="349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36">
                      <a:extLst>
                        <a:ext uri="{28A0092B-C50C-407E-A947-70E740481C1C}"/>
                      </a:extLst>
                    </a:blip>
                    <a:srcRect/>
                    <a:stretch>
                      <a:fillRect/>
                    </a:stretch>
                  </pic:blipFill>
                  <pic:spPr bwMode="auto">
                    <a:xfrm>
                      <a:off x="0" y="0"/>
                      <a:ext cx="2658110" cy="349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4170045</wp:posOffset>
                </wp:positionH>
                <wp:positionV relativeFrom="paragraph">
                  <wp:posOffset>-2827655</wp:posOffset>
                </wp:positionV>
                <wp:extent cx="0" cy="9525"/>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8.35pt,-222.6499pt" to="328.35pt,-221.8999pt" o:allowincell="f" strokecolor="#414142" strokeweight="0pt"/>
            </w:pict>
          </mc:Fallback>
        </mc:AlternateContent>
        <w:drawing>
          <wp:anchor simplePos="0" relativeHeight="251657728" behindDoc="1" locked="0" layoutInCell="0" allowOverlap="1">
            <wp:simplePos x="0" y="0"/>
            <wp:positionH relativeFrom="column">
              <wp:posOffset>4157345</wp:posOffset>
            </wp:positionH>
            <wp:positionV relativeFrom="paragraph">
              <wp:posOffset>-2830195</wp:posOffset>
            </wp:positionV>
            <wp:extent cx="265811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37">
                      <a:extLst>
                        <a:ext uri="{28A0092B-C50C-407E-A947-70E740481C1C}"/>
                      </a:extLst>
                    </a:blip>
                    <a:srcRect/>
                    <a:stretch>
                      <a:fillRect/>
                    </a:stretch>
                  </pic:blipFill>
                  <pic:spPr bwMode="auto">
                    <a:xfrm>
                      <a:off x="0" y="0"/>
                      <a:ext cx="2658110" cy="25400"/>
                    </a:xfrm>
                    <a:prstGeom prst="rect">
                      <a:avLst/>
                    </a:prstGeom>
                    <a:noFill/>
                  </pic:spPr>
                </pic:pic>
              </a:graphicData>
            </a:graphic>
          </wp:anchor>
        </w:drawing>
        <w:drawing>
          <wp:anchor simplePos="0" relativeHeight="251657728" behindDoc="1" locked="0" layoutInCell="0" allowOverlap="1">
            <wp:simplePos x="0" y="0"/>
            <wp:positionH relativeFrom="column">
              <wp:posOffset>4150995</wp:posOffset>
            </wp:positionH>
            <wp:positionV relativeFrom="paragraph">
              <wp:posOffset>-1432560</wp:posOffset>
            </wp:positionV>
            <wp:extent cx="2670810" cy="476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38">
                      <a:extLst>
                        <a:ext uri="{28A0092B-C50C-407E-A947-70E740481C1C}"/>
                      </a:extLst>
                    </a:blip>
                    <a:srcRect/>
                    <a:stretch>
                      <a:fillRect/>
                    </a:stretch>
                  </pic:blipFill>
                  <pic:spPr bwMode="auto">
                    <a:xfrm>
                      <a:off x="0" y="0"/>
                      <a:ext cx="2670810" cy="47625"/>
                    </a:xfrm>
                    <a:prstGeom prst="rect">
                      <a:avLst/>
                    </a:prstGeom>
                    <a:noFill/>
                  </pic:spPr>
                </pic:pic>
              </a:graphicData>
            </a:graphic>
          </wp:anchor>
        </w:drawing>
        <w:drawing>
          <wp:anchor simplePos="0" relativeHeight="251657728" behindDoc="1" locked="0" layoutInCell="0" allowOverlap="1">
            <wp:simplePos x="0" y="0"/>
            <wp:positionH relativeFrom="column">
              <wp:posOffset>5681980</wp:posOffset>
            </wp:positionH>
            <wp:positionV relativeFrom="paragraph">
              <wp:posOffset>-530860</wp:posOffset>
            </wp:positionV>
            <wp:extent cx="1154430" cy="4762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9">
                      <a:extLst>
                        <a:ext uri="{28A0092B-C50C-407E-A947-70E740481C1C}"/>
                      </a:extLst>
                    </a:blip>
                    <a:srcRect/>
                    <a:stretch>
                      <a:fillRect/>
                    </a:stretch>
                  </pic:blipFill>
                  <pic:spPr bwMode="auto">
                    <a:xfrm>
                      <a:off x="0" y="0"/>
                      <a:ext cx="1154430" cy="47625"/>
                    </a:xfrm>
                    <a:prstGeom prst="rect">
                      <a:avLst/>
                    </a:prstGeom>
                    <a:noFill/>
                  </pic:spPr>
                </pic:pic>
              </a:graphicData>
            </a:graphic>
          </wp:anchor>
        </w:drawing>
        <w:drawing>
          <wp:anchor simplePos="0" relativeHeight="251657728" behindDoc="1" locked="0" layoutInCell="0" allowOverlap="1">
            <wp:simplePos x="0" y="0"/>
            <wp:positionH relativeFrom="column">
              <wp:posOffset>4598035</wp:posOffset>
            </wp:positionH>
            <wp:positionV relativeFrom="paragraph">
              <wp:posOffset>-211455</wp:posOffset>
            </wp:positionV>
            <wp:extent cx="2238375" cy="476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40">
                      <a:extLst>
                        <a:ext uri="{28A0092B-C50C-407E-A947-70E740481C1C}"/>
                      </a:extLst>
                    </a:blip>
                    <a:srcRect/>
                    <a:stretch>
                      <a:fillRect/>
                    </a:stretch>
                  </pic:blipFill>
                  <pic:spPr bwMode="auto">
                    <a:xfrm>
                      <a:off x="0" y="0"/>
                      <a:ext cx="2238375" cy="47625"/>
                    </a:xfrm>
                    <a:prstGeom prst="rect">
                      <a:avLst/>
                    </a:prstGeom>
                    <a:noFill/>
                  </pic:spPr>
                </pic:pic>
              </a:graphicData>
            </a:graphic>
          </wp:anchor>
        </w:drawing>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6 – Goodwill and Intangible Assets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Intangible assets, excluding goodwill, consist of the following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860" w:type="dxa"/>
            <w:vAlign w:val="bottom"/>
            <w:gridSpan w:val="6"/>
          </w:tcPr>
          <w:p>
            <w:pPr>
              <w:ind w:left="6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120" w:type="dxa"/>
            <w:vAlign w:val="bottom"/>
          </w:tcPr>
          <w:p>
            <w:pPr>
              <w:spacing w:after="0"/>
              <w:rPr>
                <w:sz w:val="23"/>
                <w:szCs w:val="23"/>
                <w:color w:val="auto"/>
              </w:rPr>
            </w:pPr>
          </w:p>
        </w:tc>
        <w:tc>
          <w:tcPr>
            <w:tcW w:w="740" w:type="dxa"/>
            <w:vAlign w:val="bottom"/>
            <w:vMerge w:val="restart"/>
          </w:tcPr>
          <w:p>
            <w:pPr>
              <w:jc w:val="center"/>
              <w:ind w:right="60"/>
              <w:spacing w:after="0"/>
              <w:rPr>
                <w:sz w:val="20"/>
                <w:szCs w:val="20"/>
                <w:color w:val="auto"/>
              </w:rPr>
            </w:pPr>
            <w:r>
              <w:rPr>
                <w:rFonts w:ascii="Times New Roman" w:cs="Times New Roman" w:eastAsia="Times New Roman" w:hAnsi="Times New Roman"/>
                <w:sz w:val="20"/>
                <w:szCs w:val="20"/>
                <w:b w:val="1"/>
                <w:bCs w:val="1"/>
                <w:color w:val="231F20"/>
                <w:w w:val="99"/>
              </w:rPr>
              <w:t>Net</w:t>
            </w: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20" w:type="dxa"/>
            <w:vAlign w:val="bottom"/>
            <w:gridSpan w:val="5"/>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December 31, 2024</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231F20"/>
              </w:rPr>
              <w:t>Net</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231F20"/>
              </w:rPr>
              <w:t>Accumulated</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231F20"/>
                <w:w w:val="98"/>
              </w:rPr>
              <w:t>Carrying</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Accumulated</w:t>
            </w:r>
          </w:p>
        </w:tc>
        <w:tc>
          <w:tcPr>
            <w:tcW w:w="20" w:type="dxa"/>
            <w:vAlign w:val="bottom"/>
          </w:tcPr>
          <w:p>
            <w:pPr>
              <w:spacing w:after="0"/>
              <w:rPr>
                <w:sz w:val="20"/>
                <w:szCs w:val="20"/>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rPr>
              <w:t>Carrying</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Cost</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231F20"/>
              </w:rPr>
              <w:t>Amortization</w:t>
            </w:r>
          </w:p>
        </w:tc>
        <w:tc>
          <w:tcPr>
            <w:tcW w:w="120" w:type="dxa"/>
            <w:vAlign w:val="bottom"/>
          </w:tcPr>
          <w:p>
            <w:pPr>
              <w:spacing w:after="0"/>
              <w:rPr>
                <w:sz w:val="22"/>
                <w:szCs w:val="22"/>
                <w:color w:val="auto"/>
              </w:rPr>
            </w:pPr>
          </w:p>
        </w:tc>
        <w:tc>
          <w:tcPr>
            <w:tcW w:w="7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231F20"/>
                <w:w w:val="99"/>
              </w:rPr>
              <w:t>Value</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0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Cost</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500" w:type="dxa"/>
            <w:vAlign w:val="bottom"/>
            <w:gridSpan w:val="3"/>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Amortization</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231F20"/>
                <w:w w:val="99"/>
              </w:rPr>
              <w:t>Value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320" w:type="dxa"/>
            <w:vAlign w:val="bottom"/>
            <w:tcBorders>
              <w:top w:val="single" w:sz="8" w:color="E5E6E7"/>
            </w:tcBorders>
            <w:shd w:val="clear" w:color="auto" w:fill="E5E6E7"/>
          </w:tcPr>
          <w:p>
            <w:pPr>
              <w:spacing w:after="0"/>
              <w:rPr>
                <w:sz w:val="20"/>
                <w:szCs w:val="20"/>
                <w:color w:val="auto"/>
              </w:rPr>
            </w:pPr>
            <w:r>
              <w:rPr>
                <w:rFonts w:ascii="Times New Roman" w:cs="Times New Roman" w:eastAsia="Times New Roman" w:hAnsi="Times New Roman"/>
                <w:sz w:val="20"/>
                <w:szCs w:val="20"/>
                <w:color w:val="414142"/>
              </w:rPr>
              <w:t>Intangible assets subject to amortization</w:t>
            </w:r>
          </w:p>
        </w:tc>
        <w:tc>
          <w:tcPr>
            <w:tcW w:w="100" w:type="dxa"/>
            <w:vAlign w:val="bottom"/>
            <w:tcBorders>
              <w:top w:val="single" w:sz="8" w:color="E5E6E7"/>
            </w:tcBorders>
            <w:shd w:val="clear" w:color="auto" w:fill="E5E6E7"/>
          </w:tcPr>
          <w:p>
            <w:pPr>
              <w:spacing w:after="0"/>
              <w:rPr>
                <w:sz w:val="20"/>
                <w:szCs w:val="20"/>
                <w:color w:val="auto"/>
              </w:rPr>
            </w:pPr>
          </w:p>
        </w:tc>
        <w:tc>
          <w:tcPr>
            <w:tcW w:w="200" w:type="dxa"/>
            <w:vAlign w:val="bottom"/>
            <w:tcBorders>
              <w:top w:val="single" w:sz="8" w:color="231F20"/>
            </w:tcBorders>
            <w:shd w:val="clear" w:color="auto" w:fill="E5E6E7"/>
          </w:tcPr>
          <w:p>
            <w:pPr>
              <w:spacing w:after="0"/>
              <w:rPr>
                <w:sz w:val="20"/>
                <w:szCs w:val="20"/>
                <w:color w:val="auto"/>
              </w:rPr>
            </w:pPr>
          </w:p>
        </w:tc>
        <w:tc>
          <w:tcPr>
            <w:tcW w:w="780" w:type="dxa"/>
            <w:vAlign w:val="bottom"/>
            <w:tcBorders>
              <w:top w:val="single" w:sz="8" w:color="231F20"/>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231F20"/>
            </w:tcBorders>
            <w:shd w:val="clear" w:color="auto" w:fill="E5E6E7"/>
          </w:tcPr>
          <w:p>
            <w:pPr>
              <w:spacing w:after="0"/>
              <w:rPr>
                <w:sz w:val="20"/>
                <w:szCs w:val="20"/>
                <w:color w:val="auto"/>
              </w:rPr>
            </w:pPr>
          </w:p>
        </w:tc>
        <w:tc>
          <w:tcPr>
            <w:tcW w:w="1300" w:type="dxa"/>
            <w:vAlign w:val="bottom"/>
            <w:tcBorders>
              <w:top w:val="single" w:sz="8" w:color="231F20"/>
            </w:tcBorders>
            <w:shd w:val="clear" w:color="auto" w:fill="E5E6E7"/>
          </w:tcPr>
          <w:p>
            <w:pPr>
              <w:spacing w:after="0"/>
              <w:rPr>
                <w:sz w:val="20"/>
                <w:szCs w:val="20"/>
                <w:color w:val="auto"/>
              </w:rPr>
            </w:pPr>
          </w:p>
        </w:tc>
        <w:tc>
          <w:tcPr>
            <w:tcW w:w="220" w:type="dxa"/>
            <w:vAlign w:val="bottom"/>
            <w:tcBorders>
              <w:top w:val="single" w:sz="8" w:color="E5E6E7"/>
            </w:tcBorders>
            <w:shd w:val="clear" w:color="auto" w:fill="E5E6E7"/>
          </w:tcPr>
          <w:p>
            <w:pPr>
              <w:spacing w:after="0"/>
              <w:rPr>
                <w:sz w:val="20"/>
                <w:szCs w:val="20"/>
                <w:color w:val="auto"/>
              </w:rPr>
            </w:pPr>
          </w:p>
        </w:tc>
        <w:tc>
          <w:tcPr>
            <w:tcW w:w="2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spacing w:after="0"/>
              <w:rPr>
                <w:sz w:val="20"/>
                <w:szCs w:val="20"/>
                <w:color w:val="auto"/>
              </w:rPr>
            </w:pPr>
          </w:p>
        </w:tc>
        <w:tc>
          <w:tcPr>
            <w:tcW w:w="740" w:type="dxa"/>
            <w:vAlign w:val="bottom"/>
            <w:tcBorders>
              <w:top w:val="single" w:sz="8" w:color="231F20"/>
            </w:tcBorders>
            <w:shd w:val="clear" w:color="auto" w:fill="E5E6E7"/>
          </w:tcPr>
          <w:p>
            <w:pPr>
              <w:spacing w:after="0"/>
              <w:rPr>
                <w:sz w:val="20"/>
                <w:szCs w:val="20"/>
                <w:color w:val="auto"/>
              </w:rPr>
            </w:pPr>
          </w:p>
        </w:tc>
        <w:tc>
          <w:tcPr>
            <w:tcW w:w="200" w:type="dxa"/>
            <w:vAlign w:val="bottom"/>
            <w:tcBorders>
              <w:top w:val="single" w:sz="8" w:color="E5E6E7"/>
            </w:tcBorders>
            <w:shd w:val="clear" w:color="auto" w:fill="E5E6E7"/>
          </w:tcPr>
          <w:p>
            <w:pPr>
              <w:spacing w:after="0"/>
              <w:rPr>
                <w:sz w:val="20"/>
                <w:szCs w:val="20"/>
                <w:color w:val="auto"/>
              </w:rPr>
            </w:pPr>
          </w:p>
        </w:tc>
        <w:tc>
          <w:tcPr>
            <w:tcW w:w="20" w:type="dxa"/>
            <w:vAlign w:val="bottom"/>
            <w:tcBorders>
              <w:top w:val="single" w:sz="8" w:color="E5E6E7"/>
            </w:tcBorders>
            <w:shd w:val="clear" w:color="auto" w:fill="E5E6E7"/>
          </w:tcPr>
          <w:p>
            <w:pPr>
              <w:spacing w:after="0"/>
              <w:rPr>
                <w:sz w:val="20"/>
                <w:szCs w:val="20"/>
                <w:color w:val="auto"/>
              </w:rPr>
            </w:pPr>
          </w:p>
        </w:tc>
        <w:tc>
          <w:tcPr>
            <w:tcW w:w="140" w:type="dxa"/>
            <w:vAlign w:val="bottom"/>
            <w:tcBorders>
              <w:top w:val="single" w:sz="8" w:color="231F20"/>
            </w:tcBorders>
            <w:shd w:val="clear" w:color="auto" w:fill="E5E6E7"/>
          </w:tcPr>
          <w:p>
            <w:pPr>
              <w:spacing w:after="0"/>
              <w:rPr>
                <w:sz w:val="20"/>
                <w:szCs w:val="20"/>
                <w:color w:val="auto"/>
              </w:rPr>
            </w:pPr>
          </w:p>
        </w:tc>
        <w:tc>
          <w:tcPr>
            <w:tcW w:w="700" w:type="dxa"/>
            <w:vAlign w:val="bottom"/>
            <w:tcBorders>
              <w:top w:val="single" w:sz="8" w:color="231F20"/>
            </w:tcBorders>
            <w:shd w:val="clear" w:color="auto" w:fill="E5E6E7"/>
          </w:tcPr>
          <w:p>
            <w:pPr>
              <w:spacing w:after="0"/>
              <w:rPr>
                <w:sz w:val="20"/>
                <w:szCs w:val="20"/>
                <w:color w:val="auto"/>
              </w:rPr>
            </w:pPr>
          </w:p>
        </w:tc>
        <w:tc>
          <w:tcPr>
            <w:tcW w:w="200" w:type="dxa"/>
            <w:vAlign w:val="bottom"/>
            <w:tcBorders>
              <w:top w:val="single" w:sz="8" w:color="E5E6E7"/>
            </w:tcBorders>
            <w:shd w:val="clear" w:color="auto" w:fill="E5E6E7"/>
          </w:tcPr>
          <w:p>
            <w:pPr>
              <w:spacing w:after="0"/>
              <w:rPr>
                <w:sz w:val="20"/>
                <w:szCs w:val="20"/>
                <w:color w:val="auto"/>
              </w:rPr>
            </w:pPr>
          </w:p>
        </w:tc>
        <w:tc>
          <w:tcPr>
            <w:tcW w:w="20" w:type="dxa"/>
            <w:vAlign w:val="bottom"/>
            <w:tcBorders>
              <w:top w:val="single" w:sz="8" w:color="E5E6E7"/>
            </w:tcBorders>
            <w:shd w:val="clear" w:color="auto" w:fill="E5E6E7"/>
          </w:tcPr>
          <w:p>
            <w:pPr>
              <w:spacing w:after="0"/>
              <w:rPr>
                <w:sz w:val="20"/>
                <w:szCs w:val="20"/>
                <w:color w:val="auto"/>
              </w:rPr>
            </w:pPr>
          </w:p>
        </w:tc>
        <w:tc>
          <w:tcPr>
            <w:tcW w:w="380" w:type="dxa"/>
            <w:vAlign w:val="bottom"/>
            <w:tcBorders>
              <w:top w:val="single" w:sz="8" w:color="231F20"/>
            </w:tcBorders>
            <w:shd w:val="clear" w:color="auto" w:fill="E5E6E7"/>
          </w:tcPr>
          <w:p>
            <w:pPr>
              <w:spacing w:after="0"/>
              <w:rPr>
                <w:sz w:val="20"/>
                <w:szCs w:val="20"/>
                <w:color w:val="auto"/>
              </w:rPr>
            </w:pPr>
          </w:p>
        </w:tc>
        <w:tc>
          <w:tcPr>
            <w:tcW w:w="920" w:type="dxa"/>
            <w:vAlign w:val="bottom"/>
            <w:tcBorders>
              <w:top w:val="single" w:sz="8" w:color="231F20"/>
            </w:tcBorders>
            <w:shd w:val="clear" w:color="auto" w:fill="E5E6E7"/>
          </w:tcPr>
          <w:p>
            <w:pPr>
              <w:spacing w:after="0"/>
              <w:rPr>
                <w:sz w:val="20"/>
                <w:szCs w:val="20"/>
                <w:color w:val="auto"/>
              </w:rPr>
            </w:pPr>
          </w:p>
        </w:tc>
        <w:tc>
          <w:tcPr>
            <w:tcW w:w="200" w:type="dxa"/>
            <w:vAlign w:val="bottom"/>
            <w:tcBorders>
              <w:top w:val="single" w:sz="8" w:color="E5E6E7"/>
            </w:tcBorders>
            <w:shd w:val="clear" w:color="auto" w:fill="E5E6E7"/>
          </w:tcPr>
          <w:p>
            <w:pPr>
              <w:spacing w:after="0"/>
              <w:rPr>
                <w:sz w:val="20"/>
                <w:szCs w:val="20"/>
                <w:color w:val="auto"/>
              </w:rPr>
            </w:pPr>
          </w:p>
        </w:tc>
        <w:tc>
          <w:tcPr>
            <w:tcW w:w="20" w:type="dxa"/>
            <w:vAlign w:val="bottom"/>
            <w:tcBorders>
              <w:top w:val="single" w:sz="8" w:color="E5E6E7"/>
            </w:tcBorders>
            <w:shd w:val="clear" w:color="auto" w:fill="E5E6E7"/>
          </w:tcPr>
          <w:p>
            <w:pPr>
              <w:spacing w:after="0"/>
              <w:rPr>
                <w:sz w:val="20"/>
                <w:szCs w:val="20"/>
                <w:color w:val="auto"/>
              </w:rPr>
            </w:pPr>
          </w:p>
        </w:tc>
        <w:tc>
          <w:tcPr>
            <w:tcW w:w="120" w:type="dxa"/>
            <w:vAlign w:val="bottom"/>
            <w:tcBorders>
              <w:top w:val="single" w:sz="8" w:color="231F20"/>
            </w:tcBorders>
            <w:shd w:val="clear" w:color="auto" w:fill="E5E6E7"/>
          </w:tcPr>
          <w:p>
            <w:pPr>
              <w:spacing w:after="0"/>
              <w:rPr>
                <w:sz w:val="20"/>
                <w:szCs w:val="20"/>
                <w:color w:val="auto"/>
              </w:rPr>
            </w:pPr>
          </w:p>
        </w:tc>
        <w:tc>
          <w:tcPr>
            <w:tcW w:w="700" w:type="dxa"/>
            <w:vAlign w:val="bottom"/>
            <w:tcBorders>
              <w:top w:val="single" w:sz="8" w:color="231F20"/>
            </w:tcBorders>
            <w:shd w:val="clear" w:color="auto" w:fill="E5E6E7"/>
          </w:tcPr>
          <w:p>
            <w:pPr>
              <w:spacing w:after="0"/>
              <w:rPr>
                <w:sz w:val="20"/>
                <w:szCs w:val="20"/>
                <w:color w:val="auto"/>
              </w:rPr>
            </w:pPr>
          </w:p>
        </w:tc>
        <w:tc>
          <w:tcPr>
            <w:tcW w:w="60" w:type="dxa"/>
            <w:vAlign w:val="bottom"/>
            <w:tcBorders>
              <w:top w:val="single" w:sz="8" w:color="E5E6E7"/>
            </w:tcBorders>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33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Patents</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1,953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(1,003)</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1,940</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(877)</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1,063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Purchased technology</w:t>
            </w:r>
          </w:p>
        </w:tc>
        <w:tc>
          <w:tcPr>
            <w:tcW w:w="10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16,900</w:t>
            </w:r>
          </w:p>
        </w:tc>
        <w:tc>
          <w:tcPr>
            <w:tcW w:w="2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52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rPr>
              <w:t>(14,084)</w:t>
            </w: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2,816</w:t>
            </w: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16,900</w:t>
            </w: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12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rPr>
              <w:t>(12,206)</w:t>
            </w: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4,694</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320" w:type="dxa"/>
            <w:vAlign w:val="bottom"/>
          </w:tcPr>
          <w:p>
            <w:pPr>
              <w:spacing w:after="0" w:line="225" w:lineRule="exact"/>
              <w:rPr>
                <w:sz w:val="20"/>
                <w:szCs w:val="20"/>
                <w:color w:val="auto"/>
              </w:rPr>
            </w:pPr>
            <w:r>
              <w:rPr>
                <w:rFonts w:ascii="Times New Roman" w:cs="Times New Roman" w:eastAsia="Times New Roman" w:hAnsi="Times New Roman"/>
                <w:sz w:val="20"/>
                <w:szCs w:val="20"/>
                <w:color w:val="231F20"/>
              </w:rPr>
              <w:t>Intangible assets not subject to</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2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amortization</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32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Trademarks</w:t>
            </w:r>
          </w:p>
        </w:tc>
        <w:tc>
          <w:tcPr>
            <w:tcW w:w="100" w:type="dxa"/>
            <w:vAlign w:val="bottom"/>
            <w:shd w:val="clear" w:color="auto" w:fill="E5E6E7"/>
          </w:tcPr>
          <w:p>
            <w:pPr>
              <w:spacing w:after="0"/>
              <w:rPr>
                <w:sz w:val="21"/>
                <w:szCs w:val="21"/>
                <w:color w:val="auto"/>
              </w:rPr>
            </w:pPr>
          </w:p>
        </w:tc>
        <w:tc>
          <w:tcPr>
            <w:tcW w:w="200" w:type="dxa"/>
            <w:vAlign w:val="bottom"/>
            <w:shd w:val="clear" w:color="auto" w:fill="E5E6E7"/>
          </w:tcPr>
          <w:p>
            <w:pPr>
              <w:spacing w:after="0"/>
              <w:rPr>
                <w:sz w:val="21"/>
                <w:szCs w:val="21"/>
                <w:color w:val="auto"/>
              </w:rPr>
            </w:pPr>
          </w:p>
        </w:tc>
        <w:tc>
          <w:tcPr>
            <w:tcW w:w="7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117</w:t>
            </w:r>
          </w:p>
        </w:tc>
        <w:tc>
          <w:tcPr>
            <w:tcW w:w="22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540" w:type="dxa"/>
            <w:vAlign w:val="bottom"/>
            <w:gridSpan w:val="3"/>
            <w:shd w:val="clear" w:color="auto" w:fill="E5E6E7"/>
          </w:tcPr>
          <w:p>
            <w:pPr>
              <w:jc w:val="right"/>
              <w:ind w:right="240"/>
              <w:spacing w:after="0"/>
              <w:rPr>
                <w:sz w:val="20"/>
                <w:szCs w:val="20"/>
                <w:color w:val="auto"/>
              </w:rPr>
            </w:pPr>
            <w:r>
              <w:rPr>
                <w:rFonts w:ascii="Times New Roman" w:cs="Times New Roman" w:eastAsia="Times New Roman" w:hAnsi="Times New Roman"/>
                <w:sz w:val="20"/>
                <w:szCs w:val="20"/>
                <w:color w:val="414142"/>
              </w:rPr>
              <w:t>—</w:t>
            </w:r>
          </w:p>
        </w:tc>
        <w:tc>
          <w:tcPr>
            <w:tcW w:w="120" w:type="dxa"/>
            <w:vAlign w:val="bottom"/>
            <w:shd w:val="clear" w:color="auto" w:fill="E5E6E7"/>
          </w:tcPr>
          <w:p>
            <w:pPr>
              <w:spacing w:after="0"/>
              <w:rPr>
                <w:sz w:val="21"/>
                <w:szCs w:val="21"/>
                <w:color w:val="auto"/>
              </w:rPr>
            </w:pPr>
          </w:p>
        </w:tc>
        <w:tc>
          <w:tcPr>
            <w:tcW w:w="7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117</w:t>
            </w: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117</w:t>
            </w:r>
          </w:p>
        </w:tc>
        <w:tc>
          <w:tcPr>
            <w:tcW w:w="200" w:type="dxa"/>
            <w:vAlign w:val="bottom"/>
            <w:shd w:val="clear" w:color="auto" w:fill="E5E6E7"/>
          </w:tcPr>
          <w:p>
            <w:pPr>
              <w:spacing w:after="0"/>
              <w:rPr>
                <w:sz w:val="21"/>
                <w:szCs w:val="21"/>
                <w:color w:val="auto"/>
              </w:rPr>
            </w:pPr>
          </w:p>
        </w:tc>
        <w:tc>
          <w:tcPr>
            <w:tcW w:w="20" w:type="dxa"/>
            <w:vAlign w:val="bottom"/>
            <w:shd w:val="clear" w:color="auto" w:fill="E5E6E7"/>
          </w:tcPr>
          <w:p>
            <w:pPr>
              <w:spacing w:after="0"/>
              <w:rPr>
                <w:sz w:val="21"/>
                <w:szCs w:val="21"/>
                <w:color w:val="auto"/>
              </w:rPr>
            </w:pPr>
          </w:p>
        </w:tc>
        <w:tc>
          <w:tcPr>
            <w:tcW w:w="380" w:type="dxa"/>
            <w:vAlign w:val="bottom"/>
            <w:shd w:val="clear" w:color="auto" w:fill="E5E6E7"/>
          </w:tcPr>
          <w:p>
            <w:pPr>
              <w:spacing w:after="0"/>
              <w:rPr>
                <w:sz w:val="21"/>
                <w:szCs w:val="21"/>
                <w:color w:val="auto"/>
              </w:rPr>
            </w:pPr>
          </w:p>
        </w:tc>
        <w:tc>
          <w:tcPr>
            <w:tcW w:w="1120" w:type="dxa"/>
            <w:vAlign w:val="bottom"/>
            <w:gridSpan w:val="2"/>
            <w:shd w:val="clear" w:color="auto" w:fill="E5E6E7"/>
          </w:tcPr>
          <w:p>
            <w:pPr>
              <w:jc w:val="right"/>
              <w:ind w:right="220"/>
              <w:spacing w:after="0"/>
              <w:rPr>
                <w:sz w:val="20"/>
                <w:szCs w:val="20"/>
                <w:color w:val="auto"/>
              </w:rPr>
            </w:pPr>
            <w:r>
              <w:rPr>
                <w:rFonts w:ascii="Times New Roman" w:cs="Times New Roman" w:eastAsia="Times New Roman" w:hAnsi="Times New Roman"/>
                <w:sz w:val="20"/>
                <w:szCs w:val="20"/>
                <w:color w:val="414142"/>
              </w:rPr>
              <w:t>—</w:t>
            </w:r>
          </w:p>
        </w:tc>
        <w:tc>
          <w:tcPr>
            <w:tcW w:w="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7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117</w:t>
            </w:r>
          </w:p>
        </w:tc>
        <w:tc>
          <w:tcPr>
            <w:tcW w:w="6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320" w:type="dxa"/>
            <w:vAlign w:val="bottom"/>
          </w:tcPr>
          <w:p>
            <w:pPr>
              <w:ind w:left="160"/>
              <w:spacing w:after="0"/>
              <w:rPr>
                <w:sz w:val="20"/>
                <w:szCs w:val="20"/>
                <w:color w:val="auto"/>
              </w:rPr>
            </w:pPr>
            <w:r>
              <w:rPr>
                <w:rFonts w:ascii="Times New Roman" w:cs="Times New Roman" w:eastAsia="Times New Roman" w:hAnsi="Times New Roman"/>
                <w:sz w:val="20"/>
                <w:szCs w:val="20"/>
                <w:color w:val="231F20"/>
              </w:rPr>
              <w:t>Total</w:t>
            </w:r>
          </w:p>
        </w:tc>
        <w:tc>
          <w:tcPr>
            <w:tcW w:w="100" w:type="dxa"/>
            <w:vAlign w:val="bottom"/>
          </w:tcPr>
          <w:p>
            <w:pPr>
              <w:spacing w:after="0"/>
              <w:rPr>
                <w:sz w:val="20"/>
                <w:szCs w:val="20"/>
                <w:color w:val="auto"/>
              </w:rPr>
            </w:pPr>
          </w:p>
        </w:tc>
        <w:tc>
          <w:tcPr>
            <w:tcW w:w="2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79"/>
              </w:rPr>
              <w:t>$</w:t>
            </w:r>
          </w:p>
        </w:tc>
        <w:tc>
          <w:tcPr>
            <w:tcW w:w="7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18,970</w:t>
            </w:r>
          </w:p>
        </w:tc>
        <w:tc>
          <w:tcPr>
            <w:tcW w:w="240" w:type="dxa"/>
            <w:vAlign w:val="bottom"/>
            <w:gridSpan w:val="2"/>
          </w:tcPr>
          <w:p>
            <w:pPr>
              <w:spacing w:after="0"/>
              <w:rPr>
                <w:sz w:val="20"/>
                <w:szCs w:val="20"/>
                <w:color w:val="auto"/>
              </w:rPr>
            </w:pPr>
          </w:p>
        </w:tc>
        <w:tc>
          <w:tcPr>
            <w:tcW w:w="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13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(15,087)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3,883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17"/>
                <w:szCs w:val="17"/>
                <w:color w:val="231F20"/>
                <w:w w:val="70"/>
              </w:rPr>
              <w:t>$</w:t>
            </w:r>
          </w:p>
        </w:tc>
        <w:tc>
          <w:tcPr>
            <w:tcW w:w="7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18,957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Borders>
              <w:top w:val="single" w:sz="8" w:color="231F20"/>
            </w:tcBorders>
          </w:tcPr>
          <w:p>
            <w:pPr>
              <w:jc w:val="right"/>
              <w:ind w:right="208"/>
              <w:spacing w:after="0"/>
              <w:rPr>
                <w:sz w:val="20"/>
                <w:szCs w:val="20"/>
                <w:color w:val="auto"/>
              </w:rPr>
            </w:pPr>
            <w:r>
              <w:rPr>
                <w:rFonts w:ascii="Times New Roman" w:cs="Times New Roman" w:eastAsia="Times New Roman" w:hAnsi="Times New Roman"/>
                <w:sz w:val="17"/>
                <w:szCs w:val="17"/>
                <w:color w:val="231F20"/>
                <w:w w:val="70"/>
              </w:rPr>
              <w:t>$</w:t>
            </w:r>
          </w:p>
        </w:tc>
        <w:tc>
          <w:tcPr>
            <w:tcW w:w="92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(13,083)</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top w:val="single" w:sz="8" w:color="231F20"/>
            </w:tcBorders>
          </w:tcPr>
          <w:p>
            <w:pPr>
              <w:spacing w:after="0"/>
              <w:rPr>
                <w:sz w:val="20"/>
                <w:szCs w:val="20"/>
                <w:color w:val="auto"/>
              </w:rPr>
            </w:pPr>
            <w:r>
              <w:rPr>
                <w:rFonts w:ascii="Times New Roman" w:cs="Times New Roman" w:eastAsia="Times New Roman" w:hAnsi="Times New Roman"/>
                <w:sz w:val="20"/>
                <w:szCs w:val="20"/>
                <w:color w:val="231F20"/>
                <w:w w:val="99"/>
              </w:rPr>
              <w:t>$</w:t>
            </w:r>
          </w:p>
        </w:tc>
        <w:tc>
          <w:tcPr>
            <w:tcW w:w="70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5,874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231F20"/>
              <w:bottom w:val="single" w:sz="8" w:color="231F20"/>
            </w:tcBorders>
          </w:tcPr>
          <w:p>
            <w:pPr>
              <w:spacing w:after="0" w:line="20" w:lineRule="exact"/>
              <w:rPr>
                <w:sz w:val="1"/>
                <w:szCs w:val="1"/>
                <w:color w:val="auto"/>
              </w:rPr>
            </w:pPr>
          </w:p>
        </w:tc>
        <w:tc>
          <w:tcPr>
            <w:tcW w:w="78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Borders>
              <w:top w:val="single" w:sz="8" w:color="231F20"/>
              <w:bottom w:val="single" w:sz="8" w:color="231F20"/>
            </w:tcBorders>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74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380" w:type="dxa"/>
            <w:vAlign w:val="bottom"/>
            <w:tcBorders>
              <w:top w:val="single" w:sz="8" w:color="231F20"/>
              <w:bottom w:val="single" w:sz="8" w:color="231F20"/>
            </w:tcBorders>
          </w:tcPr>
          <w:p>
            <w:pPr>
              <w:spacing w:after="0" w:line="20" w:lineRule="exact"/>
              <w:rPr>
                <w:sz w:val="1"/>
                <w:szCs w:val="1"/>
                <w:color w:val="auto"/>
              </w:rPr>
            </w:pPr>
          </w:p>
        </w:tc>
        <w:tc>
          <w:tcPr>
            <w:tcW w:w="920" w:type="dxa"/>
            <w:vAlign w:val="bottom"/>
            <w:tcBorders>
              <w:top w:val="single" w:sz="8" w:color="231F20"/>
              <w:bottom w:val="single" w:sz="8" w:color="231F2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70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2150110</wp:posOffset>
            </wp:positionH>
            <wp:positionV relativeFrom="paragraph">
              <wp:posOffset>-1598295</wp:posOffset>
            </wp:positionV>
            <wp:extent cx="4685665" cy="476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41">
                      <a:extLst>
                        <a:ext uri="{28A0092B-C50C-407E-A947-70E740481C1C}"/>
                      </a:extLst>
                    </a:blip>
                    <a:srcRect/>
                    <a:stretch>
                      <a:fillRect/>
                    </a:stretch>
                  </pic:blipFill>
                  <pic:spPr bwMode="auto">
                    <a:xfrm>
                      <a:off x="0" y="0"/>
                      <a:ext cx="4685665" cy="47625"/>
                    </a:xfrm>
                    <a:prstGeom prst="rect">
                      <a:avLst/>
                    </a:prstGeom>
                    <a:noFill/>
                  </pic:spPr>
                </pic:pic>
              </a:graphicData>
            </a:graphic>
          </wp:anchor>
        </w:drawing>
        <w:drawing>
          <wp:anchor simplePos="0" relativeHeight="251657728" behindDoc="1" locked="0" layoutInCell="0" allowOverlap="1">
            <wp:simplePos x="0" y="0"/>
            <wp:positionH relativeFrom="column">
              <wp:posOffset>2150110</wp:posOffset>
            </wp:positionH>
            <wp:positionV relativeFrom="paragraph">
              <wp:posOffset>-1141730</wp:posOffset>
            </wp:positionV>
            <wp:extent cx="662940"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42">
                      <a:extLst>
                        <a:ext uri="{28A0092B-C50C-407E-A947-70E740481C1C}"/>
                      </a:extLst>
                    </a:blip>
                    <a:srcRect/>
                    <a:stretch>
                      <a:fillRect/>
                    </a:stretch>
                  </pic:blipFill>
                  <pic:spPr bwMode="auto">
                    <a:xfrm>
                      <a:off x="0" y="0"/>
                      <a:ext cx="662940"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2169160</wp:posOffset>
                </wp:positionH>
                <wp:positionV relativeFrom="paragraph">
                  <wp:posOffset>-1123315</wp:posOffset>
                </wp:positionV>
                <wp:extent cx="0" cy="952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0.8pt,-88.4499pt" to="170.8pt,-87.6999pt" o:allowincell="f" strokecolor="#414142" strokeweight="0pt"/>
            </w:pict>
          </mc:Fallback>
        </mc:AlternateContent>
        <w:drawing>
          <wp:anchor simplePos="0" relativeHeight="251657728" behindDoc="1" locked="0" layoutInCell="0" allowOverlap="1">
            <wp:simplePos x="0" y="0"/>
            <wp:positionH relativeFrom="column">
              <wp:posOffset>2150110</wp:posOffset>
            </wp:positionH>
            <wp:positionV relativeFrom="paragraph">
              <wp:posOffset>-211455</wp:posOffset>
            </wp:positionV>
            <wp:extent cx="88074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43">
                      <a:extLst>
                        <a:ext uri="{28A0092B-C50C-407E-A947-70E740481C1C}"/>
                      </a:extLst>
                    </a:blip>
                    <a:srcRect/>
                    <a:stretch>
                      <a:fillRect/>
                    </a:stretch>
                  </pic:blipFill>
                  <pic:spPr bwMode="auto">
                    <a:xfrm>
                      <a:off x="0" y="0"/>
                      <a:ext cx="880745" cy="38100"/>
                    </a:xfrm>
                    <a:prstGeom prst="rect">
                      <a:avLst/>
                    </a:prstGeom>
                    <a:noFill/>
                  </pic:spPr>
                </pic:pic>
              </a:graphicData>
            </a:graphic>
          </wp:anchor>
        </w:drawing>
        <w:drawing>
          <wp:anchor simplePos="0" relativeHeight="251657728" behindDoc="1" locked="0" layoutInCell="0" allowOverlap="1">
            <wp:simplePos x="0" y="0"/>
            <wp:positionH relativeFrom="column">
              <wp:posOffset>3942080</wp:posOffset>
            </wp:positionH>
            <wp:positionV relativeFrom="paragraph">
              <wp:posOffset>-211455</wp:posOffset>
            </wp:positionV>
            <wp:extent cx="289369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44">
                      <a:extLst>
                        <a:ext uri="{28A0092B-C50C-407E-A947-70E740481C1C}"/>
                      </a:extLst>
                    </a:blip>
                    <a:srcRect/>
                    <a:stretch>
                      <a:fillRect/>
                    </a:stretch>
                  </pic:blipFill>
                  <pic:spPr bwMode="auto">
                    <a:xfrm>
                      <a:off x="0" y="0"/>
                      <a:ext cx="2893695" cy="38100"/>
                    </a:xfrm>
                    <a:prstGeom prst="rect">
                      <a:avLst/>
                    </a:prstGeom>
                    <a:noFill/>
                  </pic:spPr>
                </pic:pic>
              </a:graphicData>
            </a:graphic>
          </wp:anchor>
        </w:drawing>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F-16</w:t>
      </w:r>
    </w:p>
    <w:p>
      <w:pPr>
        <w:sectPr>
          <w:pgSz w:w="11880" w:h="15480" w:orient="portrait"/>
          <w:cols w:equalWidth="0" w:num="1">
            <w:col w:w="10800"/>
          </w:cols>
          <w:pgMar w:left="540" w:top="750" w:right="540" w:bottom="6" w:gutter="0" w:footer="0" w:header="0"/>
          <w:type w:val="continuous"/>
        </w:sectPr>
      </w:pPr>
    </w:p>
    <w:bookmarkStart w:id="105" w:name="page106"/>
    <w:bookmarkEnd w:id="105"/>
    <w:tbl>
      <w:tblPr>
        <w:tblLayout w:type="fixed"/>
        <w:tblInd w:w="0" w:type="dxa"/>
        <w:tblCellMar>
          <w:top w:w="0" w:type="dxa"/>
          <w:left w:w="0" w:type="dxa"/>
          <w:bottom w:w="0" w:type="dxa"/>
          <w:right w:w="0" w:type="dxa"/>
        </w:tblCellMar>
      </w:tblPr>
      <w:tr>
        <w:trPr>
          <w:trHeight w:val="266"/>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231F20"/>
              </w:rPr>
              <w:t>Amortization expense related to definite-lived intangible assets was (in thousands):</w:t>
            </w:r>
          </w:p>
        </w:tc>
        <w:tc>
          <w:tcPr>
            <w:tcW w:w="1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7"/>
        </w:trPr>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bottom w:val="single" w:sz="8" w:color="231F20"/>
            </w:tcBorders>
          </w:tcPr>
          <w:p>
            <w:pPr>
              <w:spacing w:after="0"/>
              <w:rPr>
                <w:sz w:val="24"/>
                <w:szCs w:val="24"/>
                <w:color w:val="auto"/>
              </w:rPr>
            </w:pPr>
          </w:p>
        </w:tc>
        <w:tc>
          <w:tcPr>
            <w:tcW w:w="240" w:type="dxa"/>
            <w:vAlign w:val="bottom"/>
            <w:tcBorders>
              <w:bottom w:val="single" w:sz="8" w:color="231F20"/>
            </w:tcBorders>
          </w:tcPr>
          <w:p>
            <w:pPr>
              <w:spacing w:after="0"/>
              <w:rPr>
                <w:sz w:val="24"/>
                <w:szCs w:val="24"/>
                <w:color w:val="auto"/>
              </w:rPr>
            </w:pPr>
          </w:p>
        </w:tc>
        <w:tc>
          <w:tcPr>
            <w:tcW w:w="2640" w:type="dxa"/>
            <w:vAlign w:val="bottom"/>
            <w:tcBorders>
              <w:bottom w:val="single" w:sz="8" w:color="231F20"/>
            </w:tcBorders>
            <w:gridSpan w:val="9"/>
          </w:tcPr>
          <w:p>
            <w:pPr>
              <w:jc w:val="right"/>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660" w:type="dxa"/>
            <w:vAlign w:val="bottom"/>
            <w:tcBorders>
              <w:bottom w:val="single" w:sz="8" w:color="231F20"/>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840" w:type="dxa"/>
            <w:vAlign w:val="bottom"/>
            <w:tcBorders>
              <w:bottom w:val="single" w:sz="8" w:color="E5E6E7"/>
            </w:tcBorders>
          </w:tcPr>
          <w:p>
            <w:pPr>
              <w:spacing w:after="0"/>
              <w:rPr>
                <w:sz w:val="20"/>
                <w:szCs w:val="20"/>
                <w:color w:val="auto"/>
              </w:rPr>
            </w:pPr>
          </w:p>
        </w:tc>
        <w:tc>
          <w:tcPr>
            <w:tcW w:w="180" w:type="dxa"/>
            <w:vAlign w:val="bottom"/>
            <w:tcBorders>
              <w:bottom w:val="single" w:sz="8" w:color="E5E6E7"/>
            </w:tcBorders>
          </w:tcPr>
          <w:p>
            <w:pPr>
              <w:spacing w:after="0"/>
              <w:rPr>
                <w:sz w:val="20"/>
                <w:szCs w:val="20"/>
                <w:color w:val="auto"/>
              </w:rPr>
            </w:pPr>
          </w:p>
        </w:tc>
        <w:tc>
          <w:tcPr>
            <w:tcW w:w="180" w:type="dxa"/>
            <w:vAlign w:val="bottom"/>
            <w:tcBorders>
              <w:bottom w:val="single" w:sz="8" w:color="231F20"/>
            </w:tcBorders>
          </w:tcPr>
          <w:p>
            <w:pPr>
              <w:spacing w:after="0"/>
              <w:rPr>
                <w:sz w:val="20"/>
                <w:szCs w:val="20"/>
                <w:color w:val="auto"/>
              </w:rPr>
            </w:pPr>
          </w:p>
        </w:tc>
        <w:tc>
          <w:tcPr>
            <w:tcW w:w="240" w:type="dxa"/>
            <w:vAlign w:val="bottom"/>
            <w:tcBorders>
              <w:bottom w:val="single" w:sz="8" w:color="231F20"/>
            </w:tcBorders>
          </w:tcPr>
          <w:p>
            <w:pPr>
              <w:spacing w:after="0"/>
              <w:rPr>
                <w:sz w:val="20"/>
                <w:szCs w:val="20"/>
                <w:color w:val="auto"/>
              </w:rPr>
            </w:pPr>
          </w:p>
        </w:tc>
        <w:tc>
          <w:tcPr>
            <w:tcW w:w="940" w:type="dxa"/>
            <w:vAlign w:val="bottom"/>
            <w:tcBorders>
              <w:bottom w:val="single" w:sz="8" w:color="231F20"/>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80" w:type="dxa"/>
            <w:vAlign w:val="bottom"/>
            <w:tcBorders>
              <w:bottom w:val="single" w:sz="8" w:color="231F20"/>
            </w:tcBorders>
          </w:tcPr>
          <w:p>
            <w:pPr>
              <w:spacing w:after="0"/>
              <w:rPr>
                <w:sz w:val="20"/>
                <w:szCs w:val="20"/>
                <w:color w:val="auto"/>
              </w:rPr>
            </w:pPr>
          </w:p>
        </w:tc>
        <w:tc>
          <w:tcPr>
            <w:tcW w:w="20" w:type="dxa"/>
            <w:vAlign w:val="bottom"/>
            <w:tcBorders>
              <w:bottom w:val="single" w:sz="8" w:color="E5E6E7"/>
            </w:tcBorders>
          </w:tcPr>
          <w:p>
            <w:pPr>
              <w:spacing w:after="0"/>
              <w:rPr>
                <w:sz w:val="20"/>
                <w:szCs w:val="20"/>
                <w:color w:val="auto"/>
              </w:rPr>
            </w:pPr>
          </w:p>
        </w:tc>
        <w:tc>
          <w:tcPr>
            <w:tcW w:w="80" w:type="dxa"/>
            <w:vAlign w:val="bottom"/>
            <w:tcBorders>
              <w:bottom w:val="single" w:sz="8" w:color="E5E6E7"/>
            </w:tcBorders>
          </w:tcPr>
          <w:p>
            <w:pPr>
              <w:spacing w:after="0"/>
              <w:rPr>
                <w:sz w:val="20"/>
                <w:szCs w:val="20"/>
                <w:color w:val="auto"/>
              </w:rPr>
            </w:pPr>
          </w:p>
        </w:tc>
        <w:tc>
          <w:tcPr>
            <w:tcW w:w="160" w:type="dxa"/>
            <w:vAlign w:val="bottom"/>
            <w:tcBorders>
              <w:bottom w:val="single" w:sz="8" w:color="231F20"/>
            </w:tcBorders>
          </w:tcPr>
          <w:p>
            <w:pPr>
              <w:spacing w:after="0"/>
              <w:rPr>
                <w:sz w:val="20"/>
                <w:szCs w:val="20"/>
                <w:color w:val="auto"/>
              </w:rPr>
            </w:pPr>
          </w:p>
        </w:tc>
        <w:tc>
          <w:tcPr>
            <w:tcW w:w="126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60" w:type="dxa"/>
            <w:vAlign w:val="bottom"/>
            <w:tcBorders>
              <w:bottom w:val="single" w:sz="8" w:color="231F20"/>
            </w:tcBorders>
          </w:tcPr>
          <w:p>
            <w:pPr>
              <w:spacing w:after="0"/>
              <w:rPr>
                <w:sz w:val="20"/>
                <w:szCs w:val="20"/>
                <w:color w:val="auto"/>
              </w:rPr>
            </w:pPr>
          </w:p>
        </w:tc>
        <w:tc>
          <w:tcPr>
            <w:tcW w:w="60" w:type="dxa"/>
            <w:vAlign w:val="bottom"/>
            <w:tcBorders>
              <w:bottom w:val="single" w:sz="8" w:color="E5E6E7"/>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Direct costs and expenses</w:t>
            </w:r>
          </w:p>
        </w:tc>
        <w:tc>
          <w:tcPr>
            <w:tcW w:w="180" w:type="dxa"/>
            <w:vAlign w:val="bottom"/>
            <w:shd w:val="clear" w:color="auto" w:fill="E5E6E7"/>
          </w:tcPr>
          <w:p>
            <w:pPr>
              <w:spacing w:after="0"/>
              <w:rPr>
                <w:sz w:val="20"/>
                <w:szCs w:val="20"/>
                <w:color w:val="auto"/>
              </w:rPr>
            </w:pPr>
          </w:p>
        </w:tc>
        <w:tc>
          <w:tcPr>
            <w:tcW w:w="18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240" w:type="dxa"/>
            <w:vAlign w:val="bottom"/>
            <w:shd w:val="clear" w:color="auto" w:fill="E5E6E7"/>
          </w:tcPr>
          <w:p>
            <w:pPr>
              <w:spacing w:after="0"/>
              <w:rPr>
                <w:sz w:val="20"/>
                <w:szCs w:val="20"/>
                <w:color w:val="auto"/>
              </w:rPr>
            </w:pPr>
          </w:p>
        </w:tc>
        <w:tc>
          <w:tcPr>
            <w:tcW w:w="1120" w:type="dxa"/>
            <w:vAlign w:val="bottom"/>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2</w:t>
            </w:r>
          </w:p>
        </w:tc>
        <w:tc>
          <w:tcPr>
            <w:tcW w:w="20" w:type="dxa"/>
            <w:vAlign w:val="bottom"/>
            <w:shd w:val="clear" w:color="auto" w:fill="E5E6E7"/>
          </w:tcPr>
          <w:p>
            <w:pPr>
              <w:spacing w:after="0"/>
              <w:rPr>
                <w:sz w:val="20"/>
                <w:szCs w:val="20"/>
                <w:color w:val="auto"/>
              </w:rPr>
            </w:pPr>
          </w:p>
        </w:tc>
        <w:tc>
          <w:tcPr>
            <w:tcW w:w="80" w:type="dxa"/>
            <w:vAlign w:val="bottom"/>
            <w:shd w:val="clear" w:color="auto" w:fill="E5E6E7"/>
          </w:tcPr>
          <w:p>
            <w:pPr>
              <w:spacing w:after="0"/>
              <w:rPr>
                <w:sz w:val="20"/>
                <w:szCs w:val="20"/>
                <w:color w:val="auto"/>
              </w:rPr>
            </w:pPr>
          </w:p>
        </w:tc>
        <w:tc>
          <w:tcPr>
            <w:tcW w:w="160" w:type="dxa"/>
            <w:vAlign w:val="bottom"/>
            <w:shd w:val="clear" w:color="auto" w:fill="E5E6E7"/>
          </w:tcPr>
          <w:p>
            <w:pPr>
              <w:spacing w:after="0"/>
              <w:rPr>
                <w:sz w:val="20"/>
                <w:szCs w:val="20"/>
                <w:color w:val="auto"/>
              </w:rPr>
            </w:pPr>
          </w:p>
        </w:tc>
        <w:tc>
          <w:tcPr>
            <w:tcW w:w="280" w:type="dxa"/>
            <w:vAlign w:val="bottom"/>
            <w:gridSpan w:val="3"/>
            <w:shd w:val="clear" w:color="auto" w:fill="E5E6E7"/>
          </w:tcPr>
          <w:p>
            <w:pPr>
              <w:ind w:left="20"/>
              <w:spacing w:after="0"/>
              <w:rPr>
                <w:sz w:val="20"/>
                <w:szCs w:val="20"/>
                <w:color w:val="auto"/>
              </w:rPr>
            </w:pPr>
            <w:r>
              <w:rPr>
                <w:rFonts w:ascii="Times New Roman" w:cs="Times New Roman" w:eastAsia="Times New Roman" w:hAnsi="Times New Roman"/>
                <w:sz w:val="20"/>
                <w:szCs w:val="20"/>
                <w:color w:val="414142"/>
              </w:rPr>
              <w:t>$</w:t>
            </w:r>
          </w:p>
        </w:tc>
        <w:tc>
          <w:tcPr>
            <w:tcW w:w="980" w:type="dxa"/>
            <w:vAlign w:val="bottom"/>
            <w:shd w:val="clear" w:color="auto" w:fill="E5E6E7"/>
          </w:tcPr>
          <w:p>
            <w:pPr>
              <w:spacing w:after="0"/>
              <w:rPr>
                <w:sz w:val="20"/>
                <w:szCs w:val="20"/>
                <w:color w:val="auto"/>
              </w:rPr>
            </w:pPr>
          </w:p>
        </w:tc>
        <w:tc>
          <w:tcPr>
            <w:tcW w:w="6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w:t>
            </w:r>
          </w:p>
        </w:tc>
        <w:tc>
          <w:tcPr>
            <w:tcW w:w="60" w:type="dxa"/>
            <w:vAlign w:val="bottom"/>
            <w:shd w:val="clear" w:color="auto" w:fill="E5E6E7"/>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E5E6E7"/>
            </w:tcBorders>
          </w:tcPr>
          <w:p>
            <w:pPr>
              <w:spacing w:after="0"/>
              <w:rPr>
                <w:sz w:val="20"/>
                <w:szCs w:val="20"/>
                <w:color w:val="auto"/>
              </w:rPr>
            </w:pPr>
            <w:r>
              <w:rPr>
                <w:rFonts w:ascii="Times New Roman" w:cs="Times New Roman" w:eastAsia="Times New Roman" w:hAnsi="Times New Roman"/>
                <w:sz w:val="20"/>
                <w:szCs w:val="20"/>
                <w:color w:val="231F20"/>
              </w:rPr>
              <w:t>Sales, marketing, general and administrative</w:t>
            </w:r>
          </w:p>
        </w:tc>
        <w:tc>
          <w:tcPr>
            <w:tcW w:w="180" w:type="dxa"/>
            <w:vAlign w:val="bottom"/>
            <w:tcBorders>
              <w:bottom w:val="single" w:sz="8" w:color="E5E6E7"/>
            </w:tcBorders>
          </w:tcPr>
          <w:p>
            <w:pPr>
              <w:spacing w:after="0"/>
              <w:rPr>
                <w:sz w:val="21"/>
                <w:szCs w:val="21"/>
                <w:color w:val="auto"/>
              </w:rPr>
            </w:pPr>
          </w:p>
        </w:tc>
        <w:tc>
          <w:tcPr>
            <w:tcW w:w="180" w:type="dxa"/>
            <w:vAlign w:val="bottom"/>
            <w:tcBorders>
              <w:bottom w:val="single" w:sz="8" w:color="231F20"/>
            </w:tcBorders>
          </w:tcPr>
          <w:p>
            <w:pPr>
              <w:spacing w:after="0"/>
              <w:rPr>
                <w:sz w:val="21"/>
                <w:szCs w:val="21"/>
                <w:color w:val="auto"/>
              </w:rPr>
            </w:pPr>
          </w:p>
        </w:tc>
        <w:tc>
          <w:tcPr>
            <w:tcW w:w="240" w:type="dxa"/>
            <w:vAlign w:val="bottom"/>
            <w:tcBorders>
              <w:bottom w:val="single" w:sz="8" w:color="231F20"/>
            </w:tcBorders>
          </w:tcPr>
          <w:p>
            <w:pPr>
              <w:spacing w:after="0"/>
              <w:rPr>
                <w:sz w:val="21"/>
                <w:szCs w:val="21"/>
                <w:color w:val="auto"/>
              </w:rPr>
            </w:pPr>
          </w:p>
        </w:tc>
        <w:tc>
          <w:tcPr>
            <w:tcW w:w="1120" w:type="dxa"/>
            <w:vAlign w:val="bottom"/>
            <w:tcBorders>
              <w:bottom w:val="single" w:sz="8" w:color="231F20"/>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2,026</w:t>
            </w:r>
          </w:p>
        </w:tc>
        <w:tc>
          <w:tcPr>
            <w:tcW w:w="20" w:type="dxa"/>
            <w:vAlign w:val="bottom"/>
            <w:tcBorders>
              <w:bottom w:val="single" w:sz="8" w:color="E5E6E7"/>
            </w:tcBorders>
          </w:tcPr>
          <w:p>
            <w:pPr>
              <w:spacing w:after="0"/>
              <w:rPr>
                <w:sz w:val="21"/>
                <w:szCs w:val="21"/>
                <w:color w:val="auto"/>
              </w:rPr>
            </w:pPr>
          </w:p>
        </w:tc>
        <w:tc>
          <w:tcPr>
            <w:tcW w:w="80" w:type="dxa"/>
            <w:vAlign w:val="bottom"/>
            <w:tcBorders>
              <w:bottom w:val="single" w:sz="8" w:color="E5E6E7"/>
            </w:tcBorders>
          </w:tcPr>
          <w:p>
            <w:pPr>
              <w:spacing w:after="0"/>
              <w:rPr>
                <w:sz w:val="21"/>
                <w:szCs w:val="21"/>
                <w:color w:val="auto"/>
              </w:rPr>
            </w:pPr>
          </w:p>
        </w:tc>
        <w:tc>
          <w:tcPr>
            <w:tcW w:w="160" w:type="dxa"/>
            <w:vAlign w:val="bottom"/>
            <w:tcBorders>
              <w:bottom w:val="single" w:sz="8" w:color="E5E6E7"/>
            </w:tcBorders>
          </w:tcPr>
          <w:p>
            <w:pPr>
              <w:spacing w:after="0"/>
              <w:rPr>
                <w:sz w:val="21"/>
                <w:szCs w:val="21"/>
                <w:color w:val="auto"/>
              </w:rPr>
            </w:pPr>
          </w:p>
        </w:tc>
        <w:tc>
          <w:tcPr>
            <w:tcW w:w="20" w:type="dxa"/>
            <w:vAlign w:val="bottom"/>
            <w:tcBorders>
              <w:bottom w:val="single" w:sz="8" w:color="E5E6E7"/>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2,006</w:t>
            </w:r>
          </w:p>
        </w:tc>
        <w:tc>
          <w:tcPr>
            <w:tcW w:w="60" w:type="dxa"/>
            <w:vAlign w:val="bottom"/>
            <w:tcBorders>
              <w:bottom w:val="single" w:sz="8" w:color="E5E6E7"/>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40" w:type="dxa"/>
            <w:vAlign w:val="bottom"/>
            <w:tcBorders>
              <w:bottom w:val="single" w:sz="8" w:color="E5E6E7"/>
            </w:tcBorders>
            <w:shd w:val="clear" w:color="auto" w:fill="E5E6E7"/>
          </w:tcPr>
          <w:p>
            <w:pPr>
              <w:ind w:left="160"/>
              <w:spacing w:after="0"/>
              <w:rPr>
                <w:sz w:val="20"/>
                <w:szCs w:val="20"/>
                <w:color w:val="auto"/>
              </w:rPr>
            </w:pPr>
            <w:r>
              <w:rPr>
                <w:rFonts w:ascii="Times New Roman" w:cs="Times New Roman" w:eastAsia="Times New Roman" w:hAnsi="Times New Roman"/>
                <w:sz w:val="20"/>
                <w:szCs w:val="20"/>
                <w:color w:val="414142"/>
              </w:rPr>
              <w:t>Total</w:t>
            </w:r>
          </w:p>
        </w:tc>
        <w:tc>
          <w:tcPr>
            <w:tcW w:w="180" w:type="dxa"/>
            <w:vAlign w:val="bottom"/>
            <w:tcBorders>
              <w:bottom w:val="single" w:sz="8" w:color="E5E6E7"/>
            </w:tcBorders>
            <w:shd w:val="clear" w:color="auto" w:fill="E5E6E7"/>
          </w:tcPr>
          <w:p>
            <w:pPr>
              <w:spacing w:after="0"/>
              <w:rPr>
                <w:sz w:val="22"/>
                <w:szCs w:val="22"/>
                <w:color w:val="auto"/>
              </w:rPr>
            </w:pPr>
          </w:p>
        </w:tc>
        <w:tc>
          <w:tcPr>
            <w:tcW w:w="18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240" w:type="dxa"/>
            <w:vAlign w:val="bottom"/>
            <w:tcBorders>
              <w:bottom w:val="single" w:sz="8" w:color="231F20"/>
            </w:tcBorders>
            <w:shd w:val="clear" w:color="auto" w:fill="E5E6E7"/>
          </w:tcPr>
          <w:p>
            <w:pPr>
              <w:spacing w:after="0"/>
              <w:rPr>
                <w:sz w:val="22"/>
                <w:szCs w:val="22"/>
                <w:color w:val="auto"/>
              </w:rPr>
            </w:pPr>
          </w:p>
        </w:tc>
        <w:tc>
          <w:tcPr>
            <w:tcW w:w="1120" w:type="dxa"/>
            <w:vAlign w:val="bottom"/>
            <w:tcBorders>
              <w:bottom w:val="single" w:sz="8" w:color="231F20"/>
            </w:tcBorders>
            <w:gridSpan w:val="2"/>
            <w:shd w:val="clear" w:color="auto" w:fill="E5E6E7"/>
          </w:tcPr>
          <w:p>
            <w:pPr>
              <w:jc w:val="right"/>
              <w:ind w:right="20"/>
              <w:spacing w:after="0"/>
              <w:rPr>
                <w:sz w:val="20"/>
                <w:szCs w:val="20"/>
                <w:color w:val="auto"/>
              </w:rPr>
            </w:pPr>
            <w:r>
              <w:rPr>
                <w:rFonts w:ascii="Times New Roman" w:cs="Times New Roman" w:eastAsia="Times New Roman" w:hAnsi="Times New Roman"/>
                <w:sz w:val="20"/>
                <w:szCs w:val="20"/>
                <w:color w:val="414142"/>
              </w:rPr>
              <w:t>2,028</w:t>
            </w:r>
          </w:p>
        </w:tc>
        <w:tc>
          <w:tcPr>
            <w:tcW w:w="20" w:type="dxa"/>
            <w:vAlign w:val="bottom"/>
            <w:tcBorders>
              <w:bottom w:val="single" w:sz="8" w:color="E5E6E7"/>
            </w:tcBorders>
            <w:shd w:val="clear" w:color="auto" w:fill="E5E6E7"/>
          </w:tcPr>
          <w:p>
            <w:pPr>
              <w:spacing w:after="0"/>
              <w:rPr>
                <w:sz w:val="22"/>
                <w:szCs w:val="22"/>
                <w:color w:val="auto"/>
              </w:rPr>
            </w:pPr>
          </w:p>
        </w:tc>
        <w:tc>
          <w:tcPr>
            <w:tcW w:w="80" w:type="dxa"/>
            <w:vAlign w:val="bottom"/>
            <w:tcBorders>
              <w:bottom w:val="single" w:sz="8" w:color="E5E6E7"/>
            </w:tcBorders>
            <w:shd w:val="clear" w:color="auto" w:fill="E5E6E7"/>
          </w:tcPr>
          <w:p>
            <w:pPr>
              <w:spacing w:after="0"/>
              <w:rPr>
                <w:sz w:val="22"/>
                <w:szCs w:val="22"/>
                <w:color w:val="auto"/>
              </w:rPr>
            </w:pPr>
          </w:p>
        </w:tc>
        <w:tc>
          <w:tcPr>
            <w:tcW w:w="160" w:type="dxa"/>
            <w:vAlign w:val="bottom"/>
            <w:tcBorders>
              <w:bottom w:val="single" w:sz="8" w:color="E5E6E7"/>
            </w:tcBorders>
            <w:shd w:val="clear" w:color="auto" w:fill="E5E6E7"/>
          </w:tcPr>
          <w:p>
            <w:pPr>
              <w:spacing w:after="0"/>
              <w:rPr>
                <w:sz w:val="22"/>
                <w:szCs w:val="22"/>
                <w:color w:val="auto"/>
              </w:rPr>
            </w:pPr>
          </w:p>
        </w:tc>
        <w:tc>
          <w:tcPr>
            <w:tcW w:w="20" w:type="dxa"/>
            <w:vAlign w:val="bottom"/>
            <w:tcBorders>
              <w:bottom w:val="single" w:sz="8" w:color="E5E6E7"/>
            </w:tcBorders>
            <w:shd w:val="clear" w:color="auto" w:fill="E5E6E7"/>
          </w:tcPr>
          <w:p>
            <w:pPr>
              <w:spacing w:after="0"/>
              <w:rPr>
                <w:sz w:val="22"/>
                <w:szCs w:val="22"/>
                <w:color w:val="auto"/>
              </w:rPr>
            </w:pPr>
          </w:p>
        </w:tc>
        <w:tc>
          <w:tcPr>
            <w:tcW w:w="260" w:type="dxa"/>
            <w:vAlign w:val="bottom"/>
            <w:tcBorders>
              <w:bottom w:val="single" w:sz="8" w:color="231F20"/>
            </w:tcBorders>
            <w:gridSpan w:val="2"/>
            <w:shd w:val="clear" w:color="auto" w:fill="E5E6E7"/>
          </w:tcPr>
          <w:p>
            <w:pPr>
              <w:spacing w:after="0"/>
              <w:rPr>
                <w:sz w:val="20"/>
                <w:szCs w:val="20"/>
                <w:color w:val="auto"/>
              </w:rPr>
            </w:pPr>
            <w:r>
              <w:rPr>
                <w:rFonts w:ascii="Times New Roman" w:cs="Times New Roman" w:eastAsia="Times New Roman" w:hAnsi="Times New Roman"/>
                <w:sz w:val="20"/>
                <w:szCs w:val="20"/>
                <w:color w:val="414142"/>
              </w:rPr>
              <w:t>$</w:t>
            </w:r>
          </w:p>
        </w:tc>
        <w:tc>
          <w:tcPr>
            <w:tcW w:w="980" w:type="dxa"/>
            <w:vAlign w:val="bottom"/>
            <w:tcBorders>
              <w:bottom w:val="single" w:sz="8" w:color="231F20"/>
            </w:tcBorders>
            <w:shd w:val="clear" w:color="auto" w:fill="E5E6E7"/>
          </w:tcPr>
          <w:p>
            <w:pPr>
              <w:spacing w:after="0"/>
              <w:rPr>
                <w:sz w:val="22"/>
                <w:szCs w:val="22"/>
                <w:color w:val="auto"/>
              </w:rPr>
            </w:pPr>
          </w:p>
        </w:tc>
        <w:tc>
          <w:tcPr>
            <w:tcW w:w="660" w:type="dxa"/>
            <w:vAlign w:val="bottom"/>
            <w:tcBorders>
              <w:bottom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2,008</w:t>
            </w:r>
          </w:p>
        </w:tc>
        <w:tc>
          <w:tcPr>
            <w:tcW w:w="60" w:type="dxa"/>
            <w:vAlign w:val="bottom"/>
            <w:tcBorders>
              <w:bottom w:val="single" w:sz="8" w:color="E5E6E7"/>
            </w:tcBorders>
            <w:shd w:val="clear" w:color="auto" w:fill="E5E6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20"/>
                <w:szCs w:val="20"/>
                <w:color w:val="231F20"/>
              </w:rPr>
              <w:t>Future estimated amortization expense of intangible assets is (in thousands):</w:t>
            </w:r>
          </w:p>
        </w:tc>
        <w:tc>
          <w:tcPr>
            <w:tcW w:w="180" w:type="dxa"/>
            <w:vAlign w:val="bottom"/>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8"/>
        </w:trPr>
        <w:tc>
          <w:tcPr>
            <w:tcW w:w="6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840" w:type="dxa"/>
            <w:vAlign w:val="bottom"/>
            <w:tcBorders>
              <w:bottom w:val="single" w:sz="8" w:color="231F20"/>
            </w:tcBorders>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240" w:type="dxa"/>
            <w:vAlign w:val="bottom"/>
            <w:tcBorders>
              <w:bottom w:val="single" w:sz="8" w:color="231F20"/>
            </w:tcBorders>
          </w:tcPr>
          <w:p>
            <w:pPr>
              <w:spacing w:after="0"/>
              <w:rPr>
                <w:sz w:val="22"/>
                <w:szCs w:val="22"/>
                <w:color w:val="auto"/>
              </w:rPr>
            </w:pPr>
          </w:p>
        </w:tc>
        <w:tc>
          <w:tcPr>
            <w:tcW w:w="940" w:type="dxa"/>
            <w:vAlign w:val="bottom"/>
            <w:tcBorders>
              <w:bottom w:val="single" w:sz="8" w:color="231F20"/>
            </w:tcBorders>
          </w:tcPr>
          <w:p>
            <w:pPr>
              <w:spacing w:after="0"/>
              <w:rPr>
                <w:sz w:val="22"/>
                <w:szCs w:val="22"/>
                <w:color w:val="auto"/>
              </w:rPr>
            </w:pPr>
          </w:p>
        </w:tc>
        <w:tc>
          <w:tcPr>
            <w:tcW w:w="18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80" w:type="dxa"/>
            <w:vAlign w:val="bottom"/>
            <w:tcBorders>
              <w:bottom w:val="single" w:sz="8" w:color="231F20"/>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1920" w:type="dxa"/>
            <w:vAlign w:val="bottom"/>
            <w:tcBorders>
              <w:bottom w:val="single" w:sz="8" w:color="231F20"/>
            </w:tcBorders>
            <w:gridSpan w:val="5"/>
          </w:tcPr>
          <w:p>
            <w:pPr>
              <w:ind w:left="2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60" w:type="dxa"/>
            <w:vAlign w:val="bottom"/>
            <w:tcBorders>
              <w:bottom w:val="single" w:sz="8" w:color="231F20"/>
            </w:tcBorders>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6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2026</w:t>
            </w:r>
          </w:p>
        </w:tc>
        <w:tc>
          <w:tcPr>
            <w:tcW w:w="180" w:type="dxa"/>
            <w:vAlign w:val="bottom"/>
            <w:shd w:val="clear" w:color="auto" w:fill="E3E4E5"/>
          </w:tcPr>
          <w:p>
            <w:pPr>
              <w:spacing w:after="0"/>
              <w:rPr>
                <w:sz w:val="20"/>
                <w:szCs w:val="20"/>
                <w:color w:val="auto"/>
              </w:rPr>
            </w:pPr>
          </w:p>
        </w:tc>
        <w:tc>
          <w:tcPr>
            <w:tcW w:w="180" w:type="dxa"/>
            <w:vAlign w:val="bottom"/>
            <w:shd w:val="clear" w:color="auto" w:fill="E3E4E5"/>
          </w:tcPr>
          <w:p>
            <w:pPr>
              <w:spacing w:after="0"/>
              <w:rPr>
                <w:sz w:val="20"/>
                <w:szCs w:val="20"/>
                <w:color w:val="auto"/>
              </w:rPr>
            </w:pPr>
          </w:p>
        </w:tc>
        <w:tc>
          <w:tcPr>
            <w:tcW w:w="240" w:type="dxa"/>
            <w:vAlign w:val="bottom"/>
            <w:shd w:val="clear" w:color="auto" w:fill="E3E4E5"/>
          </w:tcPr>
          <w:p>
            <w:pPr>
              <w:spacing w:after="0"/>
              <w:rPr>
                <w:sz w:val="20"/>
                <w:szCs w:val="20"/>
                <w:color w:val="auto"/>
              </w:rPr>
            </w:pPr>
          </w:p>
        </w:tc>
        <w:tc>
          <w:tcPr>
            <w:tcW w:w="940" w:type="dxa"/>
            <w:vAlign w:val="bottom"/>
            <w:shd w:val="clear" w:color="auto" w:fill="E3E4E5"/>
          </w:tcPr>
          <w:p>
            <w:pPr>
              <w:spacing w:after="0"/>
              <w:rPr>
                <w:sz w:val="20"/>
                <w:szCs w:val="20"/>
                <w:color w:val="auto"/>
              </w:rPr>
            </w:pPr>
          </w:p>
        </w:tc>
        <w:tc>
          <w:tcPr>
            <w:tcW w:w="18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980" w:type="dxa"/>
            <w:vAlign w:val="bottom"/>
            <w:shd w:val="clear" w:color="auto" w:fill="E3E4E5"/>
          </w:tcPr>
          <w:p>
            <w:pPr>
              <w:spacing w:after="0"/>
              <w:rPr>
                <w:sz w:val="20"/>
                <w:szCs w:val="20"/>
                <w:color w:val="auto"/>
              </w:rPr>
            </w:pPr>
          </w:p>
        </w:tc>
        <w:tc>
          <w:tcPr>
            <w:tcW w:w="6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1,992</w:t>
            </w:r>
          </w:p>
        </w:tc>
        <w:tc>
          <w:tcPr>
            <w:tcW w:w="6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1,043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2028</w:t>
            </w:r>
          </w:p>
        </w:tc>
        <w:tc>
          <w:tcPr>
            <w:tcW w:w="18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240" w:type="dxa"/>
            <w:vAlign w:val="bottom"/>
            <w:shd w:val="clear" w:color="auto" w:fill="E3E4E5"/>
          </w:tcPr>
          <w:p>
            <w:pPr>
              <w:spacing w:after="0"/>
              <w:rPr>
                <w:sz w:val="21"/>
                <w:szCs w:val="21"/>
                <w:color w:val="auto"/>
              </w:rPr>
            </w:pPr>
          </w:p>
        </w:tc>
        <w:tc>
          <w:tcPr>
            <w:tcW w:w="94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980" w:type="dxa"/>
            <w:vAlign w:val="bottom"/>
            <w:shd w:val="clear" w:color="auto" w:fill="E3E4E5"/>
          </w:tcPr>
          <w:p>
            <w:pPr>
              <w:spacing w:after="0"/>
              <w:rPr>
                <w:sz w:val="21"/>
                <w:szCs w:val="21"/>
                <w:color w:val="auto"/>
              </w:rPr>
            </w:pPr>
          </w:p>
        </w:tc>
        <w:tc>
          <w:tcPr>
            <w:tcW w:w="6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103</w:t>
            </w:r>
          </w:p>
        </w:tc>
        <w:tc>
          <w:tcPr>
            <w:tcW w:w="6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2030</w:t>
            </w:r>
          </w:p>
        </w:tc>
        <w:tc>
          <w:tcPr>
            <w:tcW w:w="18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240" w:type="dxa"/>
            <w:vAlign w:val="bottom"/>
            <w:shd w:val="clear" w:color="auto" w:fill="E3E4E5"/>
          </w:tcPr>
          <w:p>
            <w:pPr>
              <w:spacing w:after="0"/>
              <w:rPr>
                <w:sz w:val="21"/>
                <w:szCs w:val="21"/>
                <w:color w:val="auto"/>
              </w:rPr>
            </w:pPr>
          </w:p>
        </w:tc>
        <w:tc>
          <w:tcPr>
            <w:tcW w:w="940" w:type="dxa"/>
            <w:vAlign w:val="bottom"/>
            <w:shd w:val="clear" w:color="auto" w:fill="E3E4E5"/>
          </w:tcPr>
          <w:p>
            <w:pPr>
              <w:spacing w:after="0"/>
              <w:rPr>
                <w:sz w:val="21"/>
                <w:szCs w:val="21"/>
                <w:color w:val="auto"/>
              </w:rPr>
            </w:pPr>
          </w:p>
        </w:tc>
        <w:tc>
          <w:tcPr>
            <w:tcW w:w="18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980" w:type="dxa"/>
            <w:vAlign w:val="bottom"/>
            <w:shd w:val="clear" w:color="auto" w:fill="E3E4E5"/>
          </w:tcPr>
          <w:p>
            <w:pPr>
              <w:spacing w:after="0"/>
              <w:rPr>
                <w:sz w:val="21"/>
                <w:szCs w:val="21"/>
                <w:color w:val="auto"/>
              </w:rPr>
            </w:pPr>
          </w:p>
        </w:tc>
        <w:tc>
          <w:tcPr>
            <w:tcW w:w="6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100</w:t>
            </w:r>
          </w:p>
        </w:tc>
        <w:tc>
          <w:tcPr>
            <w:tcW w:w="60" w:type="dxa"/>
            <w:vAlign w:val="bottom"/>
            <w:shd w:val="clear" w:color="auto" w:fill="E3E4E5"/>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E3E4E5"/>
            </w:tcBorders>
          </w:tcPr>
          <w:p>
            <w:pPr>
              <w:spacing w:after="0"/>
              <w:rPr>
                <w:sz w:val="20"/>
                <w:szCs w:val="20"/>
                <w:color w:val="auto"/>
              </w:rPr>
            </w:pPr>
            <w:r>
              <w:rPr>
                <w:rFonts w:ascii="Times New Roman" w:cs="Times New Roman" w:eastAsia="Times New Roman" w:hAnsi="Times New Roman"/>
                <w:sz w:val="20"/>
                <w:szCs w:val="20"/>
                <w:color w:val="231F20"/>
              </w:rPr>
              <w:t>2031 and thereafter</w:t>
            </w:r>
          </w:p>
        </w:tc>
        <w:tc>
          <w:tcPr>
            <w:tcW w:w="180" w:type="dxa"/>
            <w:vAlign w:val="bottom"/>
            <w:tcBorders>
              <w:bottom w:val="single" w:sz="8" w:color="E3E4E5"/>
            </w:tcBorders>
          </w:tcPr>
          <w:p>
            <w:pPr>
              <w:spacing w:after="0"/>
              <w:rPr>
                <w:sz w:val="21"/>
                <w:szCs w:val="21"/>
                <w:color w:val="auto"/>
              </w:rPr>
            </w:pPr>
          </w:p>
        </w:tc>
        <w:tc>
          <w:tcPr>
            <w:tcW w:w="180" w:type="dxa"/>
            <w:vAlign w:val="bottom"/>
            <w:tcBorders>
              <w:bottom w:val="single" w:sz="8" w:color="E3E4E5"/>
            </w:tcBorders>
          </w:tcPr>
          <w:p>
            <w:pPr>
              <w:spacing w:after="0"/>
              <w:rPr>
                <w:sz w:val="21"/>
                <w:szCs w:val="21"/>
                <w:color w:val="auto"/>
              </w:rPr>
            </w:pPr>
          </w:p>
        </w:tc>
        <w:tc>
          <w:tcPr>
            <w:tcW w:w="240" w:type="dxa"/>
            <w:vAlign w:val="bottom"/>
            <w:tcBorders>
              <w:bottom w:val="single" w:sz="8" w:color="E3E4E5"/>
            </w:tcBorders>
          </w:tcPr>
          <w:p>
            <w:pPr>
              <w:spacing w:after="0"/>
              <w:rPr>
                <w:sz w:val="21"/>
                <w:szCs w:val="21"/>
                <w:color w:val="auto"/>
              </w:rPr>
            </w:pPr>
          </w:p>
        </w:tc>
        <w:tc>
          <w:tcPr>
            <w:tcW w:w="940" w:type="dxa"/>
            <w:vAlign w:val="bottom"/>
            <w:tcBorders>
              <w:bottom w:val="single" w:sz="8" w:color="E3E4E5"/>
            </w:tcBorders>
          </w:tcPr>
          <w:p>
            <w:pPr>
              <w:spacing w:after="0"/>
              <w:rPr>
                <w:sz w:val="21"/>
                <w:szCs w:val="21"/>
                <w:color w:val="auto"/>
              </w:rPr>
            </w:pPr>
          </w:p>
        </w:tc>
        <w:tc>
          <w:tcPr>
            <w:tcW w:w="180" w:type="dxa"/>
            <w:vAlign w:val="bottom"/>
            <w:tcBorders>
              <w:bottom w:val="single" w:sz="8" w:color="E3E4E5"/>
            </w:tcBorders>
          </w:tcPr>
          <w:p>
            <w:pPr>
              <w:spacing w:after="0"/>
              <w:rPr>
                <w:sz w:val="21"/>
                <w:szCs w:val="21"/>
                <w:color w:val="auto"/>
              </w:rPr>
            </w:pPr>
          </w:p>
        </w:tc>
        <w:tc>
          <w:tcPr>
            <w:tcW w:w="20" w:type="dxa"/>
            <w:vAlign w:val="bottom"/>
            <w:tcBorders>
              <w:bottom w:val="single" w:sz="8" w:color="E3E4E5"/>
            </w:tcBorders>
          </w:tcPr>
          <w:p>
            <w:pPr>
              <w:spacing w:after="0"/>
              <w:rPr>
                <w:sz w:val="21"/>
                <w:szCs w:val="21"/>
                <w:color w:val="auto"/>
              </w:rPr>
            </w:pPr>
          </w:p>
        </w:tc>
        <w:tc>
          <w:tcPr>
            <w:tcW w:w="8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20" w:type="dxa"/>
            <w:vAlign w:val="bottom"/>
            <w:tcBorders>
              <w:bottom w:val="single" w:sz="8" w:color="231F20"/>
            </w:tcBorders>
          </w:tcPr>
          <w:p>
            <w:pPr>
              <w:spacing w:after="0"/>
              <w:rPr>
                <w:sz w:val="21"/>
                <w:szCs w:val="21"/>
                <w:color w:val="auto"/>
              </w:rPr>
            </w:pPr>
          </w:p>
        </w:tc>
        <w:tc>
          <w:tcPr>
            <w:tcW w:w="100" w:type="dxa"/>
            <w:vAlign w:val="bottom"/>
            <w:tcBorders>
              <w:bottom w:val="single" w:sz="8" w:color="231F20"/>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980" w:type="dxa"/>
            <w:vAlign w:val="bottom"/>
            <w:tcBorders>
              <w:bottom w:val="single" w:sz="8" w:color="231F20"/>
            </w:tcBorders>
          </w:tcPr>
          <w:p>
            <w:pPr>
              <w:spacing w:after="0"/>
              <w:rPr>
                <w:sz w:val="21"/>
                <w:szCs w:val="21"/>
                <w:color w:val="auto"/>
              </w:rPr>
            </w:pPr>
          </w:p>
        </w:tc>
        <w:tc>
          <w:tcPr>
            <w:tcW w:w="6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427</w:t>
            </w:r>
          </w:p>
        </w:tc>
        <w:tc>
          <w:tcPr>
            <w:tcW w:w="60" w:type="dxa"/>
            <w:vAlign w:val="bottom"/>
            <w:tcBorders>
              <w:bottom w:val="single" w:sz="8" w:color="231F20"/>
            </w:tcBorders>
          </w:tcPr>
          <w:p>
            <w:pPr>
              <w:spacing w:after="0"/>
              <w:rPr>
                <w:sz w:val="21"/>
                <w:szCs w:val="21"/>
                <w:color w:val="auto"/>
              </w:rPr>
            </w:pPr>
          </w:p>
        </w:tc>
        <w:tc>
          <w:tcPr>
            <w:tcW w:w="0" w:type="dxa"/>
            <w:vAlign w:val="bottom"/>
          </w:tcPr>
          <w:p>
            <w:pPr>
              <w:spacing w:after="0"/>
              <w:rPr>
                <w:sz w:val="1"/>
                <w:szCs w:val="1"/>
                <w:color w:val="auto"/>
              </w:rPr>
            </w:pPr>
          </w:p>
        </w:tc>
      </w:tr>
      <w:tr>
        <w:trPr>
          <w:trHeight w:val="259"/>
        </w:trPr>
        <w:tc>
          <w:tcPr>
            <w:tcW w:w="6840" w:type="dxa"/>
            <w:vAlign w:val="bottom"/>
            <w:tcBorders>
              <w:bottom w:val="single" w:sz="8" w:color="E3E4E5"/>
            </w:tcBorders>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Total</w:t>
            </w:r>
          </w:p>
        </w:tc>
        <w:tc>
          <w:tcPr>
            <w:tcW w:w="180" w:type="dxa"/>
            <w:vAlign w:val="bottom"/>
            <w:tcBorders>
              <w:bottom w:val="single" w:sz="8" w:color="E3E4E5"/>
            </w:tcBorders>
            <w:shd w:val="clear" w:color="auto" w:fill="E3E4E5"/>
          </w:tcPr>
          <w:p>
            <w:pPr>
              <w:spacing w:after="0"/>
              <w:rPr>
                <w:sz w:val="22"/>
                <w:szCs w:val="22"/>
                <w:color w:val="auto"/>
              </w:rPr>
            </w:pPr>
          </w:p>
        </w:tc>
        <w:tc>
          <w:tcPr>
            <w:tcW w:w="180" w:type="dxa"/>
            <w:vAlign w:val="bottom"/>
            <w:tcBorders>
              <w:bottom w:val="single" w:sz="8" w:color="E3E4E5"/>
            </w:tcBorders>
            <w:shd w:val="clear" w:color="auto" w:fill="E3E4E5"/>
          </w:tcPr>
          <w:p>
            <w:pPr>
              <w:spacing w:after="0"/>
              <w:rPr>
                <w:sz w:val="22"/>
                <w:szCs w:val="22"/>
                <w:color w:val="auto"/>
              </w:rPr>
            </w:pPr>
          </w:p>
        </w:tc>
        <w:tc>
          <w:tcPr>
            <w:tcW w:w="240" w:type="dxa"/>
            <w:vAlign w:val="bottom"/>
            <w:tcBorders>
              <w:bottom w:val="single" w:sz="8" w:color="E3E4E5"/>
            </w:tcBorders>
            <w:shd w:val="clear" w:color="auto" w:fill="E3E4E5"/>
          </w:tcPr>
          <w:p>
            <w:pPr>
              <w:spacing w:after="0"/>
              <w:rPr>
                <w:sz w:val="22"/>
                <w:szCs w:val="22"/>
                <w:color w:val="auto"/>
              </w:rPr>
            </w:pPr>
          </w:p>
        </w:tc>
        <w:tc>
          <w:tcPr>
            <w:tcW w:w="940" w:type="dxa"/>
            <w:vAlign w:val="bottom"/>
            <w:tcBorders>
              <w:bottom w:val="single" w:sz="8" w:color="E3E4E5"/>
            </w:tcBorders>
            <w:shd w:val="clear" w:color="auto" w:fill="E3E4E5"/>
          </w:tcPr>
          <w:p>
            <w:pPr>
              <w:spacing w:after="0"/>
              <w:rPr>
                <w:sz w:val="22"/>
                <w:szCs w:val="22"/>
                <w:color w:val="auto"/>
              </w:rPr>
            </w:pPr>
          </w:p>
        </w:tc>
        <w:tc>
          <w:tcPr>
            <w:tcW w:w="180" w:type="dxa"/>
            <w:vAlign w:val="bottom"/>
            <w:tcBorders>
              <w:bottom w:val="single" w:sz="8" w:color="E3E4E5"/>
            </w:tcBorders>
            <w:shd w:val="clear" w:color="auto" w:fill="E3E4E5"/>
          </w:tcPr>
          <w:p>
            <w:pPr>
              <w:spacing w:after="0"/>
              <w:rPr>
                <w:sz w:val="22"/>
                <w:szCs w:val="22"/>
                <w:color w:val="auto"/>
              </w:rPr>
            </w:pPr>
          </w:p>
        </w:tc>
        <w:tc>
          <w:tcPr>
            <w:tcW w:w="20" w:type="dxa"/>
            <w:vAlign w:val="bottom"/>
            <w:tcBorders>
              <w:bottom w:val="single" w:sz="8" w:color="E3E4E5"/>
            </w:tcBorders>
            <w:shd w:val="clear" w:color="auto" w:fill="E3E4E5"/>
          </w:tcPr>
          <w:p>
            <w:pPr>
              <w:spacing w:after="0"/>
              <w:rPr>
                <w:sz w:val="22"/>
                <w:szCs w:val="22"/>
                <w:color w:val="auto"/>
              </w:rPr>
            </w:pPr>
          </w:p>
        </w:tc>
        <w:tc>
          <w:tcPr>
            <w:tcW w:w="240" w:type="dxa"/>
            <w:vAlign w:val="bottom"/>
            <w:tcBorders>
              <w:bottom w:val="single" w:sz="8" w:color="231F20"/>
            </w:tcBorders>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14142"/>
                <w:w w:val="79"/>
              </w:rPr>
              <w:t>$</w:t>
            </w:r>
          </w:p>
        </w:tc>
        <w:tc>
          <w:tcPr>
            <w:tcW w:w="20" w:type="dxa"/>
            <w:vAlign w:val="bottom"/>
            <w:tcBorders>
              <w:bottom w:val="single" w:sz="8" w:color="231F20"/>
            </w:tcBorders>
            <w:shd w:val="clear" w:color="auto" w:fill="E3E4E5"/>
          </w:tcPr>
          <w:p>
            <w:pPr>
              <w:spacing w:after="0"/>
              <w:rPr>
                <w:sz w:val="22"/>
                <w:szCs w:val="22"/>
                <w:color w:val="auto"/>
              </w:rPr>
            </w:pPr>
          </w:p>
        </w:tc>
        <w:tc>
          <w:tcPr>
            <w:tcW w:w="100" w:type="dxa"/>
            <w:vAlign w:val="bottom"/>
            <w:tcBorders>
              <w:bottom w:val="single" w:sz="8" w:color="231F20"/>
            </w:tcBorders>
            <w:shd w:val="clear" w:color="auto" w:fill="E3E4E5"/>
          </w:tcPr>
          <w:p>
            <w:pPr>
              <w:spacing w:after="0"/>
              <w:rPr>
                <w:sz w:val="22"/>
                <w:szCs w:val="22"/>
                <w:color w:val="auto"/>
              </w:rPr>
            </w:pPr>
          </w:p>
        </w:tc>
        <w:tc>
          <w:tcPr>
            <w:tcW w:w="160" w:type="dxa"/>
            <w:vAlign w:val="bottom"/>
            <w:tcBorders>
              <w:bottom w:val="single" w:sz="8" w:color="231F20"/>
            </w:tcBorders>
            <w:shd w:val="clear" w:color="auto" w:fill="E3E4E5"/>
          </w:tcPr>
          <w:p>
            <w:pPr>
              <w:spacing w:after="0"/>
              <w:rPr>
                <w:sz w:val="22"/>
                <w:szCs w:val="22"/>
                <w:color w:val="auto"/>
              </w:rPr>
            </w:pPr>
          </w:p>
        </w:tc>
        <w:tc>
          <w:tcPr>
            <w:tcW w:w="980" w:type="dxa"/>
            <w:vAlign w:val="bottom"/>
            <w:tcBorders>
              <w:bottom w:val="single" w:sz="8" w:color="231F20"/>
            </w:tcBorders>
            <w:shd w:val="clear" w:color="auto" w:fill="E3E4E5"/>
          </w:tcPr>
          <w:p>
            <w:pPr>
              <w:spacing w:after="0"/>
              <w:rPr>
                <w:sz w:val="22"/>
                <w:szCs w:val="22"/>
                <w:color w:val="auto"/>
              </w:rPr>
            </w:pPr>
          </w:p>
        </w:tc>
        <w:tc>
          <w:tcPr>
            <w:tcW w:w="6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3,766</w:t>
            </w:r>
          </w:p>
        </w:tc>
        <w:tc>
          <w:tcPr>
            <w:tcW w:w="60" w:type="dxa"/>
            <w:vAlign w:val="bottom"/>
            <w:tcBorders>
              <w:bottom w:val="single" w:sz="8" w:color="231F20"/>
            </w:tcBorders>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231F20"/>
              </w:rPr>
              <w:t>Note 7 – Accrued Liabilities</w:t>
            </w: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8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231F20"/>
              </w:rPr>
              <w:t>Accrued liabilities consist of the following (in thousands):</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6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5"/>
          </w:tcPr>
          <w:p>
            <w:pPr>
              <w:jc w:val="right"/>
              <w:ind w:right="800"/>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660" w:type="dxa"/>
            <w:vAlign w:val="bottom"/>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6840" w:type="dxa"/>
            <w:vAlign w:val="bottom"/>
            <w:tcBorders>
              <w:bottom w:val="single" w:sz="8" w:color="E3E4E5"/>
            </w:tcBorders>
          </w:tcPr>
          <w:p>
            <w:pPr>
              <w:spacing w:after="0"/>
              <w:rPr>
                <w:sz w:val="20"/>
                <w:szCs w:val="20"/>
                <w:color w:val="auto"/>
              </w:rPr>
            </w:pPr>
          </w:p>
        </w:tc>
        <w:tc>
          <w:tcPr>
            <w:tcW w:w="180" w:type="dxa"/>
            <w:vAlign w:val="bottom"/>
            <w:tcBorders>
              <w:bottom w:val="single" w:sz="8" w:color="E3E4E5"/>
            </w:tcBorders>
          </w:tcPr>
          <w:p>
            <w:pPr>
              <w:spacing w:after="0"/>
              <w:rPr>
                <w:sz w:val="20"/>
                <w:szCs w:val="20"/>
                <w:color w:val="auto"/>
              </w:rPr>
            </w:pPr>
          </w:p>
        </w:tc>
        <w:tc>
          <w:tcPr>
            <w:tcW w:w="180" w:type="dxa"/>
            <w:vAlign w:val="bottom"/>
            <w:tcBorders>
              <w:bottom w:val="single" w:sz="8" w:color="E3E4E5"/>
            </w:tcBorders>
          </w:tcPr>
          <w:p>
            <w:pPr>
              <w:spacing w:after="0"/>
              <w:rPr>
                <w:sz w:val="20"/>
                <w:szCs w:val="20"/>
                <w:color w:val="auto"/>
              </w:rPr>
            </w:pPr>
          </w:p>
        </w:tc>
        <w:tc>
          <w:tcPr>
            <w:tcW w:w="1620" w:type="dxa"/>
            <w:vAlign w:val="bottom"/>
            <w:tcBorders>
              <w:bottom w:val="single" w:sz="8" w:color="231F20"/>
            </w:tcBorders>
            <w:gridSpan w:val="6"/>
          </w:tcPr>
          <w:p>
            <w:pPr>
              <w:spacing w:after="0"/>
              <w:rPr>
                <w:sz w:val="20"/>
                <w:szCs w:val="20"/>
                <w:color w:val="auto"/>
              </w:rPr>
            </w:pPr>
            <w:r>
              <w:rPr>
                <w:rFonts w:ascii="Times New Roman" w:cs="Times New Roman" w:eastAsia="Times New Roman" w:hAnsi="Times New Roman"/>
                <w:sz w:val="20"/>
                <w:szCs w:val="20"/>
                <w:b w:val="1"/>
                <w:bCs w:val="1"/>
                <w:color w:val="231F20"/>
                <w:w w:val="98"/>
              </w:rPr>
              <w:t>December 31, 2025</w:t>
            </w:r>
          </w:p>
        </w:tc>
        <w:tc>
          <w:tcPr>
            <w:tcW w:w="20" w:type="dxa"/>
            <w:vAlign w:val="bottom"/>
            <w:tcBorders>
              <w:bottom w:val="single" w:sz="8" w:color="231F20"/>
            </w:tcBorders>
          </w:tcPr>
          <w:p>
            <w:pPr>
              <w:spacing w:after="0"/>
              <w:rPr>
                <w:sz w:val="20"/>
                <w:szCs w:val="20"/>
                <w:color w:val="auto"/>
              </w:rPr>
            </w:pPr>
          </w:p>
        </w:tc>
        <w:tc>
          <w:tcPr>
            <w:tcW w:w="100" w:type="dxa"/>
            <w:vAlign w:val="bottom"/>
            <w:tcBorders>
              <w:bottom w:val="single" w:sz="8" w:color="231F20"/>
            </w:tcBorders>
          </w:tcPr>
          <w:p>
            <w:pPr>
              <w:spacing w:after="0"/>
              <w:rPr>
                <w:sz w:val="20"/>
                <w:szCs w:val="20"/>
                <w:color w:val="auto"/>
              </w:rPr>
            </w:pPr>
          </w:p>
        </w:tc>
        <w:tc>
          <w:tcPr>
            <w:tcW w:w="160" w:type="dxa"/>
            <w:vAlign w:val="bottom"/>
            <w:tcBorders>
              <w:bottom w:val="single" w:sz="8" w:color="E3E4E5"/>
            </w:tcBorders>
          </w:tcPr>
          <w:p>
            <w:pPr>
              <w:spacing w:after="0"/>
              <w:rPr>
                <w:sz w:val="20"/>
                <w:szCs w:val="20"/>
                <w:color w:val="auto"/>
              </w:rPr>
            </w:pPr>
          </w:p>
        </w:tc>
        <w:tc>
          <w:tcPr>
            <w:tcW w:w="1640" w:type="dxa"/>
            <w:vAlign w:val="bottom"/>
            <w:tcBorders>
              <w:bottom w:val="single" w:sz="8" w:color="231F20"/>
            </w:tcBorders>
            <w:gridSpan w:val="2"/>
          </w:tcPr>
          <w:p>
            <w:pPr>
              <w:spacing w:after="0"/>
              <w:rPr>
                <w:sz w:val="20"/>
                <w:szCs w:val="20"/>
                <w:color w:val="auto"/>
              </w:rPr>
            </w:pPr>
            <w:r>
              <w:rPr>
                <w:rFonts w:ascii="Times New Roman" w:cs="Times New Roman" w:eastAsia="Times New Roman" w:hAnsi="Times New Roman"/>
                <w:sz w:val="20"/>
                <w:szCs w:val="20"/>
                <w:b w:val="1"/>
                <w:bCs w:val="1"/>
                <w:color w:val="231F20"/>
              </w:rPr>
              <w:t>December 31, 2024</w:t>
            </w:r>
          </w:p>
        </w:tc>
        <w:tc>
          <w:tcPr>
            <w:tcW w:w="60" w:type="dxa"/>
            <w:vAlign w:val="bottom"/>
            <w:tcBorders>
              <w:bottom w:val="single" w:sz="8" w:color="231F20"/>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Compensation related accruals</w:t>
            </w:r>
          </w:p>
        </w:tc>
        <w:tc>
          <w:tcPr>
            <w:tcW w:w="180" w:type="dxa"/>
            <w:vAlign w:val="bottom"/>
            <w:shd w:val="clear" w:color="auto" w:fill="E3E4E5"/>
          </w:tcPr>
          <w:p>
            <w:pPr>
              <w:spacing w:after="0"/>
              <w:rPr>
                <w:sz w:val="20"/>
                <w:szCs w:val="20"/>
                <w:color w:val="auto"/>
              </w:rPr>
            </w:pPr>
          </w:p>
        </w:tc>
        <w:tc>
          <w:tcPr>
            <w:tcW w:w="180" w:type="dxa"/>
            <w:vAlign w:val="bottom"/>
            <w:shd w:val="clear" w:color="auto" w:fill="E3E4E5"/>
          </w:tcPr>
          <w:p>
            <w:pPr>
              <w:spacing w:after="0"/>
              <w:rPr>
                <w:sz w:val="20"/>
                <w:szCs w:val="20"/>
                <w:color w:val="auto"/>
              </w:rPr>
            </w:pPr>
          </w:p>
        </w:tc>
        <w:tc>
          <w:tcPr>
            <w:tcW w:w="2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w:t>
            </w:r>
          </w:p>
        </w:tc>
        <w:tc>
          <w:tcPr>
            <w:tcW w:w="1380" w:type="dxa"/>
            <w:vAlign w:val="bottom"/>
            <w:gridSpan w:val="5"/>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7,834</w:t>
            </w:r>
          </w:p>
        </w:tc>
        <w:tc>
          <w:tcPr>
            <w:tcW w:w="120" w:type="dxa"/>
            <w:vAlign w:val="bottom"/>
            <w:gridSpan w:val="2"/>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9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w:t>
            </w:r>
          </w:p>
        </w:tc>
        <w:tc>
          <w:tcPr>
            <w:tcW w:w="6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6,770</w:t>
            </w:r>
          </w:p>
        </w:tc>
        <w:tc>
          <w:tcPr>
            <w:tcW w:w="60" w:type="dxa"/>
            <w:vAlign w:val="bottom"/>
            <w:shd w:val="clear" w:color="auto" w:fill="E3E4E5"/>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231F20"/>
              </w:rPr>
              <w:t>Accrued clinical trial expenses</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231F20"/>
              </w:rPr>
              <w:t>767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919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840" w:type="dxa"/>
            <w:vAlign w:val="bottom"/>
            <w:tcBorders>
              <w:bottom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Other expenses</w:t>
            </w:r>
          </w:p>
        </w:tc>
        <w:tc>
          <w:tcPr>
            <w:tcW w:w="180" w:type="dxa"/>
            <w:vAlign w:val="bottom"/>
            <w:tcBorders>
              <w:bottom w:val="single" w:sz="8" w:color="E3E4E5"/>
            </w:tcBorders>
            <w:shd w:val="clear" w:color="auto" w:fill="E3E4E5"/>
          </w:tcPr>
          <w:p>
            <w:pPr>
              <w:spacing w:after="0"/>
              <w:rPr>
                <w:sz w:val="22"/>
                <w:szCs w:val="22"/>
                <w:color w:val="auto"/>
              </w:rPr>
            </w:pPr>
          </w:p>
        </w:tc>
        <w:tc>
          <w:tcPr>
            <w:tcW w:w="180" w:type="dxa"/>
            <w:vAlign w:val="bottom"/>
            <w:tcBorders>
              <w:bottom w:val="single" w:sz="8" w:color="E3E4E5"/>
            </w:tcBorders>
            <w:shd w:val="clear" w:color="auto" w:fill="E3E4E5"/>
          </w:tcPr>
          <w:p>
            <w:pPr>
              <w:spacing w:after="0"/>
              <w:rPr>
                <w:sz w:val="22"/>
                <w:szCs w:val="22"/>
                <w:color w:val="auto"/>
              </w:rPr>
            </w:pPr>
          </w:p>
        </w:tc>
        <w:tc>
          <w:tcPr>
            <w:tcW w:w="240" w:type="dxa"/>
            <w:vAlign w:val="bottom"/>
            <w:tcBorders>
              <w:bottom w:val="single" w:sz="8" w:color="E3E4E5"/>
            </w:tcBorders>
            <w:shd w:val="clear" w:color="auto" w:fill="E3E4E5"/>
          </w:tcPr>
          <w:p>
            <w:pPr>
              <w:spacing w:after="0"/>
              <w:rPr>
                <w:sz w:val="22"/>
                <w:szCs w:val="22"/>
                <w:color w:val="auto"/>
              </w:rPr>
            </w:pPr>
          </w:p>
        </w:tc>
        <w:tc>
          <w:tcPr>
            <w:tcW w:w="1380" w:type="dxa"/>
            <w:vAlign w:val="bottom"/>
            <w:tcBorders>
              <w:bottom w:val="single" w:sz="8" w:color="E3E4E5"/>
            </w:tcBorders>
            <w:gridSpan w:val="5"/>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2,432</w:t>
            </w:r>
          </w:p>
        </w:tc>
        <w:tc>
          <w:tcPr>
            <w:tcW w:w="20" w:type="dxa"/>
            <w:vAlign w:val="bottom"/>
            <w:tcBorders>
              <w:bottom w:val="single" w:sz="8" w:color="E3E4E5"/>
            </w:tcBorders>
            <w:shd w:val="clear" w:color="auto" w:fill="E3E4E5"/>
          </w:tcPr>
          <w:p>
            <w:pPr>
              <w:spacing w:after="0"/>
              <w:rPr>
                <w:sz w:val="22"/>
                <w:szCs w:val="22"/>
                <w:color w:val="auto"/>
              </w:rPr>
            </w:pPr>
          </w:p>
        </w:tc>
        <w:tc>
          <w:tcPr>
            <w:tcW w:w="100" w:type="dxa"/>
            <w:vAlign w:val="bottom"/>
            <w:tcBorders>
              <w:bottom w:val="single" w:sz="8" w:color="E3E4E5"/>
            </w:tcBorders>
            <w:shd w:val="clear" w:color="auto" w:fill="E3E4E5"/>
          </w:tcPr>
          <w:p>
            <w:pPr>
              <w:spacing w:after="0"/>
              <w:rPr>
                <w:sz w:val="22"/>
                <w:szCs w:val="22"/>
                <w:color w:val="auto"/>
              </w:rPr>
            </w:pPr>
          </w:p>
        </w:tc>
        <w:tc>
          <w:tcPr>
            <w:tcW w:w="160" w:type="dxa"/>
            <w:vAlign w:val="bottom"/>
            <w:tcBorders>
              <w:bottom w:val="single" w:sz="8" w:color="E3E4E5"/>
            </w:tcBorders>
            <w:shd w:val="clear" w:color="auto" w:fill="E3E4E5"/>
          </w:tcPr>
          <w:p>
            <w:pPr>
              <w:spacing w:after="0"/>
              <w:rPr>
                <w:sz w:val="22"/>
                <w:szCs w:val="22"/>
                <w:color w:val="auto"/>
              </w:rPr>
            </w:pPr>
          </w:p>
        </w:tc>
        <w:tc>
          <w:tcPr>
            <w:tcW w:w="980" w:type="dxa"/>
            <w:vAlign w:val="bottom"/>
            <w:tcBorders>
              <w:bottom w:val="single" w:sz="8" w:color="231F20"/>
            </w:tcBorders>
            <w:shd w:val="clear" w:color="auto" w:fill="E3E4E5"/>
          </w:tcPr>
          <w:p>
            <w:pPr>
              <w:spacing w:after="0"/>
              <w:rPr>
                <w:sz w:val="22"/>
                <w:szCs w:val="22"/>
                <w:color w:val="auto"/>
              </w:rPr>
            </w:pPr>
          </w:p>
        </w:tc>
        <w:tc>
          <w:tcPr>
            <w:tcW w:w="6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2,375</w:t>
            </w:r>
          </w:p>
        </w:tc>
        <w:tc>
          <w:tcPr>
            <w:tcW w:w="60" w:type="dxa"/>
            <w:vAlign w:val="bottom"/>
            <w:tcBorders>
              <w:bottom w:val="single" w:sz="8" w:color="231F20"/>
            </w:tcBorders>
            <w:shd w:val="clear" w:color="auto" w:fill="E3E4E5"/>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684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231F20"/>
              </w:rPr>
              <w:t>Total accrued liabilities</w:t>
            </w:r>
          </w:p>
        </w:tc>
        <w:tc>
          <w:tcPr>
            <w:tcW w:w="360" w:type="dxa"/>
            <w:vAlign w:val="bottom"/>
            <w:gridSpan w:val="2"/>
          </w:tcPr>
          <w:p>
            <w:pPr>
              <w:spacing w:after="0"/>
              <w:rPr>
                <w:sz w:val="19"/>
                <w:szCs w:val="19"/>
                <w:color w:val="auto"/>
              </w:rPr>
            </w:pPr>
          </w:p>
        </w:tc>
        <w:tc>
          <w:tcPr>
            <w:tcW w:w="240" w:type="dxa"/>
            <w:vAlign w:val="bottom"/>
            <w:tcBorders>
              <w:top w:val="single" w:sz="8" w:color="231F20"/>
              <w:bottom w:val="single" w:sz="8" w:color="231F20"/>
            </w:tcBorders>
          </w:tcPr>
          <w:p>
            <w:pPr>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1380" w:type="dxa"/>
            <w:vAlign w:val="bottom"/>
            <w:tcBorders>
              <w:top w:val="single" w:sz="8" w:color="231F20"/>
              <w:bottom w:val="single" w:sz="8" w:color="231F20"/>
            </w:tcBorders>
            <w:gridSpan w:val="5"/>
          </w:tcPr>
          <w:p>
            <w:pPr>
              <w:jc w:val="right"/>
              <w:spacing w:after="0" w:line="219" w:lineRule="exact"/>
              <w:rPr>
                <w:sz w:val="20"/>
                <w:szCs w:val="20"/>
                <w:color w:val="auto"/>
              </w:rPr>
            </w:pPr>
            <w:r>
              <w:rPr>
                <w:rFonts w:ascii="Times New Roman" w:cs="Times New Roman" w:eastAsia="Times New Roman" w:hAnsi="Times New Roman"/>
                <w:sz w:val="20"/>
                <w:szCs w:val="20"/>
                <w:color w:val="231F20"/>
              </w:rPr>
              <w:t>11,033</w:t>
            </w:r>
          </w:p>
        </w:tc>
        <w:tc>
          <w:tcPr>
            <w:tcW w:w="120" w:type="dxa"/>
            <w:vAlign w:val="bottom"/>
            <w:tcBorders>
              <w:top w:val="single" w:sz="8" w:color="231F20"/>
              <w:bottom w:val="single" w:sz="8" w:color="231F20"/>
            </w:tcBorders>
            <w:gridSpan w:val="2"/>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Borders>
              <w:top w:val="single" w:sz="8" w:color="231F20"/>
              <w:bottom w:val="single" w:sz="8" w:color="231F20"/>
            </w:tcBorders>
          </w:tcPr>
          <w:p>
            <w:pPr>
              <w:spacing w:after="0" w:line="219" w:lineRule="exact"/>
              <w:rPr>
                <w:sz w:val="20"/>
                <w:szCs w:val="20"/>
                <w:color w:val="auto"/>
              </w:rPr>
            </w:pPr>
            <w:r>
              <w:rPr>
                <w:rFonts w:ascii="Times New Roman" w:cs="Times New Roman" w:eastAsia="Times New Roman" w:hAnsi="Times New Roman"/>
                <w:sz w:val="20"/>
                <w:szCs w:val="20"/>
                <w:color w:val="231F20"/>
              </w:rPr>
              <w:t>$</w:t>
            </w:r>
          </w:p>
        </w:tc>
        <w:tc>
          <w:tcPr>
            <w:tcW w:w="660" w:type="dxa"/>
            <w:vAlign w:val="bottom"/>
            <w:tcBorders>
              <w:top w:val="single" w:sz="8" w:color="231F20"/>
              <w:bottom w:val="single" w:sz="8" w:color="231F20"/>
            </w:tcBorders>
          </w:tcPr>
          <w:p>
            <w:pPr>
              <w:jc w:val="right"/>
              <w:spacing w:after="0" w:line="219" w:lineRule="exact"/>
              <w:rPr>
                <w:sz w:val="20"/>
                <w:szCs w:val="20"/>
                <w:color w:val="auto"/>
              </w:rPr>
            </w:pPr>
            <w:r>
              <w:rPr>
                <w:rFonts w:ascii="Times New Roman" w:cs="Times New Roman" w:eastAsia="Times New Roman" w:hAnsi="Times New Roman"/>
                <w:sz w:val="20"/>
                <w:szCs w:val="20"/>
                <w:color w:val="231F20"/>
              </w:rPr>
              <w:t>10,064</w:t>
            </w:r>
          </w:p>
        </w:tc>
        <w:tc>
          <w:tcPr>
            <w:tcW w:w="60" w:type="dxa"/>
            <w:vAlign w:val="bottom"/>
            <w:tcBorders>
              <w:top w:val="single" w:sz="8" w:color="231F20"/>
              <w:bottom w:val="single" w:sz="8" w:color="231F20"/>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231F20"/>
            </w:tcBorders>
          </w:tcPr>
          <w:p>
            <w:pPr>
              <w:spacing w:after="0" w:line="20" w:lineRule="exact"/>
              <w:rPr>
                <w:sz w:val="1"/>
                <w:szCs w:val="1"/>
                <w:color w:val="auto"/>
              </w:rPr>
            </w:pPr>
          </w:p>
        </w:tc>
        <w:tc>
          <w:tcPr>
            <w:tcW w:w="940" w:type="dxa"/>
            <w:vAlign w:val="bottom"/>
            <w:tcBorders>
              <w:bottom w:val="single" w:sz="8" w:color="231F20"/>
            </w:tcBorders>
          </w:tcPr>
          <w:p>
            <w:pPr>
              <w:spacing w:after="0" w:line="20" w:lineRule="exact"/>
              <w:rPr>
                <w:sz w:val="1"/>
                <w:szCs w:val="1"/>
                <w:color w:val="auto"/>
              </w:rPr>
            </w:pPr>
          </w:p>
        </w:tc>
        <w:tc>
          <w:tcPr>
            <w:tcW w:w="18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80" w:type="dxa"/>
            <w:vAlign w:val="bottom"/>
            <w:tcBorders>
              <w:bottom w:val="single" w:sz="8" w:color="231F20"/>
            </w:tcBorders>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20" w:type="dxa"/>
            <w:vAlign w:val="bottom"/>
            <w:tcBorders>
              <w:bottom w:val="single" w:sz="8" w:color="231F20"/>
            </w:tcBorders>
          </w:tcPr>
          <w:p>
            <w:pPr>
              <w:spacing w:after="0" w:line="20" w:lineRule="exact"/>
              <w:rPr>
                <w:sz w:val="1"/>
                <w:szCs w:val="1"/>
                <w:color w:val="auto"/>
              </w:rPr>
            </w:pPr>
          </w:p>
        </w:tc>
        <w:tc>
          <w:tcPr>
            <w:tcW w:w="1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231F20"/>
            </w:tcBorders>
          </w:tcPr>
          <w:p>
            <w:pPr>
              <w:spacing w:after="0" w:line="20" w:lineRule="exact"/>
              <w:rPr>
                <w:sz w:val="1"/>
                <w:szCs w:val="1"/>
                <w:color w:val="auto"/>
              </w:rPr>
            </w:pPr>
          </w:p>
        </w:tc>
        <w:tc>
          <w:tcPr>
            <w:tcW w:w="66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-850265</wp:posOffset>
            </wp:positionV>
            <wp:extent cx="2287270" cy="476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45">
                      <a:extLst>
                        <a:ext uri="{28A0092B-C50C-407E-A947-70E740481C1C}"/>
                      </a:extLst>
                    </a:blip>
                    <a:srcRect/>
                    <a:stretch>
                      <a:fillRect/>
                    </a:stretch>
                  </pic:blipFill>
                  <pic:spPr bwMode="auto">
                    <a:xfrm>
                      <a:off x="0" y="0"/>
                      <a:ext cx="2287270" cy="47625"/>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8 – Debt</w:t>
      </w:r>
    </w:p>
    <w:p>
      <w:pPr>
        <w:spacing w:after="0" w:line="124"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Our long-term debt primarily consists of notes payable associated with our Perceptive Term Loan Facility which is described in further detail below. Long-term notes payable were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7080" w:type="dxa"/>
            <w:vAlign w:val="bottom"/>
          </w:tcPr>
          <w:p>
            <w:pPr>
              <w:spacing w:after="0"/>
              <w:rPr>
                <w:sz w:val="22"/>
                <w:szCs w:val="22"/>
                <w:color w:val="auto"/>
              </w:rPr>
            </w:pPr>
          </w:p>
        </w:tc>
        <w:tc>
          <w:tcPr>
            <w:tcW w:w="620" w:type="dxa"/>
            <w:vAlign w:val="bottom"/>
            <w:tcBorders>
              <w:bottom w:val="single" w:sz="8" w:color="231F20"/>
            </w:tcBorders>
          </w:tcPr>
          <w:p>
            <w:pPr>
              <w:spacing w:after="0"/>
              <w:rPr>
                <w:sz w:val="22"/>
                <w:szCs w:val="22"/>
                <w:color w:val="auto"/>
              </w:rPr>
            </w:pPr>
          </w:p>
        </w:tc>
        <w:tc>
          <w:tcPr>
            <w:tcW w:w="1940" w:type="dxa"/>
            <w:vAlign w:val="bottom"/>
            <w:tcBorders>
              <w:bottom w:val="single" w:sz="8" w:color="231F20"/>
            </w:tcBorders>
            <w:gridSpan w:val="3"/>
          </w:tcPr>
          <w:p>
            <w:pPr>
              <w:jc w:val="right"/>
              <w:ind w:right="420"/>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1080" w:type="dxa"/>
            <w:vAlign w:val="bottom"/>
            <w:tcBorders>
              <w:bottom w:val="single" w:sz="8" w:color="231F20"/>
            </w:tcBorders>
          </w:tcPr>
          <w:p>
            <w:pPr>
              <w:spacing w:after="0"/>
              <w:rPr>
                <w:sz w:val="22"/>
                <w:szCs w:val="22"/>
                <w:color w:val="auto"/>
              </w:rPr>
            </w:pPr>
          </w:p>
        </w:tc>
        <w:tc>
          <w:tcPr>
            <w:tcW w:w="80" w:type="dxa"/>
            <w:vAlign w:val="bottom"/>
          </w:tcPr>
          <w:p>
            <w:pPr>
              <w:spacing w:after="0"/>
              <w:rPr>
                <w:sz w:val="22"/>
                <w:szCs w:val="22"/>
                <w:color w:val="auto"/>
              </w:rPr>
            </w:pPr>
          </w:p>
        </w:tc>
      </w:tr>
      <w:tr>
        <w:trPr>
          <w:trHeight w:val="239"/>
        </w:trPr>
        <w:tc>
          <w:tcPr>
            <w:tcW w:w="7080" w:type="dxa"/>
            <w:vAlign w:val="bottom"/>
          </w:tcPr>
          <w:p>
            <w:pPr>
              <w:spacing w:after="0"/>
              <w:rPr>
                <w:sz w:val="20"/>
                <w:szCs w:val="20"/>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December 31, 2024</w:t>
            </w:r>
          </w:p>
        </w:tc>
        <w:tc>
          <w:tcPr>
            <w:tcW w:w="80" w:type="dxa"/>
            <w:vAlign w:val="bottom"/>
          </w:tcPr>
          <w:p>
            <w:pPr>
              <w:spacing w:after="0"/>
              <w:rPr>
                <w:sz w:val="20"/>
                <w:szCs w:val="20"/>
                <w:color w:val="auto"/>
              </w:rPr>
            </w:pPr>
          </w:p>
        </w:tc>
      </w:tr>
      <w:tr>
        <w:trPr>
          <w:trHeight w:val="239"/>
        </w:trPr>
        <w:tc>
          <w:tcPr>
            <w:tcW w:w="708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Perceptive Term Loan Facility</w:t>
            </w:r>
          </w:p>
        </w:tc>
        <w:tc>
          <w:tcPr>
            <w:tcW w:w="620" w:type="dxa"/>
            <w:vAlign w:val="bottom"/>
            <w:tcBorders>
              <w:top w:val="single" w:sz="8" w:color="231F20"/>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w:t>
            </w:r>
          </w:p>
        </w:tc>
        <w:tc>
          <w:tcPr>
            <w:tcW w:w="10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50,000</w:t>
            </w:r>
          </w:p>
        </w:tc>
        <w:tc>
          <w:tcPr>
            <w:tcW w:w="260" w:type="dxa"/>
            <w:vAlign w:val="bottom"/>
            <w:tcBorders>
              <w:top w:val="single" w:sz="8" w:color="E3E4E5"/>
            </w:tcBorders>
            <w:shd w:val="clear" w:color="auto" w:fill="E3E4E5"/>
          </w:tcPr>
          <w:p>
            <w:pPr>
              <w:spacing w:after="0"/>
              <w:rPr>
                <w:sz w:val="20"/>
                <w:szCs w:val="20"/>
                <w:color w:val="auto"/>
              </w:rPr>
            </w:pPr>
          </w:p>
        </w:tc>
        <w:tc>
          <w:tcPr>
            <w:tcW w:w="620" w:type="dxa"/>
            <w:vAlign w:val="bottom"/>
            <w:tcBorders>
              <w:top w:val="single" w:sz="8" w:color="231F20"/>
            </w:tcBorders>
            <w:shd w:val="clear" w:color="auto" w:fill="E3E4E5"/>
          </w:tcPr>
          <w:p>
            <w:pPr>
              <w:jc w:val="right"/>
              <w:ind w:right="420"/>
              <w:spacing w:after="0"/>
              <w:rPr>
                <w:sz w:val="20"/>
                <w:szCs w:val="20"/>
                <w:color w:val="auto"/>
              </w:rPr>
            </w:pPr>
            <w:r>
              <w:rPr>
                <w:rFonts w:ascii="Times New Roman" w:cs="Times New Roman" w:eastAsia="Times New Roman" w:hAnsi="Times New Roman"/>
                <w:sz w:val="20"/>
                <w:szCs w:val="20"/>
                <w:color w:val="414142"/>
                <w:w w:val="79"/>
              </w:rPr>
              <w:t>$</w:t>
            </w:r>
          </w:p>
        </w:tc>
        <w:tc>
          <w:tcPr>
            <w:tcW w:w="10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40,000</w:t>
            </w:r>
          </w:p>
        </w:tc>
        <w:tc>
          <w:tcPr>
            <w:tcW w:w="80" w:type="dxa"/>
            <w:vAlign w:val="bottom"/>
            <w:tcBorders>
              <w:top w:val="single" w:sz="8" w:color="E3E4E5"/>
            </w:tcBorders>
            <w:shd w:val="clear" w:color="auto" w:fill="E3E4E5"/>
          </w:tcPr>
          <w:p>
            <w:pPr>
              <w:spacing w:after="0"/>
              <w:rPr>
                <w:sz w:val="20"/>
                <w:szCs w:val="20"/>
                <w:color w:val="auto"/>
              </w:rPr>
            </w:pPr>
          </w:p>
        </w:tc>
      </w:tr>
      <w:tr>
        <w:trPr>
          <w:trHeight w:val="244"/>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231F20"/>
              </w:rPr>
              <w:t>Other</w:t>
            </w:r>
          </w:p>
        </w:tc>
        <w:tc>
          <w:tcPr>
            <w:tcW w:w="6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w:t>
            </w: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26</w:t>
            </w:r>
          </w:p>
        </w:tc>
        <w:tc>
          <w:tcPr>
            <w:tcW w:w="80" w:type="dxa"/>
            <w:vAlign w:val="bottom"/>
          </w:tcPr>
          <w:p>
            <w:pPr>
              <w:spacing w:after="0"/>
              <w:rPr>
                <w:sz w:val="21"/>
                <w:szCs w:val="21"/>
                <w:color w:val="auto"/>
              </w:rPr>
            </w:pPr>
          </w:p>
        </w:tc>
      </w:tr>
      <w:tr>
        <w:trPr>
          <w:trHeight w:val="244"/>
        </w:trPr>
        <w:tc>
          <w:tcPr>
            <w:tcW w:w="70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Unamortized debt discount and debt issuance costs</w:t>
            </w:r>
          </w:p>
        </w:tc>
        <w:tc>
          <w:tcPr>
            <w:tcW w:w="620" w:type="dxa"/>
            <w:vAlign w:val="bottom"/>
            <w:shd w:val="clear" w:color="auto" w:fill="E3E4E5"/>
          </w:tcPr>
          <w:p>
            <w:pPr>
              <w:spacing w:after="0"/>
              <w:rPr>
                <w:sz w:val="21"/>
                <w:szCs w:val="21"/>
                <w:color w:val="auto"/>
              </w:rPr>
            </w:pPr>
          </w:p>
        </w:tc>
        <w:tc>
          <w:tcPr>
            <w:tcW w:w="1320" w:type="dxa"/>
            <w:vAlign w:val="bottom"/>
            <w:gridSpan w:val="2"/>
            <w:shd w:val="clear" w:color="auto" w:fill="E3E4E5"/>
          </w:tcPr>
          <w:p>
            <w:pPr>
              <w:jc w:val="right"/>
              <w:ind w:right="200"/>
              <w:spacing w:after="0"/>
              <w:rPr>
                <w:sz w:val="20"/>
                <w:szCs w:val="20"/>
                <w:color w:val="auto"/>
              </w:rPr>
            </w:pPr>
            <w:r>
              <w:rPr>
                <w:rFonts w:ascii="Times New Roman" w:cs="Times New Roman" w:eastAsia="Times New Roman" w:hAnsi="Times New Roman"/>
                <w:sz w:val="20"/>
                <w:szCs w:val="20"/>
                <w:color w:val="414142"/>
              </w:rPr>
              <w:t>(2,555)</w:t>
            </w:r>
          </w:p>
        </w:tc>
        <w:tc>
          <w:tcPr>
            <w:tcW w:w="620" w:type="dxa"/>
            <w:vAlign w:val="bottom"/>
            <w:shd w:val="clear" w:color="auto" w:fill="E3E4E5"/>
          </w:tcPr>
          <w:p>
            <w:pPr>
              <w:spacing w:after="0"/>
              <w:rPr>
                <w:sz w:val="21"/>
                <w:szCs w:val="21"/>
                <w:color w:val="auto"/>
              </w:rPr>
            </w:pPr>
          </w:p>
        </w:tc>
        <w:tc>
          <w:tcPr>
            <w:tcW w:w="116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(3,597)</w:t>
            </w:r>
          </w:p>
        </w:tc>
      </w:tr>
      <w:tr>
        <w:trPr>
          <w:trHeight w:val="239"/>
        </w:trPr>
        <w:tc>
          <w:tcPr>
            <w:tcW w:w="7080" w:type="dxa"/>
            <w:vAlign w:val="bottom"/>
          </w:tcPr>
          <w:p>
            <w:pPr>
              <w:spacing w:after="0"/>
              <w:rPr>
                <w:sz w:val="20"/>
                <w:szCs w:val="20"/>
                <w:color w:val="auto"/>
              </w:rPr>
            </w:pPr>
          </w:p>
        </w:tc>
        <w:tc>
          <w:tcPr>
            <w:tcW w:w="620" w:type="dxa"/>
            <w:vAlign w:val="bottom"/>
            <w:tcBorders>
              <w:top w:val="single" w:sz="8" w:color="231F20"/>
            </w:tcBorders>
          </w:tcPr>
          <w:p>
            <w:pPr>
              <w:spacing w:after="0"/>
              <w:rPr>
                <w:sz w:val="20"/>
                <w:szCs w:val="20"/>
                <w:color w:val="auto"/>
              </w:rPr>
            </w:pPr>
          </w:p>
        </w:tc>
        <w:tc>
          <w:tcPr>
            <w:tcW w:w="106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47,451</w:t>
            </w:r>
          </w:p>
        </w:tc>
        <w:tc>
          <w:tcPr>
            <w:tcW w:w="260" w:type="dxa"/>
            <w:vAlign w:val="bottom"/>
          </w:tcPr>
          <w:p>
            <w:pPr>
              <w:spacing w:after="0"/>
              <w:rPr>
                <w:sz w:val="20"/>
                <w:szCs w:val="20"/>
                <w:color w:val="auto"/>
              </w:rPr>
            </w:pPr>
          </w:p>
        </w:tc>
        <w:tc>
          <w:tcPr>
            <w:tcW w:w="620" w:type="dxa"/>
            <w:vAlign w:val="bottom"/>
            <w:tcBorders>
              <w:top w:val="single" w:sz="8" w:color="231F20"/>
            </w:tcBorders>
          </w:tcPr>
          <w:p>
            <w:pPr>
              <w:spacing w:after="0"/>
              <w:rPr>
                <w:sz w:val="20"/>
                <w:szCs w:val="20"/>
                <w:color w:val="auto"/>
              </w:rPr>
            </w:pPr>
          </w:p>
        </w:tc>
        <w:tc>
          <w:tcPr>
            <w:tcW w:w="1080" w:type="dxa"/>
            <w:vAlign w:val="bottom"/>
            <w:tcBorders>
              <w:top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36,429</w:t>
            </w:r>
          </w:p>
        </w:tc>
        <w:tc>
          <w:tcPr>
            <w:tcW w:w="80" w:type="dxa"/>
            <w:vAlign w:val="bottom"/>
          </w:tcPr>
          <w:p>
            <w:pPr>
              <w:spacing w:after="0"/>
              <w:rPr>
                <w:sz w:val="20"/>
                <w:szCs w:val="20"/>
                <w:color w:val="auto"/>
              </w:rPr>
            </w:pPr>
          </w:p>
        </w:tc>
      </w:tr>
      <w:tr>
        <w:trPr>
          <w:trHeight w:val="244"/>
        </w:trPr>
        <w:tc>
          <w:tcPr>
            <w:tcW w:w="70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Less: current maturities</w:t>
            </w:r>
          </w:p>
        </w:tc>
        <w:tc>
          <w:tcPr>
            <w:tcW w:w="620" w:type="dxa"/>
            <w:vAlign w:val="bottom"/>
            <w:tcBorders>
              <w:bottom w:val="single" w:sz="8" w:color="231F20"/>
            </w:tcBorders>
            <w:shd w:val="clear" w:color="auto" w:fill="E3E4E5"/>
          </w:tcPr>
          <w:p>
            <w:pPr>
              <w:spacing w:after="0"/>
              <w:rPr>
                <w:sz w:val="21"/>
                <w:szCs w:val="21"/>
                <w:color w:val="auto"/>
              </w:rPr>
            </w:pPr>
          </w:p>
        </w:tc>
        <w:tc>
          <w:tcPr>
            <w:tcW w:w="10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w:t>
            </w:r>
          </w:p>
        </w:tc>
        <w:tc>
          <w:tcPr>
            <w:tcW w:w="260" w:type="dxa"/>
            <w:vAlign w:val="bottom"/>
            <w:shd w:val="clear" w:color="auto" w:fill="E3E4E5"/>
          </w:tcPr>
          <w:p>
            <w:pPr>
              <w:spacing w:after="0"/>
              <w:rPr>
                <w:sz w:val="21"/>
                <w:szCs w:val="21"/>
                <w:color w:val="auto"/>
              </w:rPr>
            </w:pPr>
          </w:p>
        </w:tc>
        <w:tc>
          <w:tcPr>
            <w:tcW w:w="620" w:type="dxa"/>
            <w:vAlign w:val="bottom"/>
            <w:tcBorders>
              <w:bottom w:val="single" w:sz="8" w:color="231F20"/>
            </w:tcBorders>
            <w:shd w:val="clear" w:color="auto" w:fill="E3E4E5"/>
          </w:tcPr>
          <w:p>
            <w:pPr>
              <w:spacing w:after="0"/>
              <w:rPr>
                <w:sz w:val="21"/>
                <w:szCs w:val="21"/>
                <w:color w:val="auto"/>
              </w:rPr>
            </w:pPr>
          </w:p>
        </w:tc>
        <w:tc>
          <w:tcPr>
            <w:tcW w:w="108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21</w:t>
            </w:r>
          </w:p>
        </w:tc>
        <w:tc>
          <w:tcPr>
            <w:tcW w:w="80" w:type="dxa"/>
            <w:vAlign w:val="bottom"/>
            <w:shd w:val="clear" w:color="auto" w:fill="E3E4E5"/>
          </w:tcPr>
          <w:p>
            <w:pPr>
              <w:spacing w:after="0"/>
              <w:rPr>
                <w:sz w:val="21"/>
                <w:szCs w:val="21"/>
                <w:color w:val="auto"/>
              </w:rPr>
            </w:pPr>
          </w:p>
        </w:tc>
      </w:tr>
      <w:tr>
        <w:trPr>
          <w:trHeight w:val="239"/>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231F20"/>
              </w:rPr>
              <w:t>Long-term notes payable</w:t>
            </w:r>
          </w:p>
        </w:tc>
        <w:tc>
          <w:tcPr>
            <w:tcW w:w="620" w:type="dxa"/>
            <w:vAlign w:val="bottom"/>
            <w:tcBorders>
              <w:bottom w:val="single" w:sz="8" w:color="231F20"/>
            </w:tcBorders>
          </w:tcPr>
          <w:p>
            <w:pPr>
              <w:spacing w:after="0"/>
              <w:rPr>
                <w:sz w:val="20"/>
                <w:szCs w:val="20"/>
                <w:color w:val="auto"/>
              </w:rPr>
            </w:pPr>
            <w:r>
              <w:rPr>
                <w:rFonts w:ascii="Times New Roman" w:cs="Times New Roman" w:eastAsia="Times New Roman" w:hAnsi="Times New Roman"/>
                <w:sz w:val="20"/>
                <w:szCs w:val="20"/>
                <w:color w:val="231F20"/>
              </w:rPr>
              <w:t>$</w:t>
            </w: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47,445</w:t>
            </w:r>
          </w:p>
        </w:tc>
        <w:tc>
          <w:tcPr>
            <w:tcW w:w="260" w:type="dxa"/>
            <w:vAlign w:val="bottom"/>
          </w:tcPr>
          <w:p>
            <w:pPr>
              <w:spacing w:after="0"/>
              <w:rPr>
                <w:sz w:val="20"/>
                <w:szCs w:val="20"/>
                <w:color w:val="auto"/>
              </w:rPr>
            </w:pPr>
          </w:p>
        </w:tc>
        <w:tc>
          <w:tcPr>
            <w:tcW w:w="620" w:type="dxa"/>
            <w:vAlign w:val="bottom"/>
            <w:tcBorders>
              <w:bottom w:val="single" w:sz="8" w:color="231F20"/>
            </w:tcBorders>
          </w:tcPr>
          <w:p>
            <w:pPr>
              <w:jc w:val="right"/>
              <w:ind w:right="420"/>
              <w:spacing w:after="0"/>
              <w:rPr>
                <w:sz w:val="20"/>
                <w:szCs w:val="20"/>
                <w:color w:val="auto"/>
              </w:rPr>
            </w:pPr>
            <w:r>
              <w:rPr>
                <w:rFonts w:ascii="Times New Roman" w:cs="Times New Roman" w:eastAsia="Times New Roman" w:hAnsi="Times New Roman"/>
                <w:sz w:val="20"/>
                <w:szCs w:val="20"/>
                <w:color w:val="231F20"/>
                <w:w w:val="79"/>
              </w:rPr>
              <w:t>$</w:t>
            </w:r>
          </w:p>
        </w:tc>
        <w:tc>
          <w:tcPr>
            <w:tcW w:w="108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36,408</w:t>
            </w:r>
          </w:p>
        </w:tc>
        <w:tc>
          <w:tcPr>
            <w:tcW w:w="80" w:type="dxa"/>
            <w:vAlign w:val="bottom"/>
          </w:tcPr>
          <w:p>
            <w:pPr>
              <w:spacing w:after="0"/>
              <w:rPr>
                <w:sz w:val="20"/>
                <w:szCs w:val="20"/>
                <w:color w:val="auto"/>
              </w:rPr>
            </w:pPr>
          </w:p>
        </w:tc>
      </w:tr>
      <w:tr>
        <w:trPr>
          <w:trHeight w:val="20"/>
        </w:trPr>
        <w:tc>
          <w:tcPr>
            <w:tcW w:w="708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06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bottom w:val="single" w:sz="8" w:color="231F20"/>
            </w:tcBorders>
          </w:tcPr>
          <w:p>
            <w:pPr>
              <w:spacing w:after="0" w:line="20" w:lineRule="exact"/>
              <w:rPr>
                <w:sz w:val="1"/>
                <w:szCs w:val="1"/>
                <w:color w:val="auto"/>
              </w:rPr>
            </w:pPr>
          </w:p>
        </w:tc>
        <w:tc>
          <w:tcPr>
            <w:tcW w:w="108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4478020</wp:posOffset>
            </wp:positionH>
            <wp:positionV relativeFrom="paragraph">
              <wp:posOffset>-211455</wp:posOffset>
            </wp:positionV>
            <wp:extent cx="2344420"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46">
                      <a:extLst>
                        <a:ext uri="{28A0092B-C50C-407E-A947-70E740481C1C}"/>
                      </a:extLst>
                    </a:blip>
                    <a:srcRect/>
                    <a:stretch>
                      <a:fillRect/>
                    </a:stretch>
                  </pic:blipFill>
                  <pic:spPr bwMode="auto">
                    <a:xfrm>
                      <a:off x="0" y="0"/>
                      <a:ext cx="2344420" cy="3810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454546"/>
        </w:rPr>
        <w:t>Perceptive Term Loan Facility</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On November 16, 2022 (the Closing Date), the Company entered into a Credit Agreement and Guaranty (the Credit Agreement) with Perceptive Credit Holdings IV, LP as lender and administrative agent (the Lender). The Credit Agreement provides for a senior secured delayed draw term loan facility with Perceptive Advisors LLC (Perceptive) (the Perceptive Term Loan Facility). The Tranche A Loan, in an aggregate amount of up to $30.0 million (the Tranche A Loan), was funded under the Perceptive Term Loan Facility on November 21, 2022 (the Funding Date). The Company's net proceeds from the Tranche A Loan were approximately $27.9 million, after deducting debt issuance costs and expenses. In addition to the Tranche A Loan, the Perceptive Term Loan Facility included an additional Tranche B Loan, in an aggregate amount of up to $10.0 million, and an additional Tranche C Loan, in an aggregate amount of up to $ 10.0 million, which were accessible by the Company so long as the Company satisfied certain customary conditions precedent, including revenue milestones. On December 15, 2023, the Company exercised its ability to draw the Tranche B loan for $10.0 million. The Tranche C loan had a prior commitment date through September 30, 2024 and, as of that date, the Company did not exercise its ability to draw the Tranche C loan. On February 28, 2025, the Company entered into the Fifth Amendment to the Credit Agreement, whereby subject to the terms and conditions, the Tranche C Loan Commitment Termination Date was extended, providing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F-17</w:t>
      </w:r>
    </w:p>
    <w:p>
      <w:pPr>
        <w:sectPr>
          <w:pgSz w:w="11880" w:h="15480" w:orient="portrait"/>
          <w:cols w:equalWidth="0" w:num="1">
            <w:col w:w="10800"/>
          </w:cols>
          <w:pgMar w:left="540" w:top="750" w:right="540" w:bottom="0" w:gutter="0" w:footer="0" w:header="0"/>
        </w:sectPr>
      </w:pPr>
    </w:p>
    <w:bookmarkStart w:id="106" w:name="page107"/>
    <w:bookmarkEnd w:id="106"/>
    <w:p>
      <w:pPr>
        <w:jc w:val="both"/>
        <w:spacing w:after="0" w:line="258" w:lineRule="auto"/>
        <w:rPr>
          <w:sz w:val="20"/>
          <w:szCs w:val="20"/>
          <w:color w:val="auto"/>
        </w:rPr>
      </w:pPr>
      <w:r>
        <w:rPr>
          <w:rFonts w:ascii="Times New Roman" w:cs="Times New Roman" w:eastAsia="Times New Roman" w:hAnsi="Times New Roman"/>
          <w:sz w:val="20"/>
          <w:szCs w:val="20"/>
          <w:color w:val="231F20"/>
        </w:rPr>
        <w:t>continued availability to the Tranche C Loan through December 31, 2025 (see below). On May 8, 2025, the Company exercised its ability to draw the Tranche C loan for $10.0 million. The Perceptive Term Loan Facility has a maturity date of November 21, 2027 (the Maturity Date) and provides for an interest-only period during the term of the loan with principal due at the Maturity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Interest Rate</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Perceptive Term Loan Facility will accrue interest at an annual rate equal to the greater of (a) forward-looking one-month term SOFR as posted by CME Group Inc. and (b) 3.0% per annum, plus an applicable margin of 9.0%. As of December 31, 2025, the stated interest rate was approximately 12.70%.</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Amortization and Prepayment</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the Maturity Date, the Company is required to pay the Lender the aggregate outstanding principal amount underlying the Perceptive Term Loan Facility and any accrued and unpaid interest thereon. Prior to the Maturity Date, there will be no scheduled principal payments under the Perceptive Term Loan Facility. The Perceptive Term Loan Facility may be prepaid at any time, subject to a prepayment premium equal to 2% to 10% of the aggregate outstanding principal amount being prepaid, depending on the date of prepayment.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Security Instruments and Warrants</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Pursuant to a Security Agreement, dated as of the Funding Date (the Security Agreement), between the Company and the Lender, substantially all of the Company’s obligations under the Credit Agreement are secured by a first lien perfected security interest on all of the Company’s assets, subject to customary exceptions.</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As consideration for the Credit Agreement, the Company has issued, on the Funding Date, the Perceptive Warrant of up to 250,000 shares of the Company's common stock, including the Initial Warrants which are equity classified at a per share exercise price which was equal to $21.296, the 10-day volume weighted average price (VWAP) of the Company’s common stock, on the business day immediately prior to the Closing Date of the Tranche A Loan. In connection with the Tranche B borrowing, additional warrants became exercisable into 50,000 shares of common stock which had a per share exercise price equal to $21.296, which was equal to the Initial Warrant exercise price (the Tranche B Warrants).</w:t>
      </w:r>
    </w:p>
    <w:p>
      <w:pPr>
        <w:spacing w:after="0" w:line="8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 xml:space="preserve">In addition to the Initial and Tranche B Warrants, additional warrants became exercisable into 50,000 shares of common stock concurrently with the borrowing date of the Tranche C Loan (the Tranche C Warrants). The Company initially accounted for the Tranche C Warrants as liabilities as the Tranche C Warrants did not meet the criteria for equity treatment (see Note 4 – </w:t>
      </w:r>
      <w:r>
        <w:rPr>
          <w:rFonts w:ascii="Times New Roman" w:cs="Times New Roman" w:eastAsia="Times New Roman" w:hAnsi="Times New Roman"/>
          <w:sz w:val="20"/>
          <w:szCs w:val="20"/>
          <w:i w:val="1"/>
          <w:iCs w:val="1"/>
          <w:color w:val="231F20"/>
        </w:rPr>
        <w:t>Fair Value</w:t>
      </w:r>
      <w:r>
        <w:rPr>
          <w:rFonts w:ascii="Times New Roman" w:cs="Times New Roman" w:eastAsia="Times New Roman" w:hAnsi="Times New Roman"/>
          <w:sz w:val="20"/>
          <w:szCs w:val="20"/>
          <w:color w:val="231F20"/>
        </w:rPr>
        <w:t>). As consideration for drawing the Tranche C Loan in May 2025, the Company agreed to modify the previously agreed upon per share exercise price of $21.296 for the Perceptive Warrant and per share exercise price of $32.508 for the First Amendment Warrants, to purchase up to 275,000 shares of the Company's common stock, at a new per share exercise of $8.382, which is equal to the 10-day VWAP of the Company’s common stock on May 9, 2025, the business day immediately preceding the Tranche C Loan borrowing date. The modification of the per share exercise price resulted in an increase in the fair value of the Tranche A, B, and First Amendment Warrants of $0.2 million, which was recorded as a debt issuance cost and increase to Additional Paid-In Capital.</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Representations, Warranties, Covenants, and Events of Default</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The Credit Agreement contains certain representations and warranties, affirmative covenants, negative covenants, financial covenants, and conditions that are customarily required for similar financings. The affirmative covenants, among other things, require the Company to undertake various reporting and notice requirements, maintain insurance and maintain in full force and effect all Regulatory Approvals, Material Agreements, Material Intellectual Property (each as defined in the Credit Agreement) and other rights, interests or assets (whether tangible or intangible) reasonably necessary for the operations of the Company’s business. The negative covenants restrict or limit the ability of the Company to, among other things and subject to certain exceptions contained in the Credit Agreement, incur new indebtedness; create liens on assets; engage in certain fundamental corporate changes, such as mergers or acquisitions, or changes to the Company’s business activities; make certain Investments or Restricted Payments (each as defined in the Credit Agreement); change its fiscal year; pay dividends; repay other certain indebtedness; engage in certain affiliate transactions; or enter into, amend or terminate any other agreements that has the impact of restricting the Company’s ability to make loan repayments under the Credit Agreement. In addition, the Company must (i) at all times prior to the Maturity Date maintain a minimum cash balance of $ 2.5 million; and (ii) as of the last day of each fiscal quarter commencing on the fiscal quarter ending March 31, 2023, meet certain minimum net revenue threshold amounts agreed to between the Company and Perceptive.</w:t>
      </w:r>
    </w:p>
    <w:p>
      <w:pPr>
        <w:spacing w:after="0" w:line="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On October 30, 2024, the Company entered into the Fourth Amendment with the Lender, whereby subject to the terms and conditions of the Fourth Amendment, the Minimum Net Revenue Covenant (as defined in the Credit Agreement) was amended to reduce the relevant threshold as of the last day of each fiscal quarter commencing on the fiscal quarter ended June 30, 2025 through and including the fiscal quarter ended December 31, 2027.</w:t>
      </w:r>
    </w:p>
    <w:p>
      <w:pPr>
        <w:spacing w:after="0" w:line="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On February 28, 2025, the Company entered into the Fifth Amendment with the Lender, whereby subject to the terms and conditions of the Fifth Amendment, the Tranche C Loan revenue milestone was eliminated and the Commitment Termination Date (as defined in the Credit Agreement) was extended, providing continued availability to the Tranche C Loan in an aggregate amount equal to $10.0</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F-18</w:t>
      </w:r>
    </w:p>
    <w:p>
      <w:pPr>
        <w:sectPr>
          <w:pgSz w:w="11880" w:h="15480" w:orient="portrait"/>
          <w:cols w:equalWidth="0" w:num="1">
            <w:col w:w="10800"/>
          </w:cols>
          <w:pgMar w:left="540" w:top="750" w:right="540" w:bottom="0" w:gutter="0" w:footer="0" w:header="0"/>
        </w:sectPr>
      </w:pPr>
    </w:p>
    <w:bookmarkStart w:id="107" w:name="page108"/>
    <w:bookmarkEnd w:id="107"/>
    <w:p>
      <w:pPr>
        <w:jc w:val="both"/>
        <w:spacing w:after="0" w:line="258" w:lineRule="auto"/>
        <w:rPr>
          <w:sz w:val="20"/>
          <w:szCs w:val="20"/>
          <w:color w:val="auto"/>
        </w:rPr>
      </w:pPr>
      <w:r>
        <w:rPr>
          <w:rFonts w:ascii="Times New Roman" w:cs="Times New Roman" w:eastAsia="Times New Roman" w:hAnsi="Times New Roman"/>
          <w:sz w:val="20"/>
          <w:szCs w:val="20"/>
          <w:color w:val="231F20"/>
        </w:rPr>
        <w:t>million through December 31, 2025. In addition, on the Tranche C Loan Borrowing Date (as defined in the Credit Agreement), the Tranche C Warrants, as amended, will become vested and exercisable at an exercise price equal to $15.86, the Company's closing stock price on February 28, 2025.</w:t>
      </w:r>
    </w:p>
    <w:p>
      <w:pPr>
        <w:spacing w:after="0" w:line="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The Credit Agreement also contains certain customary Events of Default which include, among others, non-payment of principal, interest, or fees, violation of covenants, inaccuracy of representations and warranties, bankruptcy and insolvency events, material judgments, cross-defaults to material contracts, certain regulatory-related events and events constituting a change of control. As of December 31, 2025, the Company was in compliance with all restrictive and financial covenants associated with its borrowings. The occurrence of an Event of Default could result in, among other things, the declaration that all outstanding principal and interest under the Perceptive Term Loan Facility are immediately due and payable in whole or in part.</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On the Closing Date, the Initial Warrants and Additional Warrants were valued at $2.9 million and $0.1 million, respectively, using the Black-Scholes option-pricing model, estimated settlement probabilities and estimated exercise prices. As a result of the fees paid to Perceptive and the value of the Perceptive Warrant, the Company recognized a discount on the Perceptive Term Loan in the amount of $5.2 million. The First Amendment Warrants were valued at $0.7 million using the Black -Scholes option-pricing model which the recognized as a discount on the Perceptive Term Loan Facility. The Company recorded the debt discount as a reduction to the principal amount of the debt and is amortized as interest expense over the life of the debt.</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8460" w:type="dxa"/>
            <w:vAlign w:val="bottom"/>
          </w:tcPr>
          <w:p>
            <w:pPr>
              <w:spacing w:after="0"/>
              <w:rPr>
                <w:sz w:val="20"/>
                <w:szCs w:val="20"/>
                <w:color w:val="auto"/>
              </w:rPr>
            </w:pPr>
            <w:r>
              <w:rPr>
                <w:rFonts w:ascii="Times New Roman" w:cs="Times New Roman" w:eastAsia="Times New Roman" w:hAnsi="Times New Roman"/>
                <w:sz w:val="20"/>
                <w:szCs w:val="20"/>
                <w:color w:val="231F20"/>
              </w:rPr>
              <w:t>Scheduled principal repayments (maturities) of long-term obligations were as follows (in thousands):</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24"/>
        </w:trPr>
        <w:tc>
          <w:tcPr>
            <w:tcW w:w="8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tcPr>
          <w:p>
            <w:pPr>
              <w:jc w:val="right"/>
              <w:ind w:right="740"/>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60" w:type="dxa"/>
            <w:vAlign w:val="bottom"/>
          </w:tcPr>
          <w:p>
            <w:pPr>
              <w:spacing w:after="0"/>
              <w:rPr>
                <w:sz w:val="24"/>
                <w:szCs w:val="24"/>
                <w:color w:val="auto"/>
              </w:rPr>
            </w:pPr>
          </w:p>
        </w:tc>
      </w:tr>
      <w:tr>
        <w:trPr>
          <w:trHeight w:val="254"/>
        </w:trPr>
        <w:tc>
          <w:tcPr>
            <w:tcW w:w="8460" w:type="dxa"/>
            <w:vAlign w:val="bottom"/>
            <w:tcBorders>
              <w:bottom w:val="single" w:sz="8" w:color="231F20"/>
            </w:tcBorders>
          </w:tcPr>
          <w:p>
            <w:pPr>
              <w:spacing w:after="0"/>
              <w:rPr>
                <w:sz w:val="22"/>
                <w:szCs w:val="22"/>
                <w:color w:val="auto"/>
              </w:rPr>
            </w:pPr>
          </w:p>
        </w:tc>
        <w:tc>
          <w:tcPr>
            <w:tcW w:w="200" w:type="dxa"/>
            <w:vAlign w:val="bottom"/>
            <w:tcBorders>
              <w:bottom w:val="single" w:sz="8" w:color="E3E4E5"/>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1920" w:type="dxa"/>
            <w:vAlign w:val="bottom"/>
            <w:tcBorders>
              <w:bottom w:val="single" w:sz="8" w:color="231F20"/>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60" w:type="dxa"/>
            <w:vAlign w:val="bottom"/>
            <w:tcBorders>
              <w:bottom w:val="single" w:sz="8" w:color="E3E4E5"/>
            </w:tcBorders>
          </w:tcPr>
          <w:p>
            <w:pPr>
              <w:spacing w:after="0"/>
              <w:rPr>
                <w:sz w:val="22"/>
                <w:szCs w:val="22"/>
                <w:color w:val="auto"/>
              </w:rPr>
            </w:pPr>
          </w:p>
        </w:tc>
      </w:tr>
      <w:tr>
        <w:trPr>
          <w:trHeight w:val="239"/>
        </w:trPr>
        <w:tc>
          <w:tcPr>
            <w:tcW w:w="84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2026</w:t>
            </w:r>
          </w:p>
        </w:tc>
        <w:tc>
          <w:tcPr>
            <w:tcW w:w="200" w:type="dxa"/>
            <w:vAlign w:val="bottom"/>
            <w:shd w:val="clear" w:color="auto" w:fill="E3E4E5"/>
          </w:tcPr>
          <w:p>
            <w:pPr>
              <w:spacing w:after="0"/>
              <w:rPr>
                <w:sz w:val="20"/>
                <w:szCs w:val="20"/>
                <w:color w:val="auto"/>
              </w:rPr>
            </w:pPr>
          </w:p>
        </w:tc>
        <w:tc>
          <w:tcPr>
            <w:tcW w:w="16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9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w:t>
            </w:r>
          </w:p>
        </w:tc>
        <w:tc>
          <w:tcPr>
            <w:tcW w:w="60" w:type="dxa"/>
            <w:vAlign w:val="bottom"/>
            <w:shd w:val="clear" w:color="auto" w:fill="E3E4E5"/>
          </w:tcPr>
          <w:p>
            <w:pPr>
              <w:spacing w:after="0"/>
              <w:rPr>
                <w:sz w:val="20"/>
                <w:szCs w:val="20"/>
                <w:color w:val="auto"/>
              </w:rPr>
            </w:pPr>
          </w:p>
        </w:tc>
      </w:tr>
      <w:tr>
        <w:trPr>
          <w:trHeight w:val="244"/>
        </w:trPr>
        <w:tc>
          <w:tcPr>
            <w:tcW w:w="8460" w:type="dxa"/>
            <w:vAlign w:val="bottom"/>
            <w:tcBorders>
              <w:bottom w:val="single" w:sz="8" w:color="E3E4E5"/>
            </w:tcBorders>
          </w:tcPr>
          <w:p>
            <w:pPr>
              <w:spacing w:after="0"/>
              <w:rPr>
                <w:sz w:val="20"/>
                <w:szCs w:val="20"/>
                <w:color w:val="auto"/>
              </w:rPr>
            </w:pPr>
            <w:r>
              <w:rPr>
                <w:rFonts w:ascii="Times New Roman" w:cs="Times New Roman" w:eastAsia="Times New Roman" w:hAnsi="Times New Roman"/>
                <w:sz w:val="20"/>
                <w:szCs w:val="20"/>
                <w:color w:val="231F20"/>
              </w:rPr>
              <w:t>2027</w:t>
            </w:r>
          </w:p>
        </w:tc>
        <w:tc>
          <w:tcPr>
            <w:tcW w:w="200" w:type="dxa"/>
            <w:vAlign w:val="bottom"/>
            <w:tcBorders>
              <w:bottom w:val="single" w:sz="8" w:color="E3E4E5"/>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92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50,000</w:t>
            </w:r>
          </w:p>
        </w:tc>
        <w:tc>
          <w:tcPr>
            <w:tcW w:w="60" w:type="dxa"/>
            <w:vAlign w:val="bottom"/>
            <w:tcBorders>
              <w:bottom w:val="single" w:sz="8" w:color="E3E4E5"/>
            </w:tcBorders>
          </w:tcPr>
          <w:p>
            <w:pPr>
              <w:spacing w:after="0"/>
              <w:rPr>
                <w:sz w:val="21"/>
                <w:szCs w:val="21"/>
                <w:color w:val="auto"/>
              </w:rPr>
            </w:pPr>
          </w:p>
        </w:tc>
      </w:tr>
      <w:tr>
        <w:trPr>
          <w:trHeight w:val="239"/>
        </w:trPr>
        <w:tc>
          <w:tcPr>
            <w:tcW w:w="846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Total</w:t>
            </w:r>
          </w:p>
        </w:tc>
        <w:tc>
          <w:tcPr>
            <w:tcW w:w="200" w:type="dxa"/>
            <w:vAlign w:val="bottom"/>
            <w:shd w:val="clear" w:color="auto" w:fill="E3E4E5"/>
          </w:tcPr>
          <w:p>
            <w:pPr>
              <w:spacing w:after="0"/>
              <w:rPr>
                <w:sz w:val="20"/>
                <w:szCs w:val="20"/>
                <w:color w:val="auto"/>
              </w:rPr>
            </w:pPr>
          </w:p>
        </w:tc>
        <w:tc>
          <w:tcPr>
            <w:tcW w:w="1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9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50,006</w:t>
            </w:r>
          </w:p>
        </w:tc>
        <w:tc>
          <w:tcPr>
            <w:tcW w:w="60" w:type="dxa"/>
            <w:vAlign w:val="bottom"/>
            <w:shd w:val="clear" w:color="auto" w:fill="E3E4E5"/>
          </w:tcPr>
          <w:p>
            <w:pPr>
              <w:spacing w:after="0"/>
              <w:rPr>
                <w:sz w:val="20"/>
                <w:szCs w:val="20"/>
                <w:color w:val="auto"/>
              </w:rPr>
            </w:pPr>
          </w:p>
        </w:tc>
      </w:tr>
      <w:tr>
        <w:trPr>
          <w:trHeight w:val="20"/>
        </w:trPr>
        <w:tc>
          <w:tcPr>
            <w:tcW w:w="8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92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5475605</wp:posOffset>
            </wp:positionH>
            <wp:positionV relativeFrom="paragraph">
              <wp:posOffset>-201930</wp:posOffset>
            </wp:positionV>
            <wp:extent cx="1360170"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47">
                      <a:extLst>
                        <a:ext uri="{28A0092B-C50C-407E-A947-70E740481C1C}"/>
                      </a:extLst>
                    </a:blip>
                    <a:srcRect/>
                    <a:stretch>
                      <a:fillRect/>
                    </a:stretch>
                  </pic:blipFill>
                  <pic:spPr bwMode="auto">
                    <a:xfrm>
                      <a:off x="0" y="0"/>
                      <a:ext cx="1360170" cy="3810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9 – Leases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Operating Leases</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acts as a lessee under all its lease agreements. In January 2024 the Company relocated its corporate headquarters and laboratory facilities to Louisville, Colorado. The Company also leases laboratory and office space in De Soto, Kansas, under a non-cancelable lease agreement for approximately 10,838 square feet. On July 1, 2025, the Company amended the De Soto lease agreement to extend the term from October 2026 to June 2030. The Company also holds various copier and equipment leases under non-cancelable lease agreements that expire within the next five years.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Centennial Valley Properties I, LLC Lease Agreement</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On March 11, 2022, the Company entered into a Lease Agreement (the Lease) with Centennial Valley Properties I, LLC and subsequently assigned to CVP I Owner LLC, a Colorado limited liability company (the Landlord) for office and laboratory space in Louisville, Colorado (the Leased Premises). The initial term of the Lease is twelve years (the Initial Term) from the commencement date, which was April 1, 2023 (the Commencement Date). The Company has two renewal options to extend the term of the Lease for an additional seven- or ten-year terms for each renewal.</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Under the Lease, the Company is leasing approximately 79,980 square feet at the Leased Premises. The Company will pay base rent over the life of the Lease beginning at approximately $227,000 per month and escalating, based on fixed escalation provisions, to approximately $326,000 per month, plus certain operating expenses and taxes. The Lease includes various covenants, indemnities, defaults, termination rights, and other provisions customary for lease transactions of this nature. During the three months ended September 30, 2022, a $5.0 million cash collateralized letter of credit under the operating lease agreement was released and the funds were subsequently transferred to the Landlord as a refundable deposit (subject to contingent reduction over the term of the lease) to secure the performance of the Company’s obligations. The $5.0 million refundable deposit is included within 'Other long-term assets' in the balance sheets as of December 31, 2025 and 2024.</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Operating lease expense for all operating leases was $2.3 million for both the years ended December 31, 2025 and 2024. As of December 31, 2025, the weighted-average remaining lease term and discount rate associated with our operating leases were 9.1 years and 11.5%, respectively.</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F-19</w:t>
      </w:r>
    </w:p>
    <w:p>
      <w:pPr>
        <w:sectPr>
          <w:pgSz w:w="11880" w:h="15480" w:orient="portrait"/>
          <w:cols w:equalWidth="0" w:num="1">
            <w:col w:w="10800"/>
          </w:cols>
          <w:pgMar w:left="540" w:top="750" w:right="540" w:bottom="6" w:gutter="0" w:footer="0" w:header="0"/>
          <w:type w:val="continuous"/>
        </w:sectPr>
      </w:pPr>
    </w:p>
    <w:bookmarkStart w:id="108" w:name="page109"/>
    <w:bookmarkEnd w:id="108"/>
    <w:tbl>
      <w:tblPr>
        <w:tblLayout w:type="fixed"/>
        <w:tblInd w:w="0" w:type="dxa"/>
        <w:tblCellMar>
          <w:top w:w="0" w:type="dxa"/>
          <w:left w:w="0" w:type="dxa"/>
          <w:bottom w:w="0" w:type="dxa"/>
          <w:right w:w="0" w:type="dxa"/>
        </w:tblCellMar>
      </w:tblPr>
      <w:tr>
        <w:trPr>
          <w:trHeight w:val="266"/>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231F20"/>
              </w:rPr>
              <w:t>Future minimum lease payments associated with our operating leases were as follows (in thousands):</w:t>
            </w:r>
          </w:p>
        </w:tc>
        <w:tc>
          <w:tcPr>
            <w:tcW w:w="2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324"/>
        </w:trPr>
        <w:tc>
          <w:tcPr>
            <w:tcW w:w="8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2"/>
          </w:tcPr>
          <w:p>
            <w:pPr>
              <w:jc w:val="right"/>
              <w:ind w:right="920"/>
              <w:spacing w:after="0"/>
              <w:rPr>
                <w:sz w:val="20"/>
                <w:szCs w:val="20"/>
                <w:color w:val="auto"/>
              </w:rPr>
            </w:pPr>
            <w:r>
              <w:rPr>
                <w:rFonts w:ascii="Times New Roman" w:cs="Times New Roman" w:eastAsia="Times New Roman" w:hAnsi="Times New Roman"/>
                <w:sz w:val="20"/>
                <w:szCs w:val="20"/>
                <w:b w:val="1"/>
                <w:bCs w:val="1"/>
                <w:color w:val="231F20"/>
              </w:rPr>
              <w:t>As of</w:t>
            </w:r>
          </w:p>
        </w:tc>
      </w:tr>
      <w:tr>
        <w:trPr>
          <w:trHeight w:val="253"/>
        </w:trPr>
        <w:tc>
          <w:tcPr>
            <w:tcW w:w="8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b w:val="1"/>
                <w:bCs w:val="1"/>
                <w:color w:val="231F20"/>
              </w:rPr>
              <w:t>December 31, 2025</w:t>
            </w:r>
          </w:p>
        </w:tc>
      </w:tr>
      <w:tr>
        <w:trPr>
          <w:trHeight w:val="239"/>
        </w:trPr>
        <w:tc>
          <w:tcPr>
            <w:tcW w:w="836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2026</w:t>
            </w:r>
          </w:p>
        </w:tc>
        <w:tc>
          <w:tcPr>
            <w:tcW w:w="260" w:type="dxa"/>
            <w:vAlign w:val="bottom"/>
            <w:tcBorders>
              <w:top w:val="single" w:sz="8" w:color="E3E4E5"/>
            </w:tcBorders>
            <w:shd w:val="clear" w:color="auto" w:fill="E3E4E5"/>
          </w:tcPr>
          <w:p>
            <w:pPr>
              <w:spacing w:after="0"/>
              <w:rPr>
                <w:sz w:val="20"/>
                <w:szCs w:val="20"/>
                <w:color w:val="auto"/>
              </w:rPr>
            </w:pPr>
          </w:p>
        </w:tc>
        <w:tc>
          <w:tcPr>
            <w:tcW w:w="1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94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4,165</w:t>
            </w:r>
          </w:p>
        </w:tc>
        <w:tc>
          <w:tcPr>
            <w:tcW w:w="80" w:type="dxa"/>
            <w:vAlign w:val="bottom"/>
            <w:tcBorders>
              <w:top w:val="single" w:sz="8" w:color="E3E4E5"/>
            </w:tcBorders>
            <w:shd w:val="clear" w:color="auto" w:fill="E3E4E5"/>
          </w:tcPr>
          <w:p>
            <w:pPr>
              <w:spacing w:after="0"/>
              <w:rPr>
                <w:sz w:val="20"/>
                <w:szCs w:val="20"/>
                <w:color w:val="auto"/>
              </w:rPr>
            </w:pPr>
          </w:p>
        </w:tc>
      </w:tr>
      <w:tr>
        <w:trPr>
          <w:trHeight w:val="244"/>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231F20"/>
              </w:rPr>
              <w:t>2027</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4,302</w:t>
            </w:r>
          </w:p>
        </w:tc>
        <w:tc>
          <w:tcPr>
            <w:tcW w:w="80" w:type="dxa"/>
            <w:vAlign w:val="bottom"/>
          </w:tcPr>
          <w:p>
            <w:pPr>
              <w:spacing w:after="0"/>
              <w:rPr>
                <w:sz w:val="21"/>
                <w:szCs w:val="21"/>
                <w:color w:val="auto"/>
              </w:rPr>
            </w:pPr>
          </w:p>
        </w:tc>
      </w:tr>
      <w:tr>
        <w:trPr>
          <w:trHeight w:val="244"/>
        </w:trPr>
        <w:tc>
          <w:tcPr>
            <w:tcW w:w="83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2028</w:t>
            </w:r>
          </w:p>
        </w:tc>
        <w:tc>
          <w:tcPr>
            <w:tcW w:w="26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4,390</w:t>
            </w:r>
          </w:p>
        </w:tc>
        <w:tc>
          <w:tcPr>
            <w:tcW w:w="80" w:type="dxa"/>
            <w:vAlign w:val="bottom"/>
            <w:shd w:val="clear" w:color="auto" w:fill="E3E4E5"/>
          </w:tcPr>
          <w:p>
            <w:pPr>
              <w:spacing w:after="0"/>
              <w:rPr>
                <w:sz w:val="21"/>
                <w:szCs w:val="21"/>
                <w:color w:val="auto"/>
              </w:rPr>
            </w:pPr>
          </w:p>
        </w:tc>
      </w:tr>
      <w:tr>
        <w:trPr>
          <w:trHeight w:val="244"/>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231F20"/>
              </w:rPr>
              <w:t>2029</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4,482</w:t>
            </w:r>
          </w:p>
        </w:tc>
        <w:tc>
          <w:tcPr>
            <w:tcW w:w="80" w:type="dxa"/>
            <w:vAlign w:val="bottom"/>
          </w:tcPr>
          <w:p>
            <w:pPr>
              <w:spacing w:after="0"/>
              <w:rPr>
                <w:sz w:val="21"/>
                <w:szCs w:val="21"/>
                <w:color w:val="auto"/>
              </w:rPr>
            </w:pPr>
          </w:p>
        </w:tc>
      </w:tr>
      <w:tr>
        <w:trPr>
          <w:trHeight w:val="244"/>
        </w:trPr>
        <w:tc>
          <w:tcPr>
            <w:tcW w:w="836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2030</w:t>
            </w:r>
          </w:p>
        </w:tc>
        <w:tc>
          <w:tcPr>
            <w:tcW w:w="26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1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4,453</w:t>
            </w:r>
          </w:p>
        </w:tc>
        <w:tc>
          <w:tcPr>
            <w:tcW w:w="80" w:type="dxa"/>
            <w:vAlign w:val="bottom"/>
            <w:shd w:val="clear" w:color="auto" w:fill="E3E4E5"/>
          </w:tcPr>
          <w:p>
            <w:pPr>
              <w:spacing w:after="0"/>
              <w:rPr>
                <w:sz w:val="21"/>
                <w:szCs w:val="21"/>
                <w:color w:val="auto"/>
              </w:rPr>
            </w:pPr>
          </w:p>
        </w:tc>
      </w:tr>
      <w:tr>
        <w:trPr>
          <w:trHeight w:val="244"/>
        </w:trPr>
        <w:tc>
          <w:tcPr>
            <w:tcW w:w="8360" w:type="dxa"/>
            <w:vAlign w:val="bottom"/>
            <w:tcBorders>
              <w:bottom w:val="single" w:sz="8" w:color="E3E4E5"/>
            </w:tcBorders>
          </w:tcPr>
          <w:p>
            <w:pPr>
              <w:spacing w:after="0"/>
              <w:rPr>
                <w:sz w:val="20"/>
                <w:szCs w:val="20"/>
                <w:color w:val="auto"/>
              </w:rPr>
            </w:pPr>
            <w:r>
              <w:rPr>
                <w:rFonts w:ascii="Times New Roman" w:cs="Times New Roman" w:eastAsia="Times New Roman" w:hAnsi="Times New Roman"/>
                <w:sz w:val="20"/>
                <w:szCs w:val="20"/>
                <w:color w:val="231F20"/>
              </w:rPr>
              <w:t>2031 and thereafter</w:t>
            </w:r>
          </w:p>
        </w:tc>
        <w:tc>
          <w:tcPr>
            <w:tcW w:w="260" w:type="dxa"/>
            <w:vAlign w:val="bottom"/>
            <w:tcBorders>
              <w:bottom w:val="single" w:sz="8" w:color="E3E4E5"/>
            </w:tcBorders>
          </w:tcPr>
          <w:p>
            <w:pPr>
              <w:spacing w:after="0"/>
              <w:rPr>
                <w:sz w:val="21"/>
                <w:szCs w:val="21"/>
                <w:color w:val="auto"/>
              </w:rPr>
            </w:pPr>
          </w:p>
        </w:tc>
        <w:tc>
          <w:tcPr>
            <w:tcW w:w="160" w:type="dxa"/>
            <w:vAlign w:val="bottom"/>
            <w:tcBorders>
              <w:bottom w:val="single" w:sz="8" w:color="231F20"/>
            </w:tcBorders>
          </w:tcPr>
          <w:p>
            <w:pPr>
              <w:spacing w:after="0"/>
              <w:rPr>
                <w:sz w:val="21"/>
                <w:szCs w:val="21"/>
                <w:color w:val="auto"/>
              </w:rPr>
            </w:pPr>
          </w:p>
        </w:tc>
        <w:tc>
          <w:tcPr>
            <w:tcW w:w="19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19,531</w:t>
            </w:r>
          </w:p>
        </w:tc>
        <w:tc>
          <w:tcPr>
            <w:tcW w:w="80" w:type="dxa"/>
            <w:vAlign w:val="bottom"/>
            <w:tcBorders>
              <w:bottom w:val="single" w:sz="8" w:color="E3E4E5"/>
            </w:tcBorders>
          </w:tcPr>
          <w:p>
            <w:pPr>
              <w:spacing w:after="0"/>
              <w:rPr>
                <w:sz w:val="21"/>
                <w:szCs w:val="21"/>
                <w:color w:val="auto"/>
              </w:rPr>
            </w:pPr>
          </w:p>
        </w:tc>
      </w:tr>
      <w:tr>
        <w:trPr>
          <w:trHeight w:val="239"/>
        </w:trPr>
        <w:tc>
          <w:tcPr>
            <w:tcW w:w="836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Total future minimum lease payments</w:t>
            </w:r>
          </w:p>
        </w:tc>
        <w:tc>
          <w:tcPr>
            <w:tcW w:w="26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19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41,323</w:t>
            </w:r>
          </w:p>
        </w:tc>
        <w:tc>
          <w:tcPr>
            <w:tcW w:w="80" w:type="dxa"/>
            <w:vAlign w:val="bottom"/>
            <w:shd w:val="clear" w:color="auto" w:fill="E3E4E5"/>
          </w:tcPr>
          <w:p>
            <w:pPr>
              <w:spacing w:after="0"/>
              <w:rPr>
                <w:sz w:val="20"/>
                <w:szCs w:val="20"/>
                <w:color w:val="auto"/>
              </w:rPr>
            </w:pPr>
          </w:p>
        </w:tc>
      </w:tr>
      <w:tr>
        <w:trPr>
          <w:trHeight w:val="283"/>
        </w:trPr>
        <w:tc>
          <w:tcPr>
            <w:tcW w:w="8360" w:type="dxa"/>
            <w:vAlign w:val="bottom"/>
          </w:tcPr>
          <w:p>
            <w:pPr>
              <w:spacing w:after="0"/>
              <w:rPr>
                <w:sz w:val="20"/>
                <w:szCs w:val="20"/>
                <w:color w:val="auto"/>
              </w:rPr>
            </w:pPr>
            <w:r>
              <w:rPr>
                <w:rFonts w:ascii="Times New Roman" w:cs="Times New Roman" w:eastAsia="Times New Roman" w:hAnsi="Times New Roman"/>
                <w:sz w:val="20"/>
                <w:szCs w:val="20"/>
                <w:color w:val="231F20"/>
              </w:rPr>
              <w:t>Less amount representing interest</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(15,920)</w:t>
            </w:r>
          </w:p>
        </w:tc>
      </w:tr>
      <w:tr>
        <w:trPr>
          <w:trHeight w:val="239"/>
        </w:trPr>
        <w:tc>
          <w:tcPr>
            <w:tcW w:w="8360" w:type="dxa"/>
            <w:vAlign w:val="bottom"/>
            <w:tcBorders>
              <w:top w:val="single" w:sz="8" w:color="E3E4E5"/>
            </w:tcBorders>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Total lease liabilities</w:t>
            </w:r>
          </w:p>
        </w:tc>
        <w:tc>
          <w:tcPr>
            <w:tcW w:w="260" w:type="dxa"/>
            <w:vAlign w:val="bottom"/>
            <w:tcBorders>
              <w:top w:val="single" w:sz="8" w:color="E3E4E5"/>
            </w:tcBorders>
            <w:shd w:val="clear" w:color="auto" w:fill="E3E4E5"/>
          </w:tcPr>
          <w:p>
            <w:pPr>
              <w:spacing w:after="0"/>
              <w:rPr>
                <w:sz w:val="20"/>
                <w:szCs w:val="20"/>
                <w:color w:val="auto"/>
              </w:rPr>
            </w:pPr>
          </w:p>
        </w:tc>
        <w:tc>
          <w:tcPr>
            <w:tcW w:w="16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94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25,403</w:t>
            </w:r>
          </w:p>
        </w:tc>
        <w:tc>
          <w:tcPr>
            <w:tcW w:w="80" w:type="dxa"/>
            <w:vAlign w:val="bottom"/>
            <w:tcBorders>
              <w:top w:val="single" w:sz="8" w:color="E3E4E5"/>
            </w:tcBorders>
            <w:shd w:val="clear" w:color="auto" w:fill="E3E4E5"/>
          </w:tcPr>
          <w:p>
            <w:pPr>
              <w:spacing w:after="0"/>
              <w:rPr>
                <w:sz w:val="20"/>
                <w:szCs w:val="20"/>
                <w:color w:val="auto"/>
              </w:rPr>
            </w:pPr>
          </w:p>
        </w:tc>
      </w:tr>
      <w:tr>
        <w:trPr>
          <w:trHeight w:val="20"/>
        </w:trPr>
        <w:tc>
          <w:tcPr>
            <w:tcW w:w="8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231F20"/>
            </w:tcBorders>
          </w:tcPr>
          <w:p>
            <w:pPr>
              <w:spacing w:after="0" w:line="20" w:lineRule="exact"/>
              <w:rPr>
                <w:sz w:val="1"/>
                <w:szCs w:val="1"/>
                <w:color w:val="auto"/>
              </w:rPr>
            </w:pPr>
          </w:p>
        </w:tc>
        <w:tc>
          <w:tcPr>
            <w:tcW w:w="19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5456555</wp:posOffset>
            </wp:positionH>
            <wp:positionV relativeFrom="paragraph">
              <wp:posOffset>-546100</wp:posOffset>
            </wp:positionV>
            <wp:extent cx="1365250"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48">
                      <a:extLst>
                        <a:ext uri="{28A0092B-C50C-407E-A947-70E740481C1C}"/>
                      </a:extLst>
                    </a:blip>
                    <a:srcRect/>
                    <a:stretch>
                      <a:fillRect/>
                    </a:stretch>
                  </pic:blipFill>
                  <pic:spPr bwMode="auto">
                    <a:xfrm>
                      <a:off x="0" y="0"/>
                      <a:ext cx="1365250" cy="3810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10 – Equity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Common Stock</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 xml:space="preserve">The Company’s Restated Certificate of Incorporation authorizes the Company to issue up to 200,000,000 shares of common stock with a par value of $0.001 per share. The holder of each share of common stock is entitled to one vote per share. The common shareholders are entitled to dividends whenever funds and assets are legally available and when and if declared by the Board of Directors. The Company is currently subject to restrictions on the payment of dividends (see Note 8 –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and no dividends have been declared as of December 31, 2025.</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Preferred Stock</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Company’s Restated Certificate of Incorporation authorizes the Company to issue up to 5,000,000 shares of preferred stock with a par value of $0.001 per share. As of December 31, 2025 and 2024, no shares of preferred stock were issued or outstanding.</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At-The-Market Program</w:t>
      </w:r>
    </w:p>
    <w:p>
      <w:pPr>
        <w:spacing w:after="0" w:line="12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231F20"/>
        </w:rPr>
        <w:t>The Company maintains an at-the-market (ATM) facility that enables equity financing on an ongoing basis at the Company’s discretion. On November 1, 2024, the Company filed a shelf registration statement on Form S-3 and entered into a new sales agreement with a financial institution, pursuant to which the Company may issue and sell, from time to time, shares of its common stock having an aggregate offering price of up to $50.0 million, subject to terms and conditions (the 2024 ATM Program) . The shares of common stock offered pursuant to the 2024 ATM Program will be offered and sold by the Company pursuant to its registration statement on Form S-3 which became effective with the SEC on November 12, 2024. The Company will pay the agent a commission rate of up to 3% of the gross sales proceeds of any shares sold and has agreed to provide the sales agents with customary indemnification, contribution and reimbursement rights. Sales of common stock under the 2024 ATM Program, if any, will be made at market prices by methods deemed to be an “at-the-market offering” as defined in Rule 415 promulgated under the Securities Act of 1933, as amended, including sales made directly on the Nasdaq Global Market, or any other existing trading market for our common stock. In connection with establishing the 2024 ATM Program, the Company terminated its prior $50.0 million ATM program established in November 2021, and no additional stock can be issued thereunder. During the year ended December 31, 2025, the Company raised approximately $7.3 million ($7.0 million after deducting underwriting discounts and commissions and offering expenses payable), in gross proceeds from the sale of 892,841 common shares at a weighted average price per share of $ 8.20. As of December 31, 2025, the Company had remaining available capacity for share issuances of up to $42.7 million under the 2024 ATM Program, subject to the restrictions and limitations of the facility, as well as volume limitations under applicable SEC rules and regulations that may limit the availability of the 2024 ATM Program as a source of funding, depending on current public float.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April 2024 Offering Summary</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On April 9, 2024, the Company closed an underwritten offering of common stock and a concurrent private placement which are described in further detail below. Collectively, the Company raised net proceeds of approximately $51.3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Underwritten Offering</w:t>
      </w:r>
    </w:p>
    <w:p>
      <w:pPr>
        <w:spacing w:after="0" w:line="1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On April 9, 2024, the Company closed an underwritten offering (the Offering) of 869,591 shares of its common stock (the Common Stock). The Common Stock was issued and sold pursuant to an underwriting agreement (the Underwriting Agreement), dated April 5, 2024, by and between the Company and TD Securities (USA) LLC, William Blair &amp; Company, L.L.C., and Canaccord Genuity LLC as representatives of the underwriters (the Underwriters), at a price to the public of $23.00 per share. The Company received net proceeds of approximately $ 18.2 million from the Offering after deducting underwriting discounts and commissions and estimated offering expenses payable by the Company.</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F-20</w:t>
      </w:r>
    </w:p>
    <w:p>
      <w:pPr>
        <w:sectPr>
          <w:pgSz w:w="11880" w:h="15480" w:orient="portrait"/>
          <w:cols w:equalWidth="0" w:num="1">
            <w:col w:w="10800"/>
          </w:cols>
          <w:pgMar w:left="540" w:top="750" w:right="540" w:bottom="6" w:gutter="0" w:footer="0" w:header="0"/>
          <w:type w:val="continuous"/>
        </w:sectPr>
      </w:pPr>
    </w:p>
    <w:bookmarkStart w:id="109" w:name="page110"/>
    <w:bookmarkEnd w:id="109"/>
    <w:p>
      <w:pPr>
        <w:jc w:val="both"/>
        <w:spacing w:after="0" w:line="247" w:lineRule="auto"/>
        <w:rPr>
          <w:sz w:val="20"/>
          <w:szCs w:val="20"/>
          <w:color w:val="auto"/>
        </w:rPr>
      </w:pPr>
      <w:r>
        <w:rPr>
          <w:rFonts w:ascii="Times New Roman" w:cs="Times New Roman" w:eastAsia="Times New Roman" w:hAnsi="Times New Roman"/>
          <w:sz w:val="20"/>
          <w:szCs w:val="20"/>
          <w:color w:val="231F20"/>
        </w:rPr>
        <w:t>The Underwriting Agreement contains customary representations, warranties and agreements by the Company, customary conditions to closing, indemnification obligations of the Company and the Underwriters, including for liabilities under the Securities Act, other obligations of the parties and termination provisions. The Underwriting Agreement also includes lock up restrictions that will be in effect during the period ending 90 days subsequent to April 5, 2024. The representations, warranties, and agreements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Offering was made pursuant to the Company’s effective Registration Statement on Form S-3 (File No. 333-261095) previously filed with the SEC on November 29, 2021 and a prospectus supplement, dated April 5, 2024 relating to the Offering</w:t>
      </w:r>
      <w:r>
        <w:rPr>
          <w:rFonts w:ascii="Times New Roman" w:cs="Times New Roman" w:eastAsia="Times New Roman" w:hAnsi="Times New Roman"/>
          <w:sz w:val="20"/>
          <w:szCs w:val="20"/>
          <w:i w:val="1"/>
          <w:iCs w:val="1"/>
          <w:color w:val="231F20"/>
        </w:rPr>
        <w:t>.</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Concurrent Private Placement</w:t>
      </w:r>
    </w:p>
    <w:p>
      <w:pPr>
        <w:spacing w:after="0" w:line="1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231F20"/>
        </w:rPr>
        <w:t>On April 5, 2024, the Company entered into securities purchase agreements (the Securities Purchase Agreements) with various investors, including certain members of management, certain of its directors and funds affiliated with those directors (the Investors) for the issuance and sale by the Company of an aggregate of 38,042 shares of Series A Non-Voting Convertible Preferred Stock, par value $0.001 per share (the Series A Preferred Stock) in an offering (the Concurrent Private Placement). The Preferred Stock was issued to the Investors pursuant to an exemption from the registration requirements of the Securities Act of 1933, as amended (the Securities Act) afforded by Section 4(a)(2) of the Securities Act. Pursuant to the terms of the Securities Purchase Agreements, the Company agreed to submit to its stockholders the approval of the (i) conversion of the Preferred Stock into shares of Common Stock in accordance with Nasdaq Stock Market Rules (the Conversion Proposal) and (ii) the issuance of Series A Preferred Stock to certain members of management, certain of its directors and funds affiliated with those directors (the Issuance Proposal) at its 2024 annual meeting of stockholders. The Securities Purchase Agreements include customary representations, warranties and covenants by the parties to the agreement.</w:t>
      </w:r>
    </w:p>
    <w:p>
      <w:pPr>
        <w:spacing w:after="0" w:line="89"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Pursuant to the Securities Purchase Agreements, the Investors purchased the Preferred Stock at a purchase price of $920.00 per share for an aggregate purchase price of approximately $35.0 million, net of fees of approximately $1.9 million.</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Registration Rights Agreement</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In connection with the Concurrent Private Placement, the Company also entered into a Registration Rights Agreement, dated April 5, 2024 (the Registration Rights Agreement), with the Investors, which provides that the Company will register the resale of the shares of Common Stock issuable upon conversion of the Preferred Stock. Pursuant to the Registration Rights Agreement, the Company was required to prepare and file an initial registration statement with the SEC as soon as reasonably practicable, but in no event later than April 23, 2024 (the Filing Deadline), and to use reasonable best efforts to have the registration statement declared effective within 50 days after the closing of the Concurrent Private Placement, subject to the approval of the conversion of the Private Placement Shares being received at the Company’s 2024 annual meeting of stockholders.</w:t>
      </w:r>
    </w:p>
    <w:p>
      <w:pPr>
        <w:spacing w:after="0" w:line="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On April 8, 2024, the Company filed a Certificate of Designations of Preferences, Rights and Limitations of the Series A Non-Voting Convertible Preferred Stock with the Secretary of State of the State of Delaware (the Certificate of Designations) in connection with the Concurrent Private Placement. The Certificate of Designations provided for the issuance of up to 38,042 shares of the Series A Preferred Stock.</w:t>
      </w:r>
    </w:p>
    <w:p>
      <w:pPr>
        <w:spacing w:after="0" w:line="7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Following stockholder approval of the Conversion Proposal, each share of Series A Preferred Stock automatically converted into 40 shares of Common Stock, subject to certain limitations, including that a holder of Series A Preferred Stock was prohibited from converting shares of Series A Preferred Stock into shares of Common Stock if, as a result of such conversion, such holder, together with its affiliates, would beneficially own more than a specified percentage (established by the holder between 0% and 19.9%) of the total number of shares of Common Stock issued and outstanding immediately after giving effect to such conversion.</w:t>
      </w:r>
    </w:p>
    <w:p>
      <w:pPr>
        <w:spacing w:after="0" w:line="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On May 21, 2024, the Company held its 2024 annual meeting of stockholders in which the Conversion Proposal and Issuance Proposal were approved by the Company's stockholders. Upon approval, each share of Series A Preferred Stock automatically converted into 40 shares of Common Stock and, on May 23, 2024, the Company issued 1,521,714 shares of Common Stock in exchange for all Series A Preferred Stock.</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Warrants</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During 2018, the Company issued Series G warrants to purchase shares of convertible preferred stock in conjunction with the sale of certain convertible preferred shares and issuance of debt. The Series G warrants were immediately exercisable upon issuance and expire on February 23, 2028. Through the effective date of the Company’s initial public offering (IPO) in October 2020, the Series G warrants were remeasured to an estimate of fair value using a Black-Scholes option-pricing model. As a result of the Company’s IPO, the Series G warrants were automatically converted to warrants to purchase 5,166 shares of common stock with a weighted average exercise price of $89.04 and were also transferred to additional paid-in capital. All common stock warrants remain outstanding as of December 31, 2025.</w:t>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 xml:space="preserve">On November 21, 2022, as consideration for the Perceptive Term Loan Facility (see Note 8 –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the Company issued the Perceptive Warrant to purchase up to 250,000 shares of the Company's common stock, including the Initial Warrants. The per share</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F-21</w:t>
      </w:r>
    </w:p>
    <w:p>
      <w:pPr>
        <w:sectPr>
          <w:pgSz w:w="11880" w:h="15480" w:orient="portrait"/>
          <w:cols w:equalWidth="0" w:num="1">
            <w:col w:w="10800"/>
          </w:cols>
          <w:pgMar w:left="540" w:top="750" w:right="540" w:bottom="0" w:gutter="0" w:footer="0" w:header="0"/>
        </w:sectPr>
      </w:pPr>
    </w:p>
    <w:bookmarkStart w:id="110" w:name="page111"/>
    <w:bookmarkEnd w:id="110"/>
    <w:p>
      <w:pPr>
        <w:jc w:val="both"/>
        <w:spacing w:after="0" w:line="252" w:lineRule="auto"/>
        <w:rPr>
          <w:sz w:val="20"/>
          <w:szCs w:val="20"/>
          <w:color w:val="auto"/>
        </w:rPr>
      </w:pPr>
      <w:r>
        <w:rPr>
          <w:rFonts w:ascii="Times New Roman" w:cs="Times New Roman" w:eastAsia="Times New Roman" w:hAnsi="Times New Roman"/>
          <w:sz w:val="20"/>
          <w:szCs w:val="20"/>
          <w:color w:val="231F20"/>
        </w:rPr>
        <w:t>exercise price for the Initial Warrants was equal to $21.296. The Initial Warrants are equity classified and were immediately exercisable upon issuance and expire on November 21, 2032. The Initial Warrants were valued at $2.9 million using the Black-Scholes option -pricing model assuming an expected term of 10 years, a volatility of 81.3%, a dividend yield of 0% and a risk-free interest rate of 3.67%. All Initial Warrants remain outstanding as of December 31, 2025.</w:t>
      </w:r>
    </w:p>
    <w:p>
      <w:pPr>
        <w:spacing w:after="0" w:line="7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 xml:space="preserve">On May 10, 2023, as consideration for the First Amendment (see Note 8 –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the Company agreed to issue to Perceptive a warrant to purchase up to 25,000 shares of the Company’s common stock (the First Amendment Warrants). The per share exercise price was equal to $ 32.508. The First Amendment Warrants are equity classified and immediately exercisable upon issuance and expire on May 10, 2033. The First Amendment Warrants were valued at $0.7 million using the Black-Scholes option-pricing model assuming an expected term of 10 years, a volatility of 78.7%, a dividend yield of 0% and a risk-free interest rate of 3.49%. All First Amendment Warrants remain outstanding as of December 31, 2025.</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 xml:space="preserve">On December 15, 2023 (the Tranche B Borrowing Date), the Company exercised its ability to draw the Tranche B loan (see Note 8 –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In connection with the Tranche B draw, the Company remeasured the Tranche B Warrants through the Tranche B Borrowing</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Date and recorded the change in fair value through the statements of operations and, subsequently, reclassified the fair value to additional paid-in capital. The per share exercise price for the Tranche B Warrants was equal to $21.296. The Tranche B Warrants are now equity classified and immediately exercisable upon issuance and expire on December 15, 2033. The Tranche B Warrants were valued at $1.3 million using the Black-Scholes option-pricing model assuming an expected term of 10 years, a volatility of 76.2%, a dividend yield of 0% and a risk-free interest rate of 3.91%. All Tranche B Warrants remain outstanding as of December 31, 2025.</w:t>
      </w:r>
    </w:p>
    <w:p>
      <w:pPr>
        <w:spacing w:after="0" w:line="8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As consideration for drawing the Tranche C Loan, the Company agreed to modify the previously agreed upon per share exercise price of $21.296 for the Perceptive Warrant and per share exercise price of $32.508 for the First Amendment Warrants, to purchase up to 275,000 shares of the Company's common stock, at a new per share exercise of $8.382, which is equal to the 10-day VWAP of the Company’s common stock on May 9, 2025, the business day immediately preceding the Tranche C Loan borrowing date. The modification of the per share exercise price resulted in an increase in the fair value of the Tranche A, B, and First Amendment Warrants of $0.2 million, which was recorded as a debt issuance cost and increase to Additional Paid-In Capital.</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 xml:space="preserve">On May 8, 2025, the Company exercised its ability to draw the Tranche C loan (see Note 8 – </w:t>
      </w:r>
      <w:r>
        <w:rPr>
          <w:rFonts w:ascii="Times New Roman" w:cs="Times New Roman" w:eastAsia="Times New Roman" w:hAnsi="Times New Roman"/>
          <w:sz w:val="20"/>
          <w:szCs w:val="20"/>
          <w:i w:val="1"/>
          <w:iCs w:val="1"/>
          <w:color w:val="231F20"/>
        </w:rPr>
        <w:t>Debt</w:t>
      </w:r>
      <w:r>
        <w:rPr>
          <w:rFonts w:ascii="Times New Roman" w:cs="Times New Roman" w:eastAsia="Times New Roman" w:hAnsi="Times New Roman"/>
          <w:sz w:val="20"/>
          <w:szCs w:val="20"/>
          <w:color w:val="231F20"/>
        </w:rPr>
        <w:t>). In connection with the Tranche C draw, the Company measured the Tranche C Warrants through May 12, 2025 (the Tranche C Borrowing Date) and recorded the change in fair value through the statements of operations and, subsequently, reclassified the fair value to additional paid-in capital. The per share exercise price for the Tranche C Warrants is equal to $8.382. The Tranche C Warrants are now equity classified and immediately exercisable upon issuance and expire on May 12, 2035. The Tranche C Warrants were valued at $0.3 million using the Black-Scholes option-pricing model assuming an expected term of 10 years, a volatility of 72.1%, a dividend yield of 0% and a risk-free interest rate of 4.45%. All Tranche C Warrants remain outstanding as of December 31, 2025.</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11 – Revenue and Accounts Receivable Credit Concentration</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derive our revenue from two sources: (i) Diagnostic Tests, providing lung diagnostic testing services for healthcare providers associated with our five blood-based tests and (ii) Development Services, providing diagnostic testing services to biopharmaceutical, life sciences, and diagnostic companies.</w:t>
      </w:r>
    </w:p>
    <w:p>
      <w:pPr>
        <w:spacing w:after="0" w:line="6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Diagnostic Tests revenues consist of blood-based lung tests which are recognized in the amount expected to be received in exchange for diagnostic tests when the diagnostic tests are delivered. The Company conducts diagnostic tests and delivers the completed test results to the prescribing physician or patient, as applicable. The fees for diagnostic tests are billed either to a third party such as Medicare, medical facilities, commercial insurance payers, or to the patient. The Company determines the transaction price related to its diagnostic test contracts by considering the nature of the payer, test type, and historical price concessions granted to groups of customers. For Diagnostic Tests revenue, the Company estimates the transaction price, which is the amount of consideration it expects to be entitled to receive in exchange for providing services based on its historical collection experience, using a portfolio approach. The Company recognizes revenues for diagnostic tests upon delivery of the tests to the physicians requesting the tests or patient, as applicable.</w:t>
      </w:r>
    </w:p>
    <w:p>
      <w:pPr>
        <w:spacing w:after="0" w:line="8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Development Services revenue consists of on-market tests, pipeline tests, custom diagnostic testing, and other scientific services for a purpose as defined by any individual customer, which is often with biopharmaceutical companies. The performance obligations and related revenue for these sales is defined by a written agreement between the Company and the customer. These services are generally completed upon the delivery of testing results, achievement of contractual milestone(s) as defined in the customer agreements, or over the term of the contract which is generally expected to be completed in one year or less. Revenue for these services is recognized upon delivery of the completed test results, upon completion of the contractual milestone(s), or over the term of contract.</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F-22</w:t>
      </w:r>
    </w:p>
    <w:p>
      <w:pPr>
        <w:sectPr>
          <w:pgSz w:w="11880" w:h="15480" w:orient="portrait"/>
          <w:cols w:equalWidth="0" w:num="1">
            <w:col w:w="10800"/>
          </w:cols>
          <w:pgMar w:left="540" w:top="750" w:right="540" w:bottom="6" w:gutter="0" w:footer="0" w:header="0"/>
          <w:type w:val="continuous"/>
        </w:sectPr>
      </w:pPr>
    </w:p>
    <w:bookmarkStart w:id="111" w:name="page112"/>
    <w:bookmarkEnd w:id="111"/>
    <w:tbl>
      <w:tblPr>
        <w:tblLayout w:type="fixed"/>
        <w:tblInd w:w="0" w:type="dxa"/>
        <w:tblCellMar>
          <w:top w:w="0" w:type="dxa"/>
          <w:left w:w="0" w:type="dxa"/>
          <w:bottom w:w="0" w:type="dxa"/>
          <w:right w:w="0" w:type="dxa"/>
        </w:tblCellMar>
      </w:tblPr>
      <w:tr>
        <w:trPr>
          <w:trHeight w:val="266"/>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231F20"/>
              </w:rPr>
              <w:t>Revenues consisted of the following (in thousands):</w:t>
            </w:r>
          </w:p>
        </w:tc>
        <w:tc>
          <w:tcPr>
            <w:tcW w:w="15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47"/>
        </w:trPr>
        <w:tc>
          <w:tcPr>
            <w:tcW w:w="56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940" w:type="dxa"/>
            <w:vAlign w:val="bottom"/>
            <w:tcBorders>
              <w:bottom w:val="single" w:sz="8" w:color="231F20"/>
            </w:tcBorders>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600" w:type="dxa"/>
            <w:vAlign w:val="bottom"/>
            <w:tcBorders>
              <w:bottom w:val="single" w:sz="8" w:color="231F20"/>
            </w:tcBorders>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r>
      <w:tr>
        <w:trPr>
          <w:trHeight w:val="239"/>
        </w:trPr>
        <w:tc>
          <w:tcPr>
            <w:tcW w:w="56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7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568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Diagnostic Tests</w:t>
            </w:r>
          </w:p>
        </w:tc>
        <w:tc>
          <w:tcPr>
            <w:tcW w:w="1520" w:type="dxa"/>
            <w:vAlign w:val="bottom"/>
            <w:tcBorders>
              <w:top w:val="single" w:sz="8" w:color="E3E4E5"/>
            </w:tcBorders>
            <w:shd w:val="clear" w:color="auto" w:fill="E3E4E5"/>
          </w:tcPr>
          <w:p>
            <w:pPr>
              <w:spacing w:after="0"/>
              <w:rPr>
                <w:sz w:val="20"/>
                <w:szCs w:val="20"/>
                <w:color w:val="auto"/>
              </w:rPr>
            </w:pPr>
          </w:p>
        </w:tc>
        <w:tc>
          <w:tcPr>
            <w:tcW w:w="1040" w:type="dxa"/>
            <w:vAlign w:val="bottom"/>
            <w:tcBorders>
              <w:top w:val="single" w:sz="8" w:color="231F20"/>
            </w:tcBorders>
            <w:shd w:val="clear" w:color="auto" w:fill="E3E4E5"/>
          </w:tcPr>
          <w:p>
            <w:pPr>
              <w:jc w:val="right"/>
              <w:ind w:right="840"/>
              <w:spacing w:after="0"/>
              <w:rPr>
                <w:sz w:val="20"/>
                <w:szCs w:val="20"/>
                <w:color w:val="auto"/>
              </w:rPr>
            </w:pPr>
            <w:r>
              <w:rPr>
                <w:rFonts w:ascii="Times New Roman" w:cs="Times New Roman" w:eastAsia="Times New Roman" w:hAnsi="Times New Roman"/>
                <w:sz w:val="20"/>
                <w:szCs w:val="20"/>
                <w:color w:val="414142"/>
                <w:w w:val="79"/>
              </w:rPr>
              <w:t>$</w:t>
            </w:r>
          </w:p>
        </w:tc>
        <w:tc>
          <w:tcPr>
            <w:tcW w:w="700" w:type="dxa"/>
            <w:vAlign w:val="bottom"/>
            <w:tcBorders>
              <w:top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79,197</w:t>
            </w:r>
          </w:p>
        </w:tc>
        <w:tc>
          <w:tcPr>
            <w:tcW w:w="160" w:type="dxa"/>
            <w:vAlign w:val="bottom"/>
            <w:tcBorders>
              <w:top w:val="single" w:sz="8" w:color="E3E4E5"/>
            </w:tcBorders>
            <w:shd w:val="clear" w:color="auto" w:fill="E3E4E5"/>
          </w:tcPr>
          <w:p>
            <w:pPr>
              <w:spacing w:after="0"/>
              <w:rPr>
                <w:sz w:val="20"/>
                <w:szCs w:val="20"/>
                <w:color w:val="auto"/>
              </w:rPr>
            </w:pPr>
          </w:p>
        </w:tc>
        <w:tc>
          <w:tcPr>
            <w:tcW w:w="1040" w:type="dxa"/>
            <w:vAlign w:val="bottom"/>
            <w:tcBorders>
              <w:top w:val="single" w:sz="8" w:color="231F20"/>
            </w:tcBorders>
            <w:shd w:val="clear" w:color="auto" w:fill="E3E4E5"/>
          </w:tcPr>
          <w:p>
            <w:pPr>
              <w:jc w:val="right"/>
              <w:ind w:right="840"/>
              <w:spacing w:after="0"/>
              <w:rPr>
                <w:sz w:val="20"/>
                <w:szCs w:val="20"/>
                <w:color w:val="auto"/>
              </w:rPr>
            </w:pPr>
            <w:r>
              <w:rPr>
                <w:rFonts w:ascii="Times New Roman" w:cs="Times New Roman" w:eastAsia="Times New Roman" w:hAnsi="Times New Roman"/>
                <w:sz w:val="20"/>
                <w:szCs w:val="20"/>
                <w:color w:val="414142"/>
                <w:w w:val="79"/>
              </w:rPr>
              <w:t>$</w:t>
            </w:r>
          </w:p>
        </w:tc>
        <w:tc>
          <w:tcPr>
            <w:tcW w:w="6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64,708</w:t>
            </w:r>
          </w:p>
        </w:tc>
        <w:tc>
          <w:tcPr>
            <w:tcW w:w="60" w:type="dxa"/>
            <w:vAlign w:val="bottom"/>
            <w:tcBorders>
              <w:top w:val="single" w:sz="8" w:color="414142"/>
            </w:tcBorders>
            <w:shd w:val="clear" w:color="auto" w:fill="E3E4E5"/>
          </w:tcPr>
          <w:p>
            <w:pPr>
              <w:spacing w:after="0"/>
              <w:rPr>
                <w:sz w:val="20"/>
                <w:szCs w:val="20"/>
                <w:color w:val="auto"/>
              </w:rPr>
            </w:pPr>
          </w:p>
        </w:tc>
      </w:tr>
      <w:tr>
        <w:trPr>
          <w:trHeight w:val="244"/>
        </w:trPr>
        <w:tc>
          <w:tcPr>
            <w:tcW w:w="5680" w:type="dxa"/>
            <w:vAlign w:val="bottom"/>
            <w:tcBorders>
              <w:bottom w:val="single" w:sz="8" w:color="E3E4E5"/>
            </w:tcBorders>
          </w:tcPr>
          <w:p>
            <w:pPr>
              <w:spacing w:after="0"/>
              <w:rPr>
                <w:sz w:val="20"/>
                <w:szCs w:val="20"/>
                <w:color w:val="auto"/>
              </w:rPr>
            </w:pPr>
            <w:r>
              <w:rPr>
                <w:rFonts w:ascii="Times New Roman" w:cs="Times New Roman" w:eastAsia="Times New Roman" w:hAnsi="Times New Roman"/>
                <w:sz w:val="20"/>
                <w:szCs w:val="20"/>
                <w:color w:val="231F20"/>
              </w:rPr>
              <w:t>Development Services</w:t>
            </w:r>
          </w:p>
        </w:tc>
        <w:tc>
          <w:tcPr>
            <w:tcW w:w="1520" w:type="dxa"/>
            <w:vAlign w:val="bottom"/>
            <w:tcBorders>
              <w:bottom w:val="single" w:sz="8" w:color="E3E4E5"/>
            </w:tcBorders>
          </w:tcPr>
          <w:p>
            <w:pPr>
              <w:spacing w:after="0"/>
              <w:rPr>
                <w:sz w:val="21"/>
                <w:szCs w:val="21"/>
                <w:color w:val="auto"/>
              </w:rPr>
            </w:pPr>
          </w:p>
        </w:tc>
        <w:tc>
          <w:tcPr>
            <w:tcW w:w="1040" w:type="dxa"/>
            <w:vAlign w:val="bottom"/>
            <w:tcBorders>
              <w:bottom w:val="single" w:sz="8" w:color="231F20"/>
            </w:tcBorders>
          </w:tcPr>
          <w:p>
            <w:pPr>
              <w:spacing w:after="0"/>
              <w:rPr>
                <w:sz w:val="21"/>
                <w:szCs w:val="21"/>
                <w:color w:val="auto"/>
              </w:rPr>
            </w:pPr>
          </w:p>
        </w:tc>
        <w:tc>
          <w:tcPr>
            <w:tcW w:w="700" w:type="dxa"/>
            <w:vAlign w:val="bottom"/>
            <w:tcBorders>
              <w:bottom w:val="single" w:sz="8" w:color="231F20"/>
            </w:tcBorders>
          </w:tcPr>
          <w:p>
            <w:pPr>
              <w:jc w:val="right"/>
              <w:ind w:right="20"/>
              <w:spacing w:after="0"/>
              <w:rPr>
                <w:sz w:val="20"/>
                <w:szCs w:val="20"/>
                <w:color w:val="auto"/>
              </w:rPr>
            </w:pPr>
            <w:r>
              <w:rPr>
                <w:rFonts w:ascii="Times New Roman" w:cs="Times New Roman" w:eastAsia="Times New Roman" w:hAnsi="Times New Roman"/>
                <w:sz w:val="20"/>
                <w:szCs w:val="20"/>
                <w:color w:val="231F20"/>
              </w:rPr>
              <w:t>9,302</w:t>
            </w:r>
          </w:p>
        </w:tc>
        <w:tc>
          <w:tcPr>
            <w:tcW w:w="160" w:type="dxa"/>
            <w:vAlign w:val="bottom"/>
            <w:tcBorders>
              <w:bottom w:val="single" w:sz="8" w:color="E3E4E5"/>
            </w:tcBorders>
          </w:tcPr>
          <w:p>
            <w:pPr>
              <w:spacing w:after="0"/>
              <w:rPr>
                <w:sz w:val="21"/>
                <w:szCs w:val="21"/>
                <w:color w:val="auto"/>
              </w:rPr>
            </w:pPr>
          </w:p>
        </w:tc>
        <w:tc>
          <w:tcPr>
            <w:tcW w:w="1040" w:type="dxa"/>
            <w:vAlign w:val="bottom"/>
            <w:tcBorders>
              <w:bottom w:val="single" w:sz="8" w:color="231F20"/>
            </w:tcBorders>
          </w:tcPr>
          <w:p>
            <w:pPr>
              <w:spacing w:after="0"/>
              <w:rPr>
                <w:sz w:val="21"/>
                <w:szCs w:val="21"/>
                <w:color w:val="auto"/>
              </w:rPr>
            </w:pPr>
          </w:p>
        </w:tc>
        <w:tc>
          <w:tcPr>
            <w:tcW w:w="6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6,615</w:t>
            </w:r>
          </w:p>
        </w:tc>
        <w:tc>
          <w:tcPr>
            <w:tcW w:w="60" w:type="dxa"/>
            <w:vAlign w:val="bottom"/>
            <w:tcBorders>
              <w:bottom w:val="single" w:sz="8" w:color="231F20"/>
            </w:tcBorders>
          </w:tcPr>
          <w:p>
            <w:pPr>
              <w:spacing w:after="0"/>
              <w:rPr>
                <w:sz w:val="21"/>
                <w:szCs w:val="21"/>
                <w:color w:val="auto"/>
              </w:rPr>
            </w:pPr>
          </w:p>
        </w:tc>
      </w:tr>
      <w:tr>
        <w:trPr>
          <w:trHeight w:val="239"/>
        </w:trPr>
        <w:tc>
          <w:tcPr>
            <w:tcW w:w="568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Total revenues</w:t>
            </w:r>
          </w:p>
        </w:tc>
        <w:tc>
          <w:tcPr>
            <w:tcW w:w="1520" w:type="dxa"/>
            <w:vAlign w:val="bottom"/>
            <w:shd w:val="clear" w:color="auto" w:fill="E3E4E5"/>
          </w:tcPr>
          <w:p>
            <w:pPr>
              <w:spacing w:after="0"/>
              <w:rPr>
                <w:sz w:val="20"/>
                <w:szCs w:val="20"/>
                <w:color w:val="auto"/>
              </w:rPr>
            </w:pPr>
          </w:p>
        </w:tc>
        <w:tc>
          <w:tcPr>
            <w:tcW w:w="1040" w:type="dxa"/>
            <w:vAlign w:val="bottom"/>
            <w:tcBorders>
              <w:bottom w:val="single" w:sz="8" w:color="231F20"/>
            </w:tcBorders>
            <w:shd w:val="clear" w:color="auto" w:fill="E3E4E5"/>
          </w:tcPr>
          <w:p>
            <w:pPr>
              <w:jc w:val="right"/>
              <w:ind w:right="840"/>
              <w:spacing w:after="0"/>
              <w:rPr>
                <w:sz w:val="20"/>
                <w:szCs w:val="20"/>
                <w:color w:val="auto"/>
              </w:rPr>
            </w:pPr>
            <w:r>
              <w:rPr>
                <w:rFonts w:ascii="Times New Roman" w:cs="Times New Roman" w:eastAsia="Times New Roman" w:hAnsi="Times New Roman"/>
                <w:sz w:val="20"/>
                <w:szCs w:val="20"/>
                <w:color w:val="414142"/>
                <w:w w:val="79"/>
              </w:rPr>
              <w:t>$</w:t>
            </w:r>
          </w:p>
        </w:tc>
        <w:tc>
          <w:tcPr>
            <w:tcW w:w="700" w:type="dxa"/>
            <w:vAlign w:val="bottom"/>
            <w:tcBorders>
              <w:bottom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88,499</w:t>
            </w:r>
          </w:p>
        </w:tc>
        <w:tc>
          <w:tcPr>
            <w:tcW w:w="160" w:type="dxa"/>
            <w:vAlign w:val="bottom"/>
            <w:shd w:val="clear" w:color="auto" w:fill="E3E4E5"/>
          </w:tcPr>
          <w:p>
            <w:pPr>
              <w:spacing w:after="0"/>
              <w:rPr>
                <w:sz w:val="20"/>
                <w:szCs w:val="20"/>
                <w:color w:val="auto"/>
              </w:rPr>
            </w:pPr>
          </w:p>
        </w:tc>
        <w:tc>
          <w:tcPr>
            <w:tcW w:w="1040" w:type="dxa"/>
            <w:vAlign w:val="bottom"/>
            <w:tcBorders>
              <w:bottom w:val="single" w:sz="8" w:color="231F20"/>
            </w:tcBorders>
            <w:shd w:val="clear" w:color="auto" w:fill="E3E4E5"/>
          </w:tcPr>
          <w:p>
            <w:pPr>
              <w:jc w:val="right"/>
              <w:ind w:right="840"/>
              <w:spacing w:after="0"/>
              <w:rPr>
                <w:sz w:val="20"/>
                <w:szCs w:val="20"/>
                <w:color w:val="auto"/>
              </w:rPr>
            </w:pPr>
            <w:r>
              <w:rPr>
                <w:rFonts w:ascii="Times New Roman" w:cs="Times New Roman" w:eastAsia="Times New Roman" w:hAnsi="Times New Roman"/>
                <w:sz w:val="20"/>
                <w:szCs w:val="20"/>
                <w:color w:val="414142"/>
                <w:w w:val="79"/>
              </w:rPr>
              <w:t>$</w:t>
            </w:r>
          </w:p>
        </w:tc>
        <w:tc>
          <w:tcPr>
            <w:tcW w:w="60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71,323</w:t>
            </w:r>
          </w:p>
        </w:tc>
        <w:tc>
          <w:tcPr>
            <w:tcW w:w="60" w:type="dxa"/>
            <w:vAlign w:val="bottom"/>
            <w:tcBorders>
              <w:bottom w:val="single" w:sz="8" w:color="231F20"/>
            </w:tcBorders>
            <w:shd w:val="clear" w:color="auto" w:fill="E3E4E5"/>
          </w:tcPr>
          <w:p>
            <w:pPr>
              <w:spacing w:after="0"/>
              <w:rPr>
                <w:sz w:val="20"/>
                <w:szCs w:val="20"/>
                <w:color w:val="auto"/>
              </w:rPr>
            </w:pPr>
          </w:p>
        </w:tc>
      </w:tr>
      <w:tr>
        <w:trPr>
          <w:trHeight w:val="20"/>
        </w:trPr>
        <w:tc>
          <w:tcPr>
            <w:tcW w:w="56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70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600" w:type="dxa"/>
            <w:vAlign w:val="bottom"/>
            <w:tcBorders>
              <w:bottom w:val="single" w:sz="8" w:color="231F20"/>
            </w:tcBorders>
          </w:tcPr>
          <w:p>
            <w:pPr>
              <w:spacing w:after="0" w:line="20" w:lineRule="exact"/>
              <w:rPr>
                <w:sz w:val="1"/>
                <w:szCs w:val="1"/>
                <w:color w:val="auto"/>
              </w:rPr>
            </w:pPr>
          </w:p>
        </w:tc>
        <w:tc>
          <w:tcPr>
            <w:tcW w:w="60" w:type="dxa"/>
            <w:vAlign w:val="bottom"/>
            <w:tcBorders>
              <w:bottom w:val="single" w:sz="8" w:color="231F20"/>
            </w:tcBorders>
          </w:tcPr>
          <w:p>
            <w:pPr>
              <w:spacing w:after="0" w:line="20" w:lineRule="exact"/>
              <w:rPr>
                <w:sz w:val="1"/>
                <w:szCs w:val="1"/>
                <w:color w:val="auto"/>
              </w:rPr>
            </w:pPr>
          </w:p>
        </w:tc>
      </w:tr>
    </w:tbl>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Deferred Revenue</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Deferred revenue consists of cash payments from customers received or to be received in advance of delivery. As test results are delivered, the Company recognizes the deferred revenue in ‘Revenues’ in the statements of operations. The Company had $0.7 million in ‘Deferred revenue’ recorded in the balance sheet as of December 31, 2024 and $4.0 million was added throughout 2025 to ‘Deferred revenue’ for up-front cash payments received while $3.7 million was recognized in 'Revenues' during the year ended December 31, 2025. The ‘Deferred revenue’ of $1.0 million recorded in the balance sheet as of December 31, 2025 is expected to be recognized in revenues over the next twelve months as test results are delivered and services are performed. As of December 31, 2025 and 2024, the Company had $0.1 million and $0.2 million in non- current deferred revenue, respectively, recorded within ‘Other long-term liabilities’ in the balance sheets which represent amounts to be recognized in excess of twelve months from the respective balance sheet date.</w:t>
      </w:r>
    </w:p>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In September 2025, the Company executed a Development Services contract for which the Company received $3.0 million as a non-refundable, up-front payment during the three months ended December 31, 2025. As of December 31, 2025, approximately $0.7 million remains in ‘Deferred revenue’ in the balance sheet.</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We collect reimbursement on behalf of customers covered by Medicare, which accounted for 32% and 39% of the Company’s total revenue for the years ended December 31, 2025 and 2024, respectively. No other customers were in excess of 10% of revenue for the years ended December 31, 2025 and 2024.</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Company is subject to credit risk from its accounts receivable related to services provided to its customers. The Company’s third-party payors and other customers in excess of 10% of accounts receivable, and their related accounts receivable as a percentage of total accounts receivable were as follows: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6680" w:type="dxa"/>
            <w:vAlign w:val="bottom"/>
          </w:tcPr>
          <w:p>
            <w:pPr>
              <w:spacing w:after="0"/>
              <w:rPr>
                <w:sz w:val="22"/>
                <w:szCs w:val="22"/>
                <w:color w:val="auto"/>
              </w:rPr>
            </w:pPr>
          </w:p>
        </w:tc>
        <w:tc>
          <w:tcPr>
            <w:tcW w:w="2180" w:type="dxa"/>
            <w:vAlign w:val="bottom"/>
            <w:gridSpan w:val="3"/>
          </w:tcPr>
          <w:p>
            <w:pPr>
              <w:ind w:left="1720"/>
              <w:spacing w:after="0"/>
              <w:rPr>
                <w:sz w:val="20"/>
                <w:szCs w:val="20"/>
                <w:color w:val="auto"/>
              </w:rPr>
            </w:pPr>
            <w:r>
              <w:rPr>
                <w:rFonts w:ascii="Times New Roman" w:cs="Times New Roman" w:eastAsia="Times New Roman" w:hAnsi="Times New Roman"/>
                <w:sz w:val="20"/>
                <w:szCs w:val="20"/>
                <w:b w:val="1"/>
                <w:bCs w:val="1"/>
                <w:color w:val="231F20"/>
              </w:rPr>
              <w:t>As of</w:t>
            </w:r>
          </w:p>
        </w:tc>
        <w:tc>
          <w:tcPr>
            <w:tcW w:w="172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54"/>
        </w:trPr>
        <w:tc>
          <w:tcPr>
            <w:tcW w:w="6680" w:type="dxa"/>
            <w:vAlign w:val="bottom"/>
            <w:tcBorders>
              <w:bottom w:val="single" w:sz="8" w:color="E3E4E5"/>
            </w:tcBorders>
          </w:tcPr>
          <w:p>
            <w:pPr>
              <w:spacing w:after="0"/>
              <w:rPr>
                <w:sz w:val="22"/>
                <w:szCs w:val="22"/>
                <w:color w:val="auto"/>
              </w:rPr>
            </w:pPr>
          </w:p>
        </w:tc>
        <w:tc>
          <w:tcPr>
            <w:tcW w:w="1820" w:type="dxa"/>
            <w:vAlign w:val="bottom"/>
            <w:tcBorders>
              <w:bottom w:val="single" w:sz="8" w:color="231F20"/>
            </w:tcBorders>
          </w:tcPr>
          <w:p>
            <w:pPr>
              <w:ind w:left="100"/>
              <w:spacing w:after="0"/>
              <w:rPr>
                <w:sz w:val="20"/>
                <w:szCs w:val="20"/>
                <w:color w:val="auto"/>
              </w:rPr>
            </w:pPr>
            <w:r>
              <w:rPr>
                <w:rFonts w:ascii="Times New Roman" w:cs="Times New Roman" w:eastAsia="Times New Roman" w:hAnsi="Times New Roman"/>
                <w:sz w:val="20"/>
                <w:szCs w:val="20"/>
                <w:b w:val="1"/>
                <w:bCs w:val="1"/>
                <w:color w:val="231F20"/>
              </w:rPr>
              <w:t>December 31, 2025</w:t>
            </w:r>
          </w:p>
        </w:tc>
        <w:tc>
          <w:tcPr>
            <w:tcW w:w="320" w:type="dxa"/>
            <w:vAlign w:val="bottom"/>
          </w:tcPr>
          <w:p>
            <w:pPr>
              <w:spacing w:after="0"/>
              <w:rPr>
                <w:sz w:val="22"/>
                <w:szCs w:val="22"/>
                <w:color w:val="auto"/>
              </w:rPr>
            </w:pPr>
          </w:p>
        </w:tc>
        <w:tc>
          <w:tcPr>
            <w:tcW w:w="40" w:type="dxa"/>
            <w:vAlign w:val="bottom"/>
            <w:tcBorders>
              <w:bottom w:val="single" w:sz="8" w:color="231F20"/>
            </w:tcBorders>
          </w:tcPr>
          <w:p>
            <w:pPr>
              <w:spacing w:after="0"/>
              <w:rPr>
                <w:sz w:val="22"/>
                <w:szCs w:val="22"/>
                <w:color w:val="auto"/>
              </w:rPr>
            </w:pPr>
          </w:p>
        </w:tc>
        <w:tc>
          <w:tcPr>
            <w:tcW w:w="1720" w:type="dxa"/>
            <w:vAlign w:val="bottom"/>
            <w:tcBorders>
              <w:bottom w:val="single" w:sz="8" w:color="231F20"/>
            </w:tcBorders>
          </w:tcPr>
          <w:p>
            <w:pPr>
              <w:ind w:left="40"/>
              <w:spacing w:after="0"/>
              <w:rPr>
                <w:sz w:val="20"/>
                <w:szCs w:val="20"/>
                <w:color w:val="auto"/>
              </w:rPr>
            </w:pPr>
            <w:r>
              <w:rPr>
                <w:rFonts w:ascii="Times New Roman" w:cs="Times New Roman" w:eastAsia="Times New Roman" w:hAnsi="Times New Roman"/>
                <w:sz w:val="20"/>
                <w:szCs w:val="20"/>
                <w:b w:val="1"/>
                <w:bCs w:val="1"/>
                <w:color w:val="231F20"/>
              </w:rPr>
              <w:t>December 31, 2024</w:t>
            </w:r>
          </w:p>
        </w:tc>
        <w:tc>
          <w:tcPr>
            <w:tcW w:w="220" w:type="dxa"/>
            <w:vAlign w:val="bottom"/>
          </w:tcPr>
          <w:p>
            <w:pPr>
              <w:spacing w:after="0"/>
              <w:rPr>
                <w:sz w:val="22"/>
                <w:szCs w:val="22"/>
                <w:color w:val="auto"/>
              </w:rPr>
            </w:pPr>
          </w:p>
        </w:tc>
      </w:tr>
      <w:tr>
        <w:trPr>
          <w:trHeight w:val="239"/>
        </w:trPr>
        <w:tc>
          <w:tcPr>
            <w:tcW w:w="668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Medicare</w:t>
            </w:r>
          </w:p>
        </w:tc>
        <w:tc>
          <w:tcPr>
            <w:tcW w:w="2140" w:type="dxa"/>
            <w:vAlign w:val="bottom"/>
            <w:gridSpan w:val="2"/>
          </w:tcPr>
          <w:p>
            <w:pPr>
              <w:ind w:left="1620"/>
              <w:spacing w:after="0"/>
              <w:rPr>
                <w:sz w:val="20"/>
                <w:szCs w:val="20"/>
                <w:color w:val="auto"/>
              </w:rPr>
            </w:pPr>
            <w:r>
              <w:rPr>
                <w:rFonts w:ascii="Times New Roman" w:cs="Times New Roman" w:eastAsia="Times New Roman" w:hAnsi="Times New Roman"/>
                <w:sz w:val="20"/>
                <w:szCs w:val="20"/>
                <w:color w:val="414142"/>
              </w:rPr>
              <w:t>18%</w:t>
            </w:r>
          </w:p>
        </w:tc>
        <w:tc>
          <w:tcPr>
            <w:tcW w:w="40" w:type="dxa"/>
            <w:vAlign w:val="bottom"/>
          </w:tcPr>
          <w:p>
            <w:pPr>
              <w:spacing w:after="0"/>
              <w:rPr>
                <w:sz w:val="20"/>
                <w:szCs w:val="20"/>
                <w:color w:val="auto"/>
              </w:rPr>
            </w:pP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414142"/>
              </w:rPr>
              <w:t>21%</w:t>
            </w:r>
          </w:p>
        </w:tc>
      </w:tr>
      <w:tr>
        <w:trPr>
          <w:trHeight w:val="266"/>
        </w:trPr>
        <w:tc>
          <w:tcPr>
            <w:tcW w:w="6680" w:type="dxa"/>
            <w:vAlign w:val="bottom"/>
          </w:tcPr>
          <w:p>
            <w:pPr>
              <w:spacing w:after="0"/>
              <w:rPr>
                <w:sz w:val="20"/>
                <w:szCs w:val="20"/>
                <w:color w:val="auto"/>
              </w:rPr>
            </w:pPr>
            <w:r>
              <w:rPr>
                <w:rFonts w:ascii="Times New Roman" w:cs="Times New Roman" w:eastAsia="Times New Roman" w:hAnsi="Times New Roman"/>
                <w:sz w:val="20"/>
                <w:szCs w:val="20"/>
                <w:color w:val="231F20"/>
              </w:rPr>
              <w:t>Daiichi Sankyo</w:t>
            </w:r>
          </w:p>
        </w:tc>
        <w:tc>
          <w:tcPr>
            <w:tcW w:w="2180" w:type="dxa"/>
            <w:vAlign w:val="bottom"/>
            <w:gridSpan w:val="3"/>
          </w:tcPr>
          <w:p>
            <w:pPr>
              <w:ind w:left="1620"/>
              <w:spacing w:after="0"/>
              <w:rPr>
                <w:sz w:val="20"/>
                <w:szCs w:val="20"/>
                <w:color w:val="auto"/>
              </w:rPr>
            </w:pPr>
            <w:r>
              <w:rPr>
                <w:rFonts w:ascii="Times New Roman" w:cs="Times New Roman" w:eastAsia="Times New Roman" w:hAnsi="Times New Roman"/>
                <w:sz w:val="20"/>
                <w:szCs w:val="20"/>
                <w:color w:val="231F20"/>
              </w:rPr>
              <w:t>—</w:t>
            </w:r>
          </w:p>
        </w:tc>
        <w:tc>
          <w:tcPr>
            <w:tcW w:w="19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231F20"/>
              </w:rPr>
              <w:t>14%</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4237990</wp:posOffset>
                </wp:positionH>
                <wp:positionV relativeFrom="paragraph">
                  <wp:posOffset>-323215</wp:posOffset>
                </wp:positionV>
                <wp:extent cx="1162685" cy="154940"/>
                <wp:wrapNone/>
                <wp:docPr id="92" name="Shape 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62685" cy="154940"/>
                        </a:xfrm>
                        <a:prstGeom prst="rect">
                          <a:avLst/>
                        </a:prstGeom>
                        <a:solidFill>
                          <a:srgbClr val="E3E4E5"/>
                        </a:solidFill>
                      </wps:spPr>
                      <wps:bodyPr/>
                    </wps:wsp>
                  </a:graphicData>
                </a:graphic>
              </wp:anchor>
            </w:drawing>
          </mc:Choice>
          <mc:Fallback>
            <w:pict>
              <v:rect id="Shape 92" o:spid="_x0000_s1117" style="position:absolute;margin-left:333.7pt;margin-top:-25.4499pt;width:91.5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5400675</wp:posOffset>
                </wp:positionH>
                <wp:positionV relativeFrom="paragraph">
                  <wp:posOffset>-332740</wp:posOffset>
                </wp:positionV>
                <wp:extent cx="206375" cy="164465"/>
                <wp:wrapNone/>
                <wp:docPr id="93" name="Shape 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06375" cy="164465"/>
                        </a:xfrm>
                        <a:prstGeom prst="rect">
                          <a:avLst/>
                        </a:prstGeom>
                        <a:solidFill>
                          <a:srgbClr val="E3E4E5"/>
                        </a:solidFill>
                      </wps:spPr>
                      <wps:bodyPr/>
                    </wps:wsp>
                  </a:graphicData>
                </a:graphic>
              </wp:anchor>
            </w:drawing>
          </mc:Choice>
          <mc:Fallback>
            <w:pict>
              <v:rect id="Shape 93" o:spid="_x0000_s1118" style="position:absolute;margin-left:425.25pt;margin-top:-26.1999pt;width:16.25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mc:AlternateContent>
          <mc:Choice Requires="wps">
            <w:drawing>
              <wp:anchor simplePos="0" relativeHeight="251657728" behindDoc="1" locked="0" layoutInCell="0" allowOverlap="1">
                <wp:simplePos x="0" y="0"/>
                <wp:positionH relativeFrom="column">
                  <wp:posOffset>5607050</wp:posOffset>
                </wp:positionH>
                <wp:positionV relativeFrom="paragraph">
                  <wp:posOffset>-323215</wp:posOffset>
                </wp:positionV>
                <wp:extent cx="1113155" cy="154940"/>
                <wp:wrapNone/>
                <wp:docPr id="94" name="Shape 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113155" cy="154940"/>
                        </a:xfrm>
                        <a:prstGeom prst="rect">
                          <a:avLst/>
                        </a:prstGeom>
                        <a:solidFill>
                          <a:srgbClr val="E3E4E5"/>
                        </a:solidFill>
                      </wps:spPr>
                      <wps:bodyPr/>
                    </wps:wsp>
                  </a:graphicData>
                </a:graphic>
              </wp:anchor>
            </w:drawing>
          </mc:Choice>
          <mc:Fallback>
            <w:pict>
              <v:rect id="Shape 94" o:spid="_x0000_s1119" style="position:absolute;margin-left:441.5pt;margin-top:-25.4499pt;width:87.6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3E4E5" stroked="f"/>
            </w:pict>
          </mc:Fallback>
        </mc:AlternateContent>
        <w:drawing>
          <wp:anchor simplePos="0" relativeHeight="251657728" behindDoc="1" locked="0" layoutInCell="0" allowOverlap="1">
            <wp:simplePos x="0" y="0"/>
            <wp:positionH relativeFrom="column">
              <wp:posOffset>4218940</wp:posOffset>
            </wp:positionH>
            <wp:positionV relativeFrom="paragraph">
              <wp:posOffset>-516255</wp:posOffset>
            </wp:positionV>
            <wp:extent cx="2520315" cy="476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49">
                      <a:extLst>
                        <a:ext uri="{28A0092B-C50C-407E-A947-70E740481C1C}"/>
                      </a:extLst>
                    </a:blip>
                    <a:srcRect/>
                    <a:stretch>
                      <a:fillRect/>
                    </a:stretch>
                  </pic:blipFill>
                  <pic:spPr bwMode="auto">
                    <a:xfrm>
                      <a:off x="0" y="0"/>
                      <a:ext cx="2520315" cy="4762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12 – Share Based Compensation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Predecessor 2016 and 2006 Equity Incentive Plans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Under the 2006 Equity Incentive Plan (2006 Plan), the Company was authorized to grant incentive stock options, non-statutory stock options, stock appreciation rights, restricted stock awards and RSUs. No additional awards may be granted under the 2006 Plan.</w:t>
      </w:r>
    </w:p>
    <w:p>
      <w:pPr>
        <w:spacing w:after="0" w:line="4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February 2016, the Company adopted the 2016 Equity Incentive Plan (2016 Plan) as a successor to and continuation of the prior 2006 Plan. The 2016 Plan provided for the grant of incentive stock options, non-statutory stock options, stock appreciation rights, restricted stock awards, RSUs, and other stock awards to directors, employees, and consultants. Awards granted under the 2016 Plan or the 2006 Plan that were unallocated, expired or otherwise terminated, or were forfeited, cancelled, or repurchased by the Company, became available for future issuance under the 2016 Plan. In addition, shares subject to an award were withheld to satisfy a participant’s tax withholding obligations, or were reacquired by the Company as consideration for the exercise or purchase price of a stock award also became available for future issuance under the 2016 Incentive Plan. No additional awards may be granted under the 2016 Plan.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2020 Equity Incentive Plan</w:t>
      </w:r>
    </w:p>
    <w:p>
      <w:pPr>
        <w:spacing w:after="0" w:line="1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Effective upon the closing of our IPO, the Company’s Board of Directors approved the 2020 Equity Incentive Plan (2020 Plan), which replaced the 2016 Plan. The 2020 Plan provides for the grant of incentive stock options, non-statutory stock options, stock appreciation rights, restricted stock awards, RSUs, performance awards and other stock awards. Officers, directors, employees, consultants, agents, and independent contractors who provide services to the Company may receive awards. The terms of all awards are governed by an agreement between the Company and the recipients, as administered and approved by the Compensation Committee of the Board of Directors). Any awards that expire or are forfeited under the 2016 Plan or 2006 Plan become available for issuance under the 2020 Plan.</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F-23</w:t>
      </w:r>
    </w:p>
    <w:p>
      <w:pPr>
        <w:sectPr>
          <w:pgSz w:w="11880" w:h="15480" w:orient="portrait"/>
          <w:cols w:equalWidth="0" w:num="1">
            <w:col w:w="10800"/>
          </w:cols>
          <w:pgMar w:left="540" w:top="750" w:right="540" w:bottom="6" w:gutter="0" w:footer="0" w:header="0"/>
          <w:type w:val="continuous"/>
        </w:sectPr>
      </w:pPr>
    </w:p>
    <w:bookmarkStart w:id="112" w:name="page113"/>
    <w:bookmarkEnd w:id="112"/>
    <w:p>
      <w:pPr>
        <w:jc w:val="both"/>
        <w:spacing w:after="0" w:line="252" w:lineRule="auto"/>
        <w:rPr>
          <w:sz w:val="20"/>
          <w:szCs w:val="20"/>
          <w:color w:val="auto"/>
        </w:rPr>
      </w:pPr>
      <w:r>
        <w:rPr>
          <w:rFonts w:ascii="Times New Roman" w:cs="Times New Roman" w:eastAsia="Times New Roman" w:hAnsi="Times New Roman"/>
          <w:sz w:val="20"/>
          <w:szCs w:val="20"/>
          <w:color w:val="231F20"/>
        </w:rPr>
        <w:t>The 2020 Plan includes an annual increase on the first day of each calendar year, beginning with the calendar year ending December 31, 2022, and continuing until, and including, the calendar year ending December 31, 2030. The annual increase will be equal to the lesser of (i) 4% of the number of shares of our common stock issued and outstanding as of December 31st of the immediately preceding calendar year and (ii) such lesser amount determined by the Board of Directors.</w:t>
      </w:r>
    </w:p>
    <w:p>
      <w:pPr>
        <w:spacing w:after="0" w:line="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To the extent an equity award granted under the 2020 Plan (other than any substitute award) or granted under any other equity plan maintained by us under which awards are outstanding as of the effective date of the 2020 Plan (the Prior Plans) expires or otherwise terminates without having been exercised or paid in full, or is settled in cash, the shares subject to such award will become available for future grant under the 2020 Plan. In addition, to the extent shares subject to an award are withheld to satisfy a participant’s tax withholding obligation upon the exercise or settlement of such award (other than any substitute award) or to pay the exercise price of a stock option granted under the 2020 Plan or a prior plan, such shares will become available for future grant under the 2020 Plan. The total number of shares available for grant under all plans as of December 31, 2025 was 98,393.</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Employee Stock Purchase Plan</w:t>
      </w:r>
    </w:p>
    <w:p>
      <w:pPr>
        <w:spacing w:after="0" w:line="12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Effective with our IPO in October 2020, the Company’s Board of Directors and its stockholders approved the Company’s Employee Stock Purchase Plan (the ESPP). The maximum number of shares of our common stock available under the ESPP will automatically increase on the first trading day of each calendar year by an amount equal to the lesser of (i) 1% of the shares of our common stock issued and outstanding on December 31st of the immediately preceding calendar year, (ii) 16,905 shares of our common stock or (iii) an amount determined by our Board of Directors.</w:t>
      </w:r>
    </w:p>
    <w:p>
      <w:pPr>
        <w:spacing w:after="0" w:line="7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No employee may participate in an offering period if the employee owns 5% or more of the total combined voting power or value of the Company’s stock. The ESPP provides for successive six-month offering periods beginning on September 1st and March 1st of each year. During the years ended December 31, 2025 and 2024, 48,608 shares and 23,591 shares were issued under the ESPP, respectively. The total number of shares available for grant under the ESPP as of December 31, 2025 was 49,642.</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Description of Awards Granted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The Company has granted incentive stock options, non-statutory stock options, performance-based stock options, and RSUs.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Incentive stock options, which may only be issued to employees,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Non-statutory stock options, which may be issued to employees, non-employees and directors, are granted at an exercise price per share equal to the closing market price of the Company’s common stock on the grant date, and vest over time as determined by the Compensation Committee, provided that the term of the options may not exceed ten years from the date of grant. Accelerated vesting may occur in the event of an optionee's death, disability, or other events.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RSUs and the related terms and conditions are awarded at the discretion of the Compensation Committee. RSU holders have a contractual right to receive a share of common stock when vested. RSUs vest over time as determined by the Compensation Committee. RSU agreements may provide for accelerated vesting in the event of a stock unit holder's death, disability, or retirement or other events.</w:t>
      </w:r>
    </w:p>
    <w:p>
      <w:pPr>
        <w:spacing w:after="0" w:line="7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Our Compensation Committee may grant other stock awards that are based on or related to shares of our common stock, such as awards of shares of common stock granted as bonus and not subject to any vesting conditions, deferred stock units, stock purchase rights, performance-based stock options and shares of our common stock issued in lieu of our obligations to pay cash under any compensatory plan or arrangement.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Bonus-To-Options Program</w:t>
      </w:r>
    </w:p>
    <w:p>
      <w:pPr>
        <w:spacing w:after="0" w:line="12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231F20"/>
        </w:rPr>
        <w:t>The Company also had a Bonus- to-Options Program (the Bonus Option Program) which was separate from previously described plans and was initially adopted by the Board of Directors in 2008, and subsequently amended and restated in 2010, 2011, 2015, and 2022. The Bonus Option Program, which is limited to participation of the Chief Executive Officer, direct reports to the Chief Executive Officer and Vice Presidents of the Company, allowed participants who so elected to convert a portion of their annual cash bonus into fully vested, non-qualified stock options to purchase shares of common stock (Bonus Options). The exercise price for the options under the Bonus Option Program equaled the closing market price of the Company's common stock on the grant date, as disclosed below under “</w:t>
      </w:r>
      <w:r>
        <w:rPr>
          <w:rFonts w:ascii="Times New Roman" w:cs="Times New Roman" w:eastAsia="Times New Roman" w:hAnsi="Times New Roman"/>
          <w:sz w:val="19"/>
          <w:szCs w:val="19"/>
          <w:i w:val="1"/>
          <w:iCs w:val="1"/>
          <w:color w:val="231F20"/>
        </w:rPr>
        <w:t>Fair Value of Common Stock</w:t>
      </w:r>
      <w:r>
        <w:rPr>
          <w:rFonts w:ascii="Times New Roman" w:cs="Times New Roman" w:eastAsia="Times New Roman" w:hAnsi="Times New Roman"/>
          <w:sz w:val="19"/>
          <w:szCs w:val="19"/>
          <w:color w:val="231F20"/>
        </w:rPr>
        <w:t>”. Beginning with fiscal year 2025, the Company terminated the Bonus Option Program to convert future annual cash bonuses to stock options. Bonus options previously granted through the Bonus Option Program will remain vested and outstanding until they are exercised, forfeited, or expire. Bonus Options issued must be exercised within a ten-year term.</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231F20"/>
        </w:rPr>
        <w:t>F-24</w:t>
      </w:r>
    </w:p>
    <w:p>
      <w:pPr>
        <w:sectPr>
          <w:pgSz w:w="11880" w:h="15480" w:orient="portrait"/>
          <w:cols w:equalWidth="0" w:num="1">
            <w:col w:w="10800"/>
          </w:cols>
          <w:pgMar w:left="540" w:top="750" w:right="540" w:bottom="0" w:gutter="0" w:footer="0" w:header="0"/>
        </w:sectPr>
      </w:pPr>
    </w:p>
    <w:bookmarkStart w:id="113" w:name="page114"/>
    <w:bookmarkEnd w:id="113"/>
    <w:p>
      <w:pPr>
        <w:ind w:right="460"/>
        <w:spacing w:after="0" w:line="277" w:lineRule="auto"/>
        <w:rPr>
          <w:sz w:val="20"/>
          <w:szCs w:val="20"/>
          <w:color w:val="auto"/>
        </w:rPr>
      </w:pPr>
      <w:r>
        <w:rPr>
          <w:rFonts w:ascii="Times New Roman" w:cs="Times New Roman" w:eastAsia="Times New Roman" w:hAnsi="Times New Roman"/>
          <w:sz w:val="20"/>
          <w:szCs w:val="20"/>
          <w:color w:val="231F20"/>
        </w:rPr>
        <w:t>The Company recorded the following activity related to the Bonus Option Program during the year ended December 31, 2025 (in thousands, excepted weighted average exercise price and weighted average contractual life):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w w:val="99"/>
              </w:rPr>
              <w:t>Weighted Average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231F20"/>
              </w:rPr>
              <w:t>Aggregate</w:t>
            </w:r>
          </w:p>
        </w:tc>
        <w:tc>
          <w:tcPr>
            <w:tcW w:w="60" w:type="dxa"/>
            <w:vAlign w:val="bottom"/>
          </w:tcPr>
          <w:p>
            <w:pPr>
              <w:spacing w:after="0"/>
              <w:rPr>
                <w:sz w:val="20"/>
                <w:szCs w:val="20"/>
                <w:color w:val="auto"/>
              </w:rPr>
            </w:pPr>
          </w:p>
        </w:tc>
      </w:tr>
      <w:tr>
        <w:trPr>
          <w:trHeight w:val="230"/>
        </w:trPr>
        <w:tc>
          <w:tcPr>
            <w:tcW w:w="3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jc w:val="center"/>
              <w:ind w:left="200"/>
              <w:spacing w:after="0"/>
              <w:rPr>
                <w:sz w:val="20"/>
                <w:szCs w:val="20"/>
                <w:color w:val="auto"/>
              </w:rPr>
            </w:pPr>
            <w:r>
              <w:rPr>
                <w:rFonts w:ascii="Times New Roman" w:cs="Times New Roman" w:eastAsia="Times New Roman" w:hAnsi="Times New Roman"/>
                <w:sz w:val="20"/>
                <w:szCs w:val="20"/>
                <w:b w:val="1"/>
                <w:bCs w:val="1"/>
                <w:color w:val="231F20"/>
              </w:rPr>
              <w:t>Number of</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231F20"/>
                <w:w w:val="99"/>
              </w:rPr>
              <w:t>Weighted Average</w:t>
            </w:r>
          </w:p>
        </w:tc>
        <w:tc>
          <w:tcPr>
            <w:tcW w:w="260" w:type="dxa"/>
            <w:vAlign w:val="bottom"/>
          </w:tcPr>
          <w:p>
            <w:pPr>
              <w:spacing w:after="0"/>
              <w:rPr>
                <w:sz w:val="20"/>
                <w:szCs w:val="20"/>
                <w:color w:val="auto"/>
              </w:rPr>
            </w:pPr>
          </w:p>
        </w:tc>
        <w:tc>
          <w:tcPr>
            <w:tcW w:w="164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Contractual</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231F20"/>
              </w:rPr>
              <w:t>Intrinsic</w:t>
            </w:r>
          </w:p>
        </w:tc>
        <w:tc>
          <w:tcPr>
            <w:tcW w:w="60" w:type="dxa"/>
            <w:vAlign w:val="bottom"/>
          </w:tcPr>
          <w:p>
            <w:pPr>
              <w:spacing w:after="0"/>
              <w:rPr>
                <w:sz w:val="20"/>
                <w:szCs w:val="20"/>
                <w:color w:val="auto"/>
              </w:rPr>
            </w:pPr>
          </w:p>
        </w:tc>
      </w:tr>
      <w:tr>
        <w:trPr>
          <w:trHeight w:val="253"/>
        </w:trPr>
        <w:tc>
          <w:tcPr>
            <w:tcW w:w="3680" w:type="dxa"/>
            <w:vAlign w:val="bottom"/>
            <w:tcBorders>
              <w:bottom w:val="single" w:sz="8" w:color="E5E6E7"/>
            </w:tcBorders>
          </w:tcPr>
          <w:p>
            <w:pPr>
              <w:spacing w:after="0"/>
              <w:rPr>
                <w:sz w:val="22"/>
                <w:szCs w:val="22"/>
                <w:color w:val="auto"/>
              </w:rPr>
            </w:pPr>
          </w:p>
        </w:tc>
        <w:tc>
          <w:tcPr>
            <w:tcW w:w="120" w:type="dxa"/>
            <w:vAlign w:val="bottom"/>
            <w:tcBorders>
              <w:bottom w:val="single" w:sz="8" w:color="E5E6E7"/>
            </w:tcBorders>
          </w:tcPr>
          <w:p>
            <w:pPr>
              <w:spacing w:after="0"/>
              <w:rPr>
                <w:sz w:val="22"/>
                <w:szCs w:val="22"/>
                <w:color w:val="auto"/>
              </w:rPr>
            </w:pPr>
          </w:p>
        </w:tc>
        <w:tc>
          <w:tcPr>
            <w:tcW w:w="20" w:type="dxa"/>
            <w:vAlign w:val="bottom"/>
            <w:tcBorders>
              <w:bottom w:val="single" w:sz="8" w:color="E5E6E7"/>
            </w:tcBorders>
          </w:tcPr>
          <w:p>
            <w:pPr>
              <w:spacing w:after="0"/>
              <w:rPr>
                <w:sz w:val="22"/>
                <w:szCs w:val="22"/>
                <w:color w:val="auto"/>
              </w:rPr>
            </w:pPr>
          </w:p>
        </w:tc>
        <w:tc>
          <w:tcPr>
            <w:tcW w:w="1280" w:type="dxa"/>
            <w:vAlign w:val="bottom"/>
            <w:tcBorders>
              <w:bottom w:val="single" w:sz="8" w:color="231F20"/>
            </w:tcBorders>
          </w:tcPr>
          <w:p>
            <w:pPr>
              <w:jc w:val="center"/>
              <w:ind w:left="180"/>
              <w:spacing w:after="0"/>
              <w:rPr>
                <w:sz w:val="20"/>
                <w:szCs w:val="20"/>
                <w:color w:val="auto"/>
              </w:rPr>
            </w:pPr>
            <w:r>
              <w:rPr>
                <w:rFonts w:ascii="Times New Roman" w:cs="Times New Roman" w:eastAsia="Times New Roman" w:hAnsi="Times New Roman"/>
                <w:sz w:val="20"/>
                <w:szCs w:val="20"/>
                <w:b w:val="1"/>
                <w:bCs w:val="1"/>
                <w:color w:val="231F20"/>
              </w:rPr>
              <w:t>Options</w:t>
            </w:r>
          </w:p>
        </w:tc>
        <w:tc>
          <w:tcPr>
            <w:tcW w:w="320" w:type="dxa"/>
            <w:vAlign w:val="bottom"/>
            <w:tcBorders>
              <w:bottom w:val="single" w:sz="8" w:color="231F20"/>
            </w:tcBorders>
          </w:tcPr>
          <w:p>
            <w:pPr>
              <w:spacing w:after="0"/>
              <w:rPr>
                <w:sz w:val="22"/>
                <w:szCs w:val="22"/>
                <w:color w:val="auto"/>
              </w:rPr>
            </w:pPr>
          </w:p>
        </w:tc>
        <w:tc>
          <w:tcPr>
            <w:tcW w:w="120" w:type="dxa"/>
            <w:vAlign w:val="bottom"/>
            <w:tcBorders>
              <w:bottom w:val="single" w:sz="8" w:color="E3E4E5"/>
            </w:tcBorders>
          </w:tcPr>
          <w:p>
            <w:pPr>
              <w:spacing w:after="0"/>
              <w:rPr>
                <w:sz w:val="22"/>
                <w:szCs w:val="22"/>
                <w:color w:val="auto"/>
              </w:rPr>
            </w:pPr>
          </w:p>
        </w:tc>
        <w:tc>
          <w:tcPr>
            <w:tcW w:w="160" w:type="dxa"/>
            <w:vAlign w:val="bottom"/>
            <w:tcBorders>
              <w:bottom w:val="single" w:sz="8" w:color="E5E6E7"/>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1460" w:type="dxa"/>
            <w:vAlign w:val="bottom"/>
            <w:tcBorders>
              <w:bottom w:val="single" w:sz="8" w:color="231F20"/>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231F20"/>
              </w:rPr>
              <w:t>Exercise Price</w:t>
            </w:r>
          </w:p>
        </w:tc>
        <w:tc>
          <w:tcPr>
            <w:tcW w:w="260" w:type="dxa"/>
            <w:vAlign w:val="bottom"/>
            <w:tcBorders>
              <w:bottom w:val="single" w:sz="8" w:color="E5E6E7"/>
            </w:tcBorders>
          </w:tcPr>
          <w:p>
            <w:pPr>
              <w:spacing w:after="0"/>
              <w:rPr>
                <w:sz w:val="22"/>
                <w:szCs w:val="22"/>
                <w:color w:val="auto"/>
              </w:rPr>
            </w:pPr>
          </w:p>
        </w:tc>
        <w:tc>
          <w:tcPr>
            <w:tcW w:w="164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Life (Years)</w:t>
            </w:r>
          </w:p>
        </w:tc>
        <w:tc>
          <w:tcPr>
            <w:tcW w:w="100" w:type="dxa"/>
            <w:vAlign w:val="bottom"/>
            <w:tcBorders>
              <w:bottom w:val="single" w:sz="8" w:color="E3E4E5"/>
            </w:tcBorders>
          </w:tcPr>
          <w:p>
            <w:pPr>
              <w:spacing w:after="0"/>
              <w:rPr>
                <w:sz w:val="22"/>
                <w:szCs w:val="22"/>
                <w:color w:val="auto"/>
              </w:rPr>
            </w:pPr>
          </w:p>
        </w:tc>
        <w:tc>
          <w:tcPr>
            <w:tcW w:w="160" w:type="dxa"/>
            <w:vAlign w:val="bottom"/>
            <w:tcBorders>
              <w:bottom w:val="single" w:sz="8" w:color="E5E6E7"/>
            </w:tcBorders>
          </w:tcPr>
          <w:p>
            <w:pPr>
              <w:spacing w:after="0"/>
              <w:rPr>
                <w:sz w:val="22"/>
                <w:szCs w:val="22"/>
                <w:color w:val="auto"/>
              </w:rPr>
            </w:pPr>
          </w:p>
        </w:tc>
        <w:tc>
          <w:tcPr>
            <w:tcW w:w="160" w:type="dxa"/>
            <w:vAlign w:val="bottom"/>
            <w:tcBorders>
              <w:bottom w:val="single" w:sz="8" w:color="231F20"/>
            </w:tcBorders>
          </w:tcPr>
          <w:p>
            <w:pPr>
              <w:spacing w:after="0"/>
              <w:rPr>
                <w:sz w:val="22"/>
                <w:szCs w:val="22"/>
                <w:color w:val="auto"/>
              </w:rPr>
            </w:pPr>
          </w:p>
        </w:tc>
        <w:tc>
          <w:tcPr>
            <w:tcW w:w="1120" w:type="dxa"/>
            <w:vAlign w:val="bottom"/>
            <w:tcBorders>
              <w:bottom w:val="single" w:sz="8" w:color="231F20"/>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231F20"/>
                <w:w w:val="99"/>
              </w:rPr>
              <w:t>Value</w:t>
            </w:r>
          </w:p>
        </w:tc>
        <w:tc>
          <w:tcPr>
            <w:tcW w:w="60" w:type="dxa"/>
            <w:vAlign w:val="bottom"/>
            <w:tcBorders>
              <w:bottom w:val="single" w:sz="8" w:color="E5E6E7"/>
            </w:tcBorders>
          </w:tcPr>
          <w:p>
            <w:pPr>
              <w:spacing w:after="0"/>
              <w:rPr>
                <w:sz w:val="22"/>
                <w:szCs w:val="22"/>
                <w:color w:val="auto"/>
              </w:rPr>
            </w:pPr>
          </w:p>
        </w:tc>
      </w:tr>
      <w:tr>
        <w:trPr>
          <w:trHeight w:val="269"/>
        </w:trPr>
        <w:tc>
          <w:tcPr>
            <w:tcW w:w="3820" w:type="dxa"/>
            <w:vAlign w:val="bottom"/>
            <w:gridSpan w:val="3"/>
            <w:shd w:val="clear" w:color="auto" w:fill="E5E6E7"/>
          </w:tcPr>
          <w:p>
            <w:pPr>
              <w:spacing w:after="0" w:line="230" w:lineRule="exact"/>
              <w:rPr>
                <w:sz w:val="20"/>
                <w:szCs w:val="20"/>
                <w:color w:val="auto"/>
              </w:rPr>
            </w:pPr>
            <w:r>
              <w:rPr>
                <w:rFonts w:ascii="Times New Roman" w:cs="Times New Roman" w:eastAsia="Times New Roman" w:hAnsi="Times New Roman"/>
                <w:sz w:val="20"/>
                <w:szCs w:val="20"/>
                <w:b w:val="1"/>
                <w:bCs w:val="1"/>
                <w:color w:val="414142"/>
              </w:rPr>
              <w:t xml:space="preserve">Outstanding </w:t>
            </w:r>
            <w:r>
              <w:rPr>
                <w:rFonts w:ascii="MS Gothic" w:cs="MS Gothic" w:eastAsia="MS Gothic" w:hAnsi="MS Gothic"/>
                <w:sz w:val="20"/>
                <w:szCs w:val="20"/>
                <w:b w:val="1"/>
                <w:bCs w:val="1"/>
                <w:color w:val="414142"/>
              </w:rPr>
              <w:t>̻</w:t>
            </w:r>
            <w:r>
              <w:rPr>
                <w:rFonts w:ascii="Times New Roman" w:cs="Times New Roman" w:eastAsia="Times New Roman" w:hAnsi="Times New Roman"/>
                <w:sz w:val="20"/>
                <w:szCs w:val="20"/>
                <w:b w:val="1"/>
                <w:bCs w:val="1"/>
                <w:color w:val="414142"/>
              </w:rPr>
              <w:t xml:space="preserve"> January 1, 2025</w:t>
            </w:r>
          </w:p>
        </w:tc>
        <w:tc>
          <w:tcPr>
            <w:tcW w:w="1280" w:type="dxa"/>
            <w:vAlign w:val="bottom"/>
            <w:shd w:val="clear" w:color="auto" w:fill="E3E4E5"/>
          </w:tcPr>
          <w:p>
            <w:pPr>
              <w:spacing w:after="0"/>
              <w:rPr>
                <w:sz w:val="23"/>
                <w:szCs w:val="23"/>
                <w:color w:val="auto"/>
              </w:rPr>
            </w:pPr>
          </w:p>
        </w:tc>
        <w:tc>
          <w:tcPr>
            <w:tcW w:w="3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68</w:t>
            </w:r>
          </w:p>
        </w:tc>
        <w:tc>
          <w:tcPr>
            <w:tcW w:w="120" w:type="dxa"/>
            <w:vAlign w:val="bottom"/>
            <w:shd w:val="clear" w:color="auto" w:fill="E3E4E5"/>
          </w:tcPr>
          <w:p>
            <w:pPr>
              <w:spacing w:after="0"/>
              <w:rPr>
                <w:sz w:val="23"/>
                <w:szCs w:val="23"/>
                <w:color w:val="auto"/>
              </w:rPr>
            </w:pPr>
          </w:p>
        </w:tc>
        <w:tc>
          <w:tcPr>
            <w:tcW w:w="160" w:type="dxa"/>
            <w:vAlign w:val="bottom"/>
            <w:shd w:val="clear" w:color="auto" w:fill="E5E6E7"/>
          </w:tcPr>
          <w:p>
            <w:pPr>
              <w:spacing w:after="0"/>
              <w:rPr>
                <w:sz w:val="23"/>
                <w:szCs w:val="23"/>
                <w:color w:val="auto"/>
              </w:rPr>
            </w:pPr>
          </w:p>
        </w:tc>
        <w:tc>
          <w:tcPr>
            <w:tcW w:w="1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w:t>
            </w:r>
          </w:p>
        </w:tc>
        <w:tc>
          <w:tcPr>
            <w:tcW w:w="14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40.84</w:t>
            </w:r>
          </w:p>
        </w:tc>
        <w:tc>
          <w:tcPr>
            <w:tcW w:w="260" w:type="dxa"/>
            <w:vAlign w:val="bottom"/>
            <w:shd w:val="clear" w:color="auto" w:fill="E5E6E7"/>
          </w:tcPr>
          <w:p>
            <w:pPr>
              <w:spacing w:after="0"/>
              <w:rPr>
                <w:sz w:val="23"/>
                <w:szCs w:val="23"/>
                <w:color w:val="auto"/>
              </w:rPr>
            </w:pPr>
          </w:p>
        </w:tc>
        <w:tc>
          <w:tcPr>
            <w:tcW w:w="1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8.0</w:t>
            </w:r>
          </w:p>
        </w:tc>
        <w:tc>
          <w:tcPr>
            <w:tcW w:w="100" w:type="dxa"/>
            <w:vAlign w:val="bottom"/>
            <w:shd w:val="clear" w:color="auto" w:fill="E3E4E5"/>
          </w:tcPr>
          <w:p>
            <w:pPr>
              <w:spacing w:after="0"/>
              <w:rPr>
                <w:sz w:val="23"/>
                <w:szCs w:val="23"/>
                <w:color w:val="auto"/>
              </w:rPr>
            </w:pPr>
          </w:p>
        </w:tc>
        <w:tc>
          <w:tcPr>
            <w:tcW w:w="160" w:type="dxa"/>
            <w:vAlign w:val="bottom"/>
            <w:shd w:val="clear" w:color="auto" w:fill="E5E6E7"/>
          </w:tcPr>
          <w:p>
            <w:pPr>
              <w:spacing w:after="0"/>
              <w:rPr>
                <w:sz w:val="23"/>
                <w:szCs w:val="23"/>
                <w:color w:val="auto"/>
              </w:rPr>
            </w:pPr>
          </w:p>
        </w:tc>
        <w:tc>
          <w:tcPr>
            <w:tcW w:w="1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79"/>
              </w:rPr>
              <w:t>$</w:t>
            </w: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35</w:t>
            </w:r>
          </w:p>
        </w:tc>
        <w:tc>
          <w:tcPr>
            <w:tcW w:w="60" w:type="dxa"/>
            <w:vAlign w:val="bottom"/>
            <w:shd w:val="clear" w:color="auto" w:fill="E5E6E7"/>
          </w:tcPr>
          <w:p>
            <w:pPr>
              <w:spacing w:after="0"/>
              <w:rPr>
                <w:sz w:val="23"/>
                <w:szCs w:val="23"/>
                <w:color w:val="auto"/>
              </w:rPr>
            </w:pPr>
          </w:p>
        </w:tc>
      </w:tr>
      <w:tr>
        <w:trPr>
          <w:trHeight w:val="244"/>
        </w:trPr>
        <w:tc>
          <w:tcPr>
            <w:tcW w:w="382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12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18.42</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44"/>
        </w:trPr>
        <w:tc>
          <w:tcPr>
            <w:tcW w:w="5100" w:type="dxa"/>
            <w:vAlign w:val="bottom"/>
            <w:gridSpan w:val="4"/>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Forfeited/canceled</w:t>
            </w:r>
          </w:p>
        </w:tc>
        <w:tc>
          <w:tcPr>
            <w:tcW w:w="3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2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46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5E6E7"/>
          </w:tcPr>
          <w:p>
            <w:pPr>
              <w:spacing w:after="0"/>
              <w:rPr>
                <w:sz w:val="21"/>
                <w:szCs w:val="21"/>
                <w:color w:val="auto"/>
              </w:rPr>
            </w:pPr>
          </w:p>
        </w:tc>
        <w:tc>
          <w:tcPr>
            <w:tcW w:w="16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0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60" w:type="dxa"/>
            <w:vAlign w:val="bottom"/>
            <w:shd w:val="clear" w:color="auto" w:fill="E5E6E7"/>
          </w:tcPr>
          <w:p>
            <w:pPr>
              <w:spacing w:after="0"/>
              <w:rPr>
                <w:sz w:val="21"/>
                <w:szCs w:val="21"/>
                <w:color w:val="auto"/>
              </w:rPr>
            </w:pPr>
          </w:p>
        </w:tc>
        <w:tc>
          <w:tcPr>
            <w:tcW w:w="112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60" w:type="dxa"/>
            <w:vAlign w:val="bottom"/>
            <w:shd w:val="clear" w:color="auto" w:fill="E5E6E7"/>
          </w:tcPr>
          <w:p>
            <w:pPr>
              <w:spacing w:after="0"/>
              <w:rPr>
                <w:sz w:val="21"/>
                <w:szCs w:val="21"/>
                <w:color w:val="auto"/>
              </w:rPr>
            </w:pPr>
          </w:p>
        </w:tc>
      </w:tr>
      <w:tr>
        <w:trPr>
          <w:trHeight w:val="244"/>
        </w:trPr>
        <w:tc>
          <w:tcPr>
            <w:tcW w:w="5100" w:type="dxa"/>
            <w:vAlign w:val="bottom"/>
            <w:gridSpan w:val="4"/>
          </w:tcPr>
          <w:p>
            <w:pPr>
              <w:ind w:left="200"/>
              <w:spacing w:after="0"/>
              <w:rPr>
                <w:sz w:val="20"/>
                <w:szCs w:val="20"/>
                <w:color w:val="auto"/>
              </w:rPr>
            </w:pPr>
            <w:r>
              <w:rPr>
                <w:rFonts w:ascii="Times New Roman" w:cs="Times New Roman" w:eastAsia="Times New Roman" w:hAnsi="Times New Roman"/>
                <w:sz w:val="20"/>
                <w:szCs w:val="20"/>
                <w:color w:val="231F20"/>
              </w:rPr>
              <w:t>Exercised</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1"/>
                <w:szCs w:val="21"/>
                <w:color w:val="auto"/>
              </w:rPr>
            </w:pPr>
          </w:p>
        </w:tc>
      </w:tr>
      <w:tr>
        <w:trPr>
          <w:trHeight w:val="269"/>
        </w:trPr>
        <w:tc>
          <w:tcPr>
            <w:tcW w:w="3680" w:type="dxa"/>
            <w:vAlign w:val="bottom"/>
            <w:tcBorders>
              <w:top w:val="single" w:sz="8" w:color="E3E4E5"/>
            </w:tcBorders>
            <w:shd w:val="clear" w:color="auto" w:fill="E3E4E5"/>
          </w:tcPr>
          <w:p>
            <w:pPr>
              <w:spacing w:after="0" w:line="230" w:lineRule="exact"/>
              <w:rPr>
                <w:sz w:val="20"/>
                <w:szCs w:val="20"/>
                <w:color w:val="auto"/>
              </w:rPr>
            </w:pPr>
            <w:r>
              <w:rPr>
                <w:rFonts w:ascii="Times New Roman" w:cs="Times New Roman" w:eastAsia="Times New Roman" w:hAnsi="Times New Roman"/>
                <w:sz w:val="20"/>
                <w:szCs w:val="20"/>
                <w:b w:val="1"/>
                <w:bCs w:val="1"/>
                <w:color w:val="414142"/>
              </w:rPr>
              <w:t xml:space="preserve">Outstanding </w:t>
            </w:r>
            <w:r>
              <w:rPr>
                <w:rFonts w:ascii="MS Gothic" w:cs="MS Gothic" w:eastAsia="MS Gothic" w:hAnsi="MS Gothic"/>
                <w:sz w:val="20"/>
                <w:szCs w:val="20"/>
                <w:b w:val="1"/>
                <w:bCs w:val="1"/>
                <w:color w:val="414142"/>
              </w:rPr>
              <w:t>̻</w:t>
            </w:r>
            <w:r>
              <w:rPr>
                <w:rFonts w:ascii="Times New Roman" w:cs="Times New Roman" w:eastAsia="Times New Roman" w:hAnsi="Times New Roman"/>
                <w:sz w:val="20"/>
                <w:szCs w:val="20"/>
                <w:b w:val="1"/>
                <w:bCs w:val="1"/>
                <w:color w:val="414142"/>
              </w:rPr>
              <w:t xml:space="preserve"> December 31, 2025</w:t>
            </w:r>
          </w:p>
        </w:tc>
        <w:tc>
          <w:tcPr>
            <w:tcW w:w="120" w:type="dxa"/>
            <w:vAlign w:val="bottom"/>
            <w:tcBorders>
              <w:top w:val="single" w:sz="8" w:color="E5E6E7"/>
            </w:tcBorders>
            <w:shd w:val="clear" w:color="auto" w:fill="E5E6E7"/>
          </w:tcPr>
          <w:p>
            <w:pPr>
              <w:spacing w:after="0"/>
              <w:rPr>
                <w:sz w:val="23"/>
                <w:szCs w:val="23"/>
                <w:color w:val="auto"/>
              </w:rPr>
            </w:pPr>
          </w:p>
        </w:tc>
        <w:tc>
          <w:tcPr>
            <w:tcW w:w="20" w:type="dxa"/>
            <w:vAlign w:val="bottom"/>
            <w:tcBorders>
              <w:top w:val="single" w:sz="8" w:color="231F20"/>
            </w:tcBorders>
            <w:shd w:val="clear" w:color="auto" w:fill="E5E6E7"/>
          </w:tcPr>
          <w:p>
            <w:pPr>
              <w:spacing w:after="0"/>
              <w:rPr>
                <w:sz w:val="23"/>
                <w:szCs w:val="23"/>
                <w:color w:val="auto"/>
              </w:rPr>
            </w:pPr>
          </w:p>
        </w:tc>
        <w:tc>
          <w:tcPr>
            <w:tcW w:w="1280" w:type="dxa"/>
            <w:vAlign w:val="bottom"/>
            <w:tcBorders>
              <w:top w:val="single" w:sz="8" w:color="231F20"/>
            </w:tcBorders>
            <w:shd w:val="clear" w:color="auto" w:fill="E5E6E7"/>
          </w:tcPr>
          <w:p>
            <w:pPr>
              <w:spacing w:after="0"/>
              <w:rPr>
                <w:sz w:val="23"/>
                <w:szCs w:val="23"/>
                <w:color w:val="auto"/>
              </w:rPr>
            </w:pPr>
          </w:p>
        </w:tc>
        <w:tc>
          <w:tcPr>
            <w:tcW w:w="320" w:type="dxa"/>
            <w:vAlign w:val="bottom"/>
            <w:tcBorders>
              <w:top w:val="single" w:sz="8" w:color="231F20"/>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w w:val="99"/>
              </w:rPr>
              <w:t>104</w:t>
            </w:r>
          </w:p>
        </w:tc>
        <w:tc>
          <w:tcPr>
            <w:tcW w:w="420" w:type="dxa"/>
            <w:vAlign w:val="bottom"/>
            <w:tcBorders>
              <w:top w:val="single" w:sz="8" w:color="E5E6E7"/>
            </w:tcBorders>
            <w:gridSpan w:val="3"/>
            <w:shd w:val="clear" w:color="auto" w:fill="E5E6E7"/>
          </w:tcPr>
          <w:p>
            <w:pPr>
              <w:ind w:left="280"/>
              <w:spacing w:after="0"/>
              <w:rPr>
                <w:sz w:val="20"/>
                <w:szCs w:val="20"/>
                <w:color w:val="auto"/>
              </w:rPr>
            </w:pPr>
            <w:r>
              <w:rPr>
                <w:rFonts w:ascii="Times New Roman" w:cs="Times New Roman" w:eastAsia="Times New Roman" w:hAnsi="Times New Roman"/>
                <w:sz w:val="20"/>
                <w:szCs w:val="20"/>
                <w:color w:val="414142"/>
              </w:rPr>
              <w:t>$</w:t>
            </w:r>
          </w:p>
        </w:tc>
        <w:tc>
          <w:tcPr>
            <w:tcW w:w="146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33.15</w:t>
            </w:r>
          </w:p>
        </w:tc>
        <w:tc>
          <w:tcPr>
            <w:tcW w:w="1900" w:type="dxa"/>
            <w:vAlign w:val="bottom"/>
            <w:tcBorders>
              <w:top w:val="single" w:sz="8" w:color="E5E6E7"/>
            </w:tcBorders>
            <w:gridSpan w:val="2"/>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7.7</w:t>
            </w:r>
          </w:p>
        </w:tc>
        <w:tc>
          <w:tcPr>
            <w:tcW w:w="420" w:type="dxa"/>
            <w:vAlign w:val="bottom"/>
            <w:tcBorders>
              <w:top w:val="single" w:sz="8" w:color="E5E6E7"/>
            </w:tcBorders>
            <w:gridSpan w:val="3"/>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120" w:type="dxa"/>
            <w:vAlign w:val="bottom"/>
            <w:tcBorders>
              <w:top w:val="single" w:sz="8" w:color="E5E6E7"/>
            </w:tcBorders>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60" w:type="dxa"/>
            <w:vAlign w:val="bottom"/>
            <w:tcBorders>
              <w:top w:val="single" w:sz="8" w:color="E5E6E7"/>
            </w:tcBorders>
            <w:shd w:val="clear" w:color="auto" w:fill="E5E6E7"/>
          </w:tcPr>
          <w:p>
            <w:pPr>
              <w:spacing w:after="0"/>
              <w:rPr>
                <w:sz w:val="23"/>
                <w:szCs w:val="23"/>
                <w:color w:val="auto"/>
              </w:rPr>
            </w:pPr>
          </w:p>
        </w:tc>
      </w:tr>
      <w:tr>
        <w:trPr>
          <w:trHeight w:val="20"/>
        </w:trPr>
        <w:tc>
          <w:tcPr>
            <w:tcW w:w="3820" w:type="dxa"/>
            <w:vAlign w:val="bottom"/>
            <w:gridSpan w:val="3"/>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4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9"/>
        </w:trPr>
        <w:tc>
          <w:tcPr>
            <w:tcW w:w="5100" w:type="dxa"/>
            <w:vAlign w:val="bottom"/>
            <w:gridSpan w:val="4"/>
          </w:tcPr>
          <w:p>
            <w:pPr>
              <w:spacing w:after="0" w:line="230" w:lineRule="exact"/>
              <w:rPr>
                <w:sz w:val="20"/>
                <w:szCs w:val="20"/>
                <w:color w:val="auto"/>
              </w:rPr>
            </w:pPr>
            <w:r>
              <w:rPr>
                <w:rFonts w:ascii="Times New Roman" w:cs="Times New Roman" w:eastAsia="Times New Roman" w:hAnsi="Times New Roman"/>
                <w:sz w:val="20"/>
                <w:szCs w:val="20"/>
                <w:b w:val="1"/>
                <w:bCs w:val="1"/>
                <w:color w:val="231F20"/>
              </w:rPr>
              <w:t xml:space="preserve">Exercisable </w:t>
            </w:r>
            <w:r>
              <w:rPr>
                <w:rFonts w:ascii="MS Gothic" w:cs="MS Gothic" w:eastAsia="MS Gothic" w:hAnsi="MS Gothic"/>
                <w:sz w:val="20"/>
                <w:szCs w:val="20"/>
                <w:b w:val="1"/>
                <w:bCs w:val="1"/>
                <w:color w:val="231F20"/>
              </w:rPr>
              <w:t>̻</w:t>
            </w:r>
            <w:r>
              <w:rPr>
                <w:rFonts w:ascii="Times New Roman" w:cs="Times New Roman" w:eastAsia="Times New Roman" w:hAnsi="Times New Roman"/>
                <w:sz w:val="20"/>
                <w:szCs w:val="20"/>
                <w:b w:val="1"/>
                <w:bCs w:val="1"/>
                <w:color w:val="231F20"/>
              </w:rPr>
              <w:t xml:space="preserve"> December 31, 2025</w:t>
            </w:r>
          </w:p>
        </w:tc>
        <w:tc>
          <w:tcPr>
            <w:tcW w:w="32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9"/>
              </w:rPr>
              <w:t>104</w:t>
            </w:r>
          </w:p>
        </w:tc>
        <w:tc>
          <w:tcPr>
            <w:tcW w:w="4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231F20"/>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33.15</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7.7</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60" w:type="dxa"/>
            <w:vAlign w:val="bottom"/>
          </w:tcPr>
          <w:p>
            <w:pPr>
              <w:spacing w:after="0"/>
              <w:rPr>
                <w:sz w:val="22"/>
                <w:szCs w:val="22"/>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4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11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The Company recorded no expense during the year ended December 31, 2025 and $0.8 million during the year ended December 31, 2024, associated with the estimate of options to be delivered to eligible participants under the Bonus Option Program and which were granted in the first quarter of 2025, by the Compensation Committee of the Board of Directors. In determining the amount of share-based compensation to recognize under the Bonus Option Program, the Company estimated the bonus attainment for the year and determined the expected number of options to be delivered to eligible participants. A Black-Scholes option pricing model was used to determine the estimated fair value of the expected number of options to be delivered to eligible participants. The key elements in determining the estimated fair value included assumptions for volatility, the risk-free interest rate, expected dividends and strike price, utilizing the measurement date closing stock price until the grants are authorized.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i w:val="1"/>
                <w:iCs w:val="1"/>
                <w:color w:val="231F20"/>
              </w:rPr>
              <w:t>Share-Based Compensation Expense</w:t>
            </w:r>
          </w:p>
        </w:tc>
        <w:tc>
          <w:tcPr>
            <w:tcW w:w="52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60" w:type="dxa"/>
            <w:vAlign w:val="bottom"/>
          </w:tcPr>
          <w:p>
            <w:pPr>
              <w:spacing w:after="0"/>
              <w:rPr>
                <w:sz w:val="23"/>
                <w:szCs w:val="23"/>
                <w:color w:val="auto"/>
              </w:rPr>
            </w:pPr>
          </w:p>
        </w:tc>
      </w:tr>
      <w:tr>
        <w:trPr>
          <w:trHeight w:val="350"/>
        </w:trPr>
        <w:tc>
          <w:tcPr>
            <w:tcW w:w="9320" w:type="dxa"/>
            <w:vAlign w:val="bottom"/>
            <w:gridSpan w:val="7"/>
          </w:tcPr>
          <w:p>
            <w:pPr>
              <w:spacing w:after="0"/>
              <w:rPr>
                <w:sz w:val="20"/>
                <w:szCs w:val="20"/>
                <w:color w:val="auto"/>
              </w:rPr>
            </w:pPr>
            <w:r>
              <w:rPr>
                <w:rFonts w:ascii="Times New Roman" w:cs="Times New Roman" w:eastAsia="Times New Roman" w:hAnsi="Times New Roman"/>
                <w:sz w:val="20"/>
                <w:szCs w:val="20"/>
                <w:color w:val="231F20"/>
              </w:rPr>
              <w:t>Share-based compensation expense reported in the Company’s statements of operations was (in thousands):</w:t>
            </w:r>
          </w:p>
        </w:tc>
        <w:tc>
          <w:tcPr>
            <w:tcW w:w="14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7"/>
        </w:trPr>
        <w:tc>
          <w:tcPr>
            <w:tcW w:w="5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16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1420" w:type="dxa"/>
            <w:vAlign w:val="bottom"/>
          </w:tcPr>
          <w:p>
            <w:pPr>
              <w:spacing w:after="0"/>
              <w:rPr>
                <w:sz w:val="24"/>
                <w:szCs w:val="24"/>
                <w:color w:val="auto"/>
              </w:rPr>
            </w:pPr>
          </w:p>
        </w:tc>
        <w:tc>
          <w:tcPr>
            <w:tcW w:w="60" w:type="dxa"/>
            <w:vAlign w:val="bottom"/>
            <w:tcBorders>
              <w:bottom w:val="single" w:sz="8" w:color="231F20"/>
            </w:tcBorders>
          </w:tcPr>
          <w:p>
            <w:pPr>
              <w:spacing w:after="0"/>
              <w:rPr>
                <w:sz w:val="24"/>
                <w:szCs w:val="24"/>
                <w:color w:val="auto"/>
              </w:rPr>
            </w:pPr>
          </w:p>
        </w:tc>
      </w:tr>
      <w:tr>
        <w:trPr>
          <w:trHeight w:val="239"/>
        </w:trPr>
        <w:tc>
          <w:tcPr>
            <w:tcW w:w="562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520" w:type="dxa"/>
            <w:vAlign w:val="bottom"/>
            <w:tcBorders>
              <w:bottom w:val="single" w:sz="8" w:color="231F20"/>
            </w:tcBorders>
          </w:tcPr>
          <w:p>
            <w:pPr>
              <w:spacing w:after="0"/>
              <w:rPr>
                <w:sz w:val="20"/>
                <w:szCs w:val="20"/>
                <w:color w:val="auto"/>
              </w:rPr>
            </w:pPr>
          </w:p>
        </w:tc>
        <w:tc>
          <w:tcPr>
            <w:tcW w:w="1960" w:type="dxa"/>
            <w:vAlign w:val="bottom"/>
            <w:tcBorders>
              <w:bottom w:val="single" w:sz="8" w:color="231F20"/>
            </w:tcBorders>
          </w:tcPr>
          <w:p>
            <w:pPr>
              <w:jc w:val="right"/>
              <w:ind w:right="102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24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940" w:type="dxa"/>
            <w:vAlign w:val="bottom"/>
            <w:tcBorders>
              <w:bottom w:val="single" w:sz="8" w:color="231F20"/>
            </w:tcBorders>
          </w:tcPr>
          <w:p>
            <w:pPr>
              <w:spacing w:after="0"/>
              <w:rPr>
                <w:sz w:val="20"/>
                <w:szCs w:val="20"/>
                <w:color w:val="auto"/>
              </w:rPr>
            </w:pPr>
          </w:p>
        </w:tc>
        <w:tc>
          <w:tcPr>
            <w:tcW w:w="1420" w:type="dxa"/>
            <w:vAlign w:val="bottom"/>
            <w:tcBorders>
              <w:bottom w:val="single" w:sz="8" w:color="231F20"/>
            </w:tcBorders>
          </w:tcPr>
          <w:p>
            <w:pPr>
              <w:jc w:val="right"/>
              <w:ind w:right="900"/>
              <w:spacing w:after="0"/>
              <w:rPr>
                <w:sz w:val="20"/>
                <w:szCs w:val="20"/>
                <w:color w:val="auto"/>
              </w:rPr>
            </w:pPr>
            <w:r>
              <w:rPr>
                <w:rFonts w:ascii="Times New Roman" w:cs="Times New Roman" w:eastAsia="Times New Roman" w:hAnsi="Times New Roman"/>
                <w:sz w:val="20"/>
                <w:szCs w:val="20"/>
                <w:b w:val="1"/>
                <w:bCs w:val="1"/>
                <w:color w:val="231F20"/>
                <w:w w:val="99"/>
              </w:rPr>
              <w:t>2024</w:t>
            </w:r>
          </w:p>
        </w:tc>
        <w:tc>
          <w:tcPr>
            <w:tcW w:w="60" w:type="dxa"/>
            <w:vAlign w:val="bottom"/>
            <w:tcBorders>
              <w:bottom w:val="single" w:sz="8" w:color="231F20"/>
            </w:tcBorders>
          </w:tcPr>
          <w:p>
            <w:pPr>
              <w:spacing w:after="0"/>
              <w:rPr>
                <w:sz w:val="20"/>
                <w:szCs w:val="20"/>
                <w:color w:val="auto"/>
              </w:rPr>
            </w:pPr>
          </w:p>
        </w:tc>
      </w:tr>
      <w:tr>
        <w:trPr>
          <w:trHeight w:val="239"/>
        </w:trPr>
        <w:tc>
          <w:tcPr>
            <w:tcW w:w="564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414142"/>
              </w:rPr>
              <w:t>Direct costs and expenses</w:t>
            </w:r>
          </w:p>
        </w:tc>
        <w:tc>
          <w:tcPr>
            <w:tcW w:w="520" w:type="dxa"/>
            <w:vAlign w:val="bottom"/>
            <w:shd w:val="clear" w:color="auto" w:fill="E3E4E5"/>
          </w:tcPr>
          <w:p>
            <w:pPr>
              <w:jc w:val="right"/>
              <w:ind w:right="355"/>
              <w:spacing w:after="0"/>
              <w:rPr>
                <w:sz w:val="20"/>
                <w:szCs w:val="20"/>
                <w:color w:val="auto"/>
              </w:rPr>
            </w:pPr>
            <w:r>
              <w:rPr>
                <w:rFonts w:ascii="Times New Roman" w:cs="Times New Roman" w:eastAsia="Times New Roman" w:hAnsi="Times New Roman"/>
                <w:sz w:val="17"/>
                <w:szCs w:val="17"/>
                <w:color w:val="414142"/>
                <w:w w:val="70"/>
              </w:rPr>
              <w:t>$</w:t>
            </w:r>
          </w:p>
        </w:tc>
        <w:tc>
          <w:tcPr>
            <w:tcW w:w="19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135</w:t>
            </w:r>
          </w:p>
        </w:tc>
        <w:tc>
          <w:tcPr>
            <w:tcW w:w="24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940" w:type="dxa"/>
            <w:vAlign w:val="bottom"/>
            <w:shd w:val="clear" w:color="auto" w:fill="E3E4E5"/>
          </w:tcPr>
          <w:p>
            <w:pPr>
              <w:jc w:val="right"/>
              <w:ind w:right="775"/>
              <w:spacing w:after="0"/>
              <w:rPr>
                <w:sz w:val="20"/>
                <w:szCs w:val="20"/>
                <w:color w:val="auto"/>
              </w:rPr>
            </w:pPr>
            <w:r>
              <w:rPr>
                <w:rFonts w:ascii="Times New Roman" w:cs="Times New Roman" w:eastAsia="Times New Roman" w:hAnsi="Times New Roman"/>
                <w:sz w:val="17"/>
                <w:szCs w:val="17"/>
                <w:color w:val="414142"/>
                <w:w w:val="70"/>
              </w:rPr>
              <w:t>$</w:t>
            </w:r>
          </w:p>
        </w:tc>
        <w:tc>
          <w:tcPr>
            <w:tcW w:w="14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82</w:t>
            </w:r>
          </w:p>
        </w:tc>
        <w:tc>
          <w:tcPr>
            <w:tcW w:w="60" w:type="dxa"/>
            <w:vAlign w:val="bottom"/>
            <w:shd w:val="clear" w:color="auto" w:fill="E3E4E5"/>
          </w:tcPr>
          <w:p>
            <w:pPr>
              <w:spacing w:after="0"/>
              <w:rPr>
                <w:sz w:val="20"/>
                <w:szCs w:val="20"/>
                <w:color w:val="auto"/>
              </w:rPr>
            </w:pPr>
          </w:p>
        </w:tc>
      </w:tr>
      <w:tr>
        <w:trPr>
          <w:trHeight w:val="244"/>
        </w:trPr>
        <w:tc>
          <w:tcPr>
            <w:tcW w:w="56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Research and development</w:t>
            </w:r>
          </w:p>
        </w:tc>
        <w:tc>
          <w:tcPr>
            <w:tcW w:w="520" w:type="dxa"/>
            <w:vAlign w:val="bottom"/>
          </w:tcPr>
          <w:p>
            <w:pPr>
              <w:spacing w:after="0"/>
              <w:rPr>
                <w:sz w:val="21"/>
                <w:szCs w:val="21"/>
                <w:color w:val="auto"/>
              </w:rPr>
            </w:pPr>
          </w:p>
        </w:tc>
        <w:tc>
          <w:tcPr>
            <w:tcW w:w="19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384</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333</w:t>
            </w:r>
          </w:p>
        </w:tc>
        <w:tc>
          <w:tcPr>
            <w:tcW w:w="60" w:type="dxa"/>
            <w:vAlign w:val="bottom"/>
          </w:tcPr>
          <w:p>
            <w:pPr>
              <w:spacing w:after="0"/>
              <w:rPr>
                <w:sz w:val="21"/>
                <w:szCs w:val="21"/>
                <w:color w:val="auto"/>
              </w:rPr>
            </w:pPr>
          </w:p>
        </w:tc>
      </w:tr>
      <w:tr>
        <w:trPr>
          <w:trHeight w:val="244"/>
        </w:trPr>
        <w:tc>
          <w:tcPr>
            <w:tcW w:w="564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414142"/>
              </w:rPr>
              <w:t>Sales, marketing, general and administrative</w:t>
            </w:r>
          </w:p>
        </w:tc>
        <w:tc>
          <w:tcPr>
            <w:tcW w:w="520" w:type="dxa"/>
            <w:vAlign w:val="bottom"/>
            <w:tcBorders>
              <w:bottom w:val="single" w:sz="8" w:color="231F20"/>
            </w:tcBorders>
            <w:shd w:val="clear" w:color="auto" w:fill="E3E4E5"/>
          </w:tcPr>
          <w:p>
            <w:pPr>
              <w:spacing w:after="0"/>
              <w:rPr>
                <w:sz w:val="21"/>
                <w:szCs w:val="21"/>
                <w:color w:val="auto"/>
              </w:rPr>
            </w:pPr>
          </w:p>
        </w:tc>
        <w:tc>
          <w:tcPr>
            <w:tcW w:w="1960" w:type="dxa"/>
            <w:vAlign w:val="bottom"/>
            <w:tcBorders>
              <w:bottom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3,620</w:t>
            </w:r>
          </w:p>
        </w:tc>
        <w:tc>
          <w:tcPr>
            <w:tcW w:w="24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940" w:type="dxa"/>
            <w:vAlign w:val="bottom"/>
            <w:tcBorders>
              <w:bottom w:val="single" w:sz="8" w:color="231F20"/>
            </w:tcBorders>
            <w:shd w:val="clear" w:color="auto" w:fill="E3E4E5"/>
          </w:tcPr>
          <w:p>
            <w:pPr>
              <w:spacing w:after="0"/>
              <w:rPr>
                <w:sz w:val="21"/>
                <w:szCs w:val="21"/>
                <w:color w:val="auto"/>
              </w:rPr>
            </w:pPr>
          </w:p>
        </w:tc>
        <w:tc>
          <w:tcPr>
            <w:tcW w:w="142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6,223</w:t>
            </w:r>
          </w:p>
        </w:tc>
        <w:tc>
          <w:tcPr>
            <w:tcW w:w="60" w:type="dxa"/>
            <w:vAlign w:val="bottom"/>
            <w:tcBorders>
              <w:bottom w:val="single" w:sz="8" w:color="231F20"/>
            </w:tcBorders>
            <w:shd w:val="clear" w:color="auto" w:fill="E3E4E5"/>
          </w:tcPr>
          <w:p>
            <w:pPr>
              <w:spacing w:after="0"/>
              <w:rPr>
                <w:sz w:val="21"/>
                <w:szCs w:val="21"/>
                <w:color w:val="auto"/>
              </w:rPr>
            </w:pPr>
          </w:p>
        </w:tc>
      </w:tr>
      <w:tr>
        <w:trPr>
          <w:trHeight w:val="239"/>
        </w:trPr>
        <w:tc>
          <w:tcPr>
            <w:tcW w:w="56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Total</w:t>
            </w:r>
          </w:p>
        </w:tc>
        <w:tc>
          <w:tcPr>
            <w:tcW w:w="520" w:type="dxa"/>
            <w:vAlign w:val="bottom"/>
          </w:tcPr>
          <w:p>
            <w:pPr>
              <w:jc w:val="right"/>
              <w:ind w:right="355"/>
              <w:spacing w:after="0"/>
              <w:rPr>
                <w:sz w:val="20"/>
                <w:szCs w:val="20"/>
                <w:color w:val="auto"/>
              </w:rPr>
            </w:pPr>
            <w:r>
              <w:rPr>
                <w:rFonts w:ascii="Times New Roman" w:cs="Times New Roman" w:eastAsia="Times New Roman" w:hAnsi="Times New Roman"/>
                <w:sz w:val="17"/>
                <w:szCs w:val="17"/>
                <w:color w:val="231F20"/>
                <w:w w:val="70"/>
              </w:rPr>
              <w:t>$</w:t>
            </w:r>
          </w:p>
        </w:tc>
        <w:tc>
          <w:tcPr>
            <w:tcW w:w="1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231F20"/>
              </w:rPr>
              <w:t>4,139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jc w:val="right"/>
              <w:ind w:right="775"/>
              <w:spacing w:after="0"/>
              <w:rPr>
                <w:sz w:val="20"/>
                <w:szCs w:val="20"/>
                <w:color w:val="auto"/>
              </w:rPr>
            </w:pPr>
            <w:r>
              <w:rPr>
                <w:rFonts w:ascii="Times New Roman" w:cs="Times New Roman" w:eastAsia="Times New Roman" w:hAnsi="Times New Roman"/>
                <w:sz w:val="17"/>
                <w:szCs w:val="17"/>
                <w:color w:val="231F20"/>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6,638</w:t>
            </w:r>
          </w:p>
        </w:tc>
        <w:tc>
          <w:tcPr>
            <w:tcW w:w="60" w:type="dxa"/>
            <w:vAlign w:val="bottom"/>
          </w:tcPr>
          <w:p>
            <w:pPr>
              <w:spacing w:after="0"/>
              <w:rPr>
                <w:sz w:val="20"/>
                <w:szCs w:val="20"/>
                <w:color w:val="auto"/>
              </w:rPr>
            </w:pPr>
          </w:p>
        </w:tc>
      </w:tr>
      <w:tr>
        <w:trPr>
          <w:trHeight w:val="20"/>
        </w:trPr>
        <w:tc>
          <w:tcPr>
            <w:tcW w:w="562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520" w:type="dxa"/>
            <w:vAlign w:val="bottom"/>
            <w:tcBorders>
              <w:top w:val="single" w:sz="8" w:color="231F20"/>
              <w:bottom w:val="single" w:sz="8" w:color="231F20"/>
            </w:tcBorders>
          </w:tcPr>
          <w:p>
            <w:pPr>
              <w:spacing w:after="0" w:line="20" w:lineRule="exact"/>
              <w:rPr>
                <w:sz w:val="1"/>
                <w:szCs w:val="1"/>
                <w:color w:val="auto"/>
              </w:rPr>
            </w:pPr>
          </w:p>
        </w:tc>
        <w:tc>
          <w:tcPr>
            <w:tcW w:w="1960" w:type="dxa"/>
            <w:vAlign w:val="bottom"/>
            <w:tcBorders>
              <w:top w:val="single" w:sz="8" w:color="231F20"/>
              <w:bottom w:val="single" w:sz="8" w:color="231F2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940" w:type="dxa"/>
            <w:vAlign w:val="bottom"/>
            <w:tcBorders>
              <w:top w:val="single" w:sz="8" w:color="231F20"/>
              <w:bottom w:val="single" w:sz="8" w:color="231F20"/>
            </w:tcBorders>
          </w:tcPr>
          <w:p>
            <w:pPr>
              <w:spacing w:after="0" w:line="20" w:lineRule="exact"/>
              <w:rPr>
                <w:sz w:val="1"/>
                <w:szCs w:val="1"/>
                <w:color w:val="auto"/>
              </w:rPr>
            </w:pPr>
          </w:p>
        </w:tc>
        <w:tc>
          <w:tcPr>
            <w:tcW w:w="142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3551555</wp:posOffset>
            </wp:positionH>
            <wp:positionV relativeFrom="paragraph">
              <wp:posOffset>-850265</wp:posOffset>
            </wp:positionV>
            <wp:extent cx="3284855" cy="476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50">
                      <a:extLst>
                        <a:ext uri="{28A0092B-C50C-407E-A947-70E740481C1C}"/>
                      </a:extLst>
                    </a:blip>
                    <a:srcRect/>
                    <a:stretch>
                      <a:fillRect/>
                    </a:stretch>
                  </pic:blipFill>
                  <pic:spPr bwMode="auto">
                    <a:xfrm>
                      <a:off x="0" y="0"/>
                      <a:ext cx="3284855" cy="47625"/>
                    </a:xfrm>
                    <a:prstGeom prst="rect">
                      <a:avLst/>
                    </a:prstGeom>
                    <a:noFill/>
                  </pic:spPr>
                </pic:pic>
              </a:graphicData>
            </a:graphic>
          </wp:anchor>
        </w:drawing>
      </w:r>
    </w:p>
    <w:p>
      <w:pPr>
        <w:spacing w:after="0" w:line="8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unrecognized remaining share-based compensation expense for options and RSUs was approximately $3.9 million as of December 31, 2025 and is expected to be amortized to expense over the next 2.2 years.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Stock Options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Stock option activity during the year ended December 31, 2025, excluding the Bonus Option Program described above, was (in thousands, except weighted average exercise price and weighted average contractual life):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231F20"/>
                <w:w w:val="98"/>
              </w:rPr>
              <w:t>Weighted Average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231F20"/>
              </w:rPr>
              <w:t>Aggregate</w:t>
            </w:r>
          </w:p>
        </w:tc>
      </w:tr>
      <w:tr>
        <w:trPr>
          <w:trHeight w:val="230"/>
        </w:trPr>
        <w:tc>
          <w:tcPr>
            <w:tcW w:w="3800" w:type="dxa"/>
            <w:vAlign w:val="bottom"/>
          </w:tcPr>
          <w:p>
            <w:pPr>
              <w:spacing w:after="0"/>
              <w:rPr>
                <w:sz w:val="20"/>
                <w:szCs w:val="20"/>
                <w:color w:val="auto"/>
              </w:rPr>
            </w:pPr>
          </w:p>
        </w:tc>
        <w:tc>
          <w:tcPr>
            <w:tcW w:w="1280" w:type="dxa"/>
            <w:vAlign w:val="bottom"/>
          </w:tcPr>
          <w:p>
            <w:pPr>
              <w:jc w:val="center"/>
              <w:ind w:left="220"/>
              <w:spacing w:after="0"/>
              <w:rPr>
                <w:sz w:val="20"/>
                <w:szCs w:val="20"/>
                <w:color w:val="auto"/>
              </w:rPr>
            </w:pPr>
            <w:r>
              <w:rPr>
                <w:rFonts w:ascii="Times New Roman" w:cs="Times New Roman" w:eastAsia="Times New Roman" w:hAnsi="Times New Roman"/>
                <w:sz w:val="20"/>
                <w:szCs w:val="20"/>
                <w:b w:val="1"/>
                <w:bCs w:val="1"/>
                <w:color w:val="231F20"/>
                <w:w w:val="99"/>
              </w:rPr>
              <w:t>Number of</w:t>
            </w: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231F20"/>
                <w:w w:val="97"/>
              </w:rPr>
              <w:t>Weighted Average</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231F20"/>
              </w:rPr>
              <w:t>Contractual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231F20"/>
              </w:rPr>
              <w:t>Intrinsic</w:t>
            </w:r>
          </w:p>
        </w:tc>
      </w:tr>
      <w:tr>
        <w:trPr>
          <w:trHeight w:val="254"/>
        </w:trPr>
        <w:tc>
          <w:tcPr>
            <w:tcW w:w="3800" w:type="dxa"/>
            <w:vAlign w:val="bottom"/>
            <w:tcBorders>
              <w:bottom w:val="single" w:sz="8" w:color="E3E4E5"/>
            </w:tcBorders>
          </w:tcPr>
          <w:p>
            <w:pPr>
              <w:spacing w:after="0"/>
              <w:rPr>
                <w:sz w:val="22"/>
                <w:szCs w:val="22"/>
                <w:color w:val="auto"/>
              </w:rPr>
            </w:pPr>
          </w:p>
        </w:tc>
        <w:tc>
          <w:tcPr>
            <w:tcW w:w="1280" w:type="dxa"/>
            <w:vAlign w:val="bottom"/>
            <w:tcBorders>
              <w:bottom w:val="single" w:sz="8" w:color="231F20"/>
            </w:tcBorders>
          </w:tcPr>
          <w:p>
            <w:pPr>
              <w:jc w:val="center"/>
              <w:ind w:left="220"/>
              <w:spacing w:after="0"/>
              <w:rPr>
                <w:sz w:val="20"/>
                <w:szCs w:val="20"/>
                <w:color w:val="auto"/>
              </w:rPr>
            </w:pPr>
            <w:r>
              <w:rPr>
                <w:rFonts w:ascii="Times New Roman" w:cs="Times New Roman" w:eastAsia="Times New Roman" w:hAnsi="Times New Roman"/>
                <w:sz w:val="20"/>
                <w:szCs w:val="20"/>
                <w:b w:val="1"/>
                <w:bCs w:val="1"/>
                <w:color w:val="231F20"/>
              </w:rPr>
              <w:t>Options</w:t>
            </w:r>
          </w:p>
        </w:tc>
        <w:tc>
          <w:tcPr>
            <w:tcW w:w="440" w:type="dxa"/>
            <w:vAlign w:val="bottom"/>
            <w:tcBorders>
              <w:bottom w:val="single" w:sz="8" w:color="231F20"/>
            </w:tcBorders>
          </w:tcPr>
          <w:p>
            <w:pPr>
              <w:spacing w:after="0"/>
              <w:rPr>
                <w:sz w:val="22"/>
                <w:szCs w:val="22"/>
                <w:color w:val="auto"/>
              </w:rPr>
            </w:pPr>
          </w:p>
        </w:tc>
        <w:tc>
          <w:tcPr>
            <w:tcW w:w="18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120" w:type="dxa"/>
            <w:vAlign w:val="bottom"/>
            <w:tcBorders>
              <w:bottom w:val="single" w:sz="8" w:color="231F20"/>
            </w:tcBorders>
          </w:tcPr>
          <w:p>
            <w:pPr>
              <w:spacing w:after="0"/>
              <w:rPr>
                <w:sz w:val="22"/>
                <w:szCs w:val="22"/>
                <w:color w:val="auto"/>
              </w:rPr>
            </w:pPr>
          </w:p>
        </w:tc>
        <w:tc>
          <w:tcPr>
            <w:tcW w:w="1560" w:type="dxa"/>
            <w:vAlign w:val="bottom"/>
            <w:tcBorders>
              <w:bottom w:val="single" w:sz="8" w:color="231F20"/>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231F20"/>
              </w:rPr>
              <w:t>Exercise Price</w:t>
            </w:r>
          </w:p>
        </w:tc>
        <w:tc>
          <w:tcPr>
            <w:tcW w:w="16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1720" w:type="dxa"/>
            <w:vAlign w:val="bottom"/>
            <w:tcBorders>
              <w:bottom w:val="single" w:sz="8" w:color="231F20"/>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231F20"/>
              </w:rPr>
              <w:t>Life (Years)</w:t>
            </w:r>
          </w:p>
        </w:tc>
        <w:tc>
          <w:tcPr>
            <w:tcW w:w="160" w:type="dxa"/>
            <w:vAlign w:val="bottom"/>
            <w:tcBorders>
              <w:bottom w:val="single" w:sz="8" w:color="E3E4E5"/>
            </w:tcBorders>
          </w:tcPr>
          <w:p>
            <w:pPr>
              <w:spacing w:after="0"/>
              <w:rPr>
                <w:sz w:val="22"/>
                <w:szCs w:val="22"/>
                <w:color w:val="auto"/>
              </w:rPr>
            </w:pPr>
          </w:p>
        </w:tc>
        <w:tc>
          <w:tcPr>
            <w:tcW w:w="20" w:type="dxa"/>
            <w:vAlign w:val="bottom"/>
            <w:tcBorders>
              <w:bottom w:val="single" w:sz="8" w:color="E3E4E5"/>
            </w:tcBorders>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1180" w:type="dxa"/>
            <w:vAlign w:val="bottom"/>
            <w:tcBorders>
              <w:bottom w:val="single" w:sz="8" w:color="231F20"/>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231F20"/>
                <w:w w:val="99"/>
              </w:rPr>
              <w:t>Value</w:t>
            </w:r>
          </w:p>
        </w:tc>
      </w:tr>
      <w:tr>
        <w:trPr>
          <w:trHeight w:val="239"/>
        </w:trPr>
        <w:tc>
          <w:tcPr>
            <w:tcW w:w="380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b w:val="1"/>
                <w:bCs w:val="1"/>
                <w:color w:val="414142"/>
              </w:rPr>
              <w:t>Outstanding - January 1, 2025</w:t>
            </w:r>
          </w:p>
        </w:tc>
        <w:tc>
          <w:tcPr>
            <w:tcW w:w="1280" w:type="dxa"/>
            <w:vAlign w:val="bottom"/>
            <w:shd w:val="clear" w:color="auto" w:fill="E3E4E5"/>
          </w:tcPr>
          <w:p>
            <w:pPr>
              <w:spacing w:after="0"/>
              <w:rPr>
                <w:sz w:val="20"/>
                <w:szCs w:val="20"/>
                <w:color w:val="auto"/>
              </w:rPr>
            </w:pPr>
          </w:p>
        </w:tc>
        <w:tc>
          <w:tcPr>
            <w:tcW w:w="44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w w:val="99"/>
              </w:rPr>
              <w:t>208</w:t>
            </w:r>
          </w:p>
        </w:tc>
        <w:tc>
          <w:tcPr>
            <w:tcW w:w="18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2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7"/>
                <w:szCs w:val="17"/>
                <w:color w:val="414142"/>
                <w:w w:val="70"/>
              </w:rPr>
              <w:t>$</w:t>
            </w:r>
          </w:p>
        </w:tc>
        <w:tc>
          <w:tcPr>
            <w:tcW w:w="15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49.74</w:t>
            </w:r>
          </w:p>
        </w:tc>
        <w:tc>
          <w:tcPr>
            <w:tcW w:w="16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72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7.7</w:t>
            </w:r>
          </w:p>
        </w:tc>
        <w:tc>
          <w:tcPr>
            <w:tcW w:w="16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17"/>
                <w:szCs w:val="17"/>
                <w:color w:val="414142"/>
                <w:w w:val="70"/>
              </w:rPr>
              <w:t>$</w:t>
            </w: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718</w:t>
            </w:r>
          </w:p>
        </w:tc>
      </w:tr>
      <w:tr>
        <w:trPr>
          <w:trHeight w:val="244"/>
        </w:trPr>
        <w:tc>
          <w:tcPr>
            <w:tcW w:w="380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1280" w:type="dxa"/>
            <w:vAlign w:val="bottom"/>
          </w:tcPr>
          <w:p>
            <w:pPr>
              <w:spacing w:after="0"/>
              <w:rPr>
                <w:sz w:val="21"/>
                <w:szCs w:val="21"/>
                <w:color w:val="auto"/>
              </w:rPr>
            </w:pP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99"/>
              </w:rPr>
              <w:t>157</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16.07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5080" w:type="dxa"/>
            <w:vAlign w:val="bottom"/>
            <w:gridSpan w:val="2"/>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Forfeited/canceled</w:t>
            </w:r>
          </w:p>
        </w:tc>
        <w:tc>
          <w:tcPr>
            <w:tcW w:w="4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(29)</w:t>
            </w:r>
          </w:p>
        </w:tc>
        <w:tc>
          <w:tcPr>
            <w:tcW w:w="18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20" w:type="dxa"/>
            <w:vAlign w:val="bottom"/>
            <w:shd w:val="clear" w:color="auto" w:fill="E3E4E5"/>
          </w:tcPr>
          <w:p>
            <w:pPr>
              <w:spacing w:after="0"/>
              <w:rPr>
                <w:sz w:val="21"/>
                <w:szCs w:val="21"/>
                <w:color w:val="auto"/>
              </w:rPr>
            </w:pPr>
          </w:p>
        </w:tc>
        <w:tc>
          <w:tcPr>
            <w:tcW w:w="156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42.08</w:t>
            </w:r>
          </w:p>
        </w:tc>
        <w:tc>
          <w:tcPr>
            <w:tcW w:w="1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720" w:type="dxa"/>
            <w:vAlign w:val="bottom"/>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w:t>
            </w:r>
          </w:p>
        </w:tc>
        <w:tc>
          <w:tcPr>
            <w:tcW w:w="1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40" w:type="dxa"/>
            <w:vAlign w:val="bottom"/>
            <w:shd w:val="clear" w:color="auto" w:fill="E3E4E5"/>
          </w:tcPr>
          <w:p>
            <w:pPr>
              <w:spacing w:after="0"/>
              <w:rPr>
                <w:sz w:val="21"/>
                <w:szCs w:val="21"/>
                <w:color w:val="auto"/>
              </w:rPr>
            </w:pPr>
          </w:p>
        </w:tc>
        <w:tc>
          <w:tcPr>
            <w:tcW w:w="11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r>
      <w:tr>
        <w:trPr>
          <w:trHeight w:val="244"/>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Exercised</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r>
      <w:tr>
        <w:trPr>
          <w:trHeight w:val="269"/>
        </w:trPr>
        <w:tc>
          <w:tcPr>
            <w:tcW w:w="3800" w:type="dxa"/>
            <w:vAlign w:val="bottom"/>
            <w:tcBorders>
              <w:top w:val="single" w:sz="8" w:color="E3E4E5"/>
            </w:tcBorders>
            <w:shd w:val="clear" w:color="auto" w:fill="E3E4E5"/>
          </w:tcPr>
          <w:p>
            <w:pPr>
              <w:spacing w:after="0" w:line="230" w:lineRule="exact"/>
              <w:rPr>
                <w:sz w:val="20"/>
                <w:szCs w:val="20"/>
                <w:color w:val="auto"/>
              </w:rPr>
            </w:pPr>
            <w:r>
              <w:rPr>
                <w:rFonts w:ascii="Times New Roman" w:cs="Times New Roman" w:eastAsia="Times New Roman" w:hAnsi="Times New Roman"/>
                <w:sz w:val="20"/>
                <w:szCs w:val="20"/>
                <w:b w:val="1"/>
                <w:bCs w:val="1"/>
                <w:color w:val="414142"/>
              </w:rPr>
              <w:t xml:space="preserve">Outstanding </w:t>
            </w:r>
            <w:r>
              <w:rPr>
                <w:rFonts w:ascii="MS Gothic" w:cs="MS Gothic" w:eastAsia="MS Gothic" w:hAnsi="MS Gothic"/>
                <w:sz w:val="20"/>
                <w:szCs w:val="20"/>
                <w:b w:val="1"/>
                <w:bCs w:val="1"/>
                <w:color w:val="414142"/>
              </w:rPr>
              <w:t>̻</w:t>
            </w:r>
            <w:r>
              <w:rPr>
                <w:rFonts w:ascii="Times New Roman" w:cs="Times New Roman" w:eastAsia="Times New Roman" w:hAnsi="Times New Roman"/>
                <w:sz w:val="20"/>
                <w:szCs w:val="20"/>
                <w:b w:val="1"/>
                <w:bCs w:val="1"/>
                <w:color w:val="414142"/>
              </w:rPr>
              <w:t xml:space="preserve"> December 31, 2025</w:t>
            </w:r>
          </w:p>
        </w:tc>
        <w:tc>
          <w:tcPr>
            <w:tcW w:w="1280" w:type="dxa"/>
            <w:vAlign w:val="bottom"/>
            <w:tcBorders>
              <w:top w:val="single" w:sz="8" w:color="231F20"/>
            </w:tcBorders>
            <w:shd w:val="clear" w:color="auto" w:fill="E3E4E5"/>
          </w:tcPr>
          <w:p>
            <w:pPr>
              <w:spacing w:after="0"/>
              <w:rPr>
                <w:sz w:val="23"/>
                <w:szCs w:val="23"/>
                <w:color w:val="auto"/>
              </w:rPr>
            </w:pPr>
          </w:p>
        </w:tc>
        <w:tc>
          <w:tcPr>
            <w:tcW w:w="440" w:type="dxa"/>
            <w:vAlign w:val="bottom"/>
            <w:tcBorders>
              <w:top w:val="single" w:sz="8" w:color="231F20"/>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w w:val="99"/>
              </w:rPr>
              <w:t>336</w:t>
            </w:r>
          </w:p>
        </w:tc>
        <w:tc>
          <w:tcPr>
            <w:tcW w:w="320" w:type="dxa"/>
            <w:vAlign w:val="bottom"/>
            <w:tcBorders>
              <w:top w:val="single" w:sz="8" w:color="E3E4E5"/>
            </w:tcBorders>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560" w:type="dxa"/>
            <w:vAlign w:val="bottom"/>
            <w:tcBorders>
              <w:top w:val="single" w:sz="8" w:color="E3E4E5"/>
            </w:tcBorders>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33.58</w:t>
            </w:r>
          </w:p>
        </w:tc>
        <w:tc>
          <w:tcPr>
            <w:tcW w:w="1900" w:type="dxa"/>
            <w:vAlign w:val="bottom"/>
            <w:tcBorders>
              <w:top w:val="single" w:sz="8" w:color="E3E4E5"/>
            </w:tcBorders>
            <w:gridSpan w:val="3"/>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7.8</w:t>
            </w:r>
          </w:p>
        </w:tc>
        <w:tc>
          <w:tcPr>
            <w:tcW w:w="320" w:type="dxa"/>
            <w:vAlign w:val="bottom"/>
            <w:tcBorders>
              <w:top w:val="single" w:sz="8" w:color="E3E4E5"/>
            </w:tcBorders>
            <w:gridSpan w:val="3"/>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1180" w:type="dxa"/>
            <w:vAlign w:val="bottom"/>
            <w:tcBorders>
              <w:top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17</w:t>
            </w:r>
          </w:p>
        </w:tc>
      </w:tr>
      <w:tr>
        <w:trPr>
          <w:trHeight w:val="20"/>
        </w:trPr>
        <w:tc>
          <w:tcPr>
            <w:tcW w:w="3800" w:type="dxa"/>
            <w:vAlign w:val="bottom"/>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gridSpan w:val="2"/>
          </w:tcPr>
          <w:p>
            <w:pPr>
              <w:spacing w:after="0" w:line="20" w:lineRule="exact"/>
              <w:rPr>
                <w:sz w:val="1"/>
                <w:szCs w:val="1"/>
                <w:color w:val="auto"/>
              </w:rPr>
            </w:pPr>
          </w:p>
        </w:tc>
        <w:tc>
          <w:tcPr>
            <w:tcW w:w="156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top w:val="single" w:sz="8" w:color="231F20"/>
              <w:bottom w:val="single" w:sz="8" w:color="231F20"/>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gridSpan w:val="2"/>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r>
      <w:tr>
        <w:trPr>
          <w:trHeight w:val="259"/>
        </w:trPr>
        <w:tc>
          <w:tcPr>
            <w:tcW w:w="5080" w:type="dxa"/>
            <w:vAlign w:val="bottom"/>
            <w:gridSpan w:val="2"/>
          </w:tcPr>
          <w:p>
            <w:pPr>
              <w:spacing w:after="0" w:line="230" w:lineRule="exact"/>
              <w:rPr>
                <w:sz w:val="20"/>
                <w:szCs w:val="20"/>
                <w:color w:val="auto"/>
              </w:rPr>
            </w:pPr>
            <w:r>
              <w:rPr>
                <w:rFonts w:ascii="Times New Roman" w:cs="Times New Roman" w:eastAsia="Times New Roman" w:hAnsi="Times New Roman"/>
                <w:sz w:val="20"/>
                <w:szCs w:val="20"/>
                <w:b w:val="1"/>
                <w:bCs w:val="1"/>
                <w:color w:val="231F20"/>
              </w:rPr>
              <w:t xml:space="preserve">Exercisable </w:t>
            </w:r>
            <w:r>
              <w:rPr>
                <w:rFonts w:ascii="MS Gothic" w:cs="MS Gothic" w:eastAsia="MS Gothic" w:hAnsi="MS Gothic"/>
                <w:sz w:val="20"/>
                <w:szCs w:val="20"/>
                <w:b w:val="1"/>
                <w:bCs w:val="1"/>
                <w:color w:val="231F20"/>
              </w:rPr>
              <w:t>̻</w:t>
            </w:r>
            <w:r>
              <w:rPr>
                <w:rFonts w:ascii="Times New Roman" w:cs="Times New Roman" w:eastAsia="Times New Roman" w:hAnsi="Times New Roman"/>
                <w:sz w:val="20"/>
                <w:szCs w:val="20"/>
                <w:b w:val="1"/>
                <w:bCs w:val="1"/>
                <w:color w:val="231F20"/>
              </w:rPr>
              <w:t xml:space="preserve"> December 31, 2025</w:t>
            </w:r>
          </w:p>
        </w:tc>
        <w:tc>
          <w:tcPr>
            <w:tcW w:w="4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w w:val="99"/>
              </w:rPr>
              <w:t>168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5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231F20"/>
              </w:rPr>
              <w:t>44.03</w:t>
            </w:r>
          </w:p>
        </w:tc>
        <w:tc>
          <w:tcPr>
            <w:tcW w:w="1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231F20"/>
              </w:rPr>
              <w:t>6.8</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w:t>
            </w:r>
          </w:p>
        </w:tc>
      </w:tr>
      <w:tr>
        <w:trPr>
          <w:trHeight w:val="20"/>
        </w:trPr>
        <w:tc>
          <w:tcPr>
            <w:tcW w:w="3800" w:type="dxa"/>
            <w:vAlign w:val="bottom"/>
          </w:tcPr>
          <w:p>
            <w:pPr>
              <w:spacing w:after="0" w:line="20" w:lineRule="exact"/>
              <w:rPr>
                <w:sz w:val="1"/>
                <w:szCs w:val="1"/>
                <w:color w:val="auto"/>
              </w:rPr>
            </w:pPr>
          </w:p>
        </w:tc>
        <w:tc>
          <w:tcPr>
            <w:tcW w:w="1280" w:type="dxa"/>
            <w:vAlign w:val="bottom"/>
            <w:tcBorders>
              <w:top w:val="single" w:sz="8" w:color="231F20"/>
              <w:bottom w:val="single" w:sz="8" w:color="231F20"/>
            </w:tcBorders>
          </w:tcPr>
          <w:p>
            <w:pPr>
              <w:spacing w:after="0" w:line="20" w:lineRule="exact"/>
              <w:rPr>
                <w:sz w:val="1"/>
                <w:szCs w:val="1"/>
                <w:color w:val="auto"/>
              </w:rPr>
            </w:pPr>
          </w:p>
        </w:tc>
        <w:tc>
          <w:tcPr>
            <w:tcW w:w="440" w:type="dxa"/>
            <w:vAlign w:val="bottom"/>
            <w:tcBorders>
              <w:top w:val="single" w:sz="8" w:color="231F20"/>
              <w:bottom w:val="single" w:sz="8" w:color="231F2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Borders>
              <w:top w:val="single" w:sz="8" w:color="231F20"/>
              <w:bottom w:val="single" w:sz="8" w:color="231F20"/>
            </w:tcBorders>
          </w:tcPr>
          <w:p>
            <w:pPr>
              <w:spacing w:after="0" w:line="20" w:lineRule="exact"/>
              <w:rPr>
                <w:sz w:val="1"/>
                <w:szCs w:val="1"/>
                <w:color w:val="auto"/>
              </w:rPr>
            </w:pPr>
          </w:p>
        </w:tc>
        <w:tc>
          <w:tcPr>
            <w:tcW w:w="156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720" w:type="dxa"/>
            <w:vAlign w:val="bottom"/>
            <w:tcBorders>
              <w:top w:val="single" w:sz="8" w:color="231F20"/>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1180" w:type="dxa"/>
            <w:vAlign w:val="bottom"/>
            <w:tcBorders>
              <w:top w:val="single" w:sz="8" w:color="231F20"/>
              <w:bottom w:val="single" w:sz="8" w:color="231F20"/>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-1052830</wp:posOffset>
            </wp:positionV>
            <wp:extent cx="10477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51">
                      <a:extLst>
                        <a:ext uri="{28A0092B-C50C-407E-A947-70E740481C1C}"/>
                      </a:extLst>
                    </a:blip>
                    <a:srcRect/>
                    <a:stretch>
                      <a:fillRect/>
                    </a:stretch>
                  </pic:blipFill>
                  <pic:spPr bwMode="auto">
                    <a:xfrm>
                      <a:off x="0" y="0"/>
                      <a:ext cx="104775" cy="38100"/>
                    </a:xfrm>
                    <a:prstGeom prst="rect">
                      <a:avLst/>
                    </a:prstGeom>
                    <a:noFill/>
                  </pic:spPr>
                </pic:pic>
              </a:graphicData>
            </a:graphic>
          </wp:anchor>
        </w:drawing>
        <w:drawing>
          <wp:anchor simplePos="0" relativeHeight="251657728" behindDoc="1" locked="0" layoutInCell="0" allowOverlap="1">
            <wp:simplePos x="0" y="0"/>
            <wp:positionH relativeFrom="column">
              <wp:posOffset>3422650</wp:posOffset>
            </wp:positionH>
            <wp:positionV relativeFrom="paragraph">
              <wp:posOffset>-1052830</wp:posOffset>
            </wp:positionV>
            <wp:extent cx="3413760"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52">
                      <a:extLst>
                        <a:ext uri="{28A0092B-C50C-407E-A947-70E740481C1C}"/>
                      </a:extLst>
                    </a:blip>
                    <a:srcRect/>
                    <a:stretch>
                      <a:fillRect/>
                    </a:stretch>
                  </pic:blipFill>
                  <pic:spPr bwMode="auto">
                    <a:xfrm>
                      <a:off x="0" y="0"/>
                      <a:ext cx="3413760" cy="38100"/>
                    </a:xfrm>
                    <a:prstGeom prst="rect">
                      <a:avLst/>
                    </a:prstGeom>
                    <a:noFill/>
                  </pic:spPr>
                </pic:pic>
              </a:graphicData>
            </a:graphic>
          </wp:anchor>
        </w:drawing>
      </w:r>
    </w:p>
    <w:p>
      <w:pPr>
        <w:spacing w:after="0" w:line="81"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weighted average fair value of the Bonus Options and stock options to purchase common stock granted during the years ended December 31, 2025 and 2024 was $12.18 and $22.74, respectively.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Fair Value of Stock Options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estimated grant date fair value of stock options was calculated using the Black-Scholes option-pricing model, based on the following assumptions:</w:t>
      </w:r>
    </w:p>
    <w:p>
      <w:pPr>
        <w:spacing w:after="0" w:line="64" w:lineRule="exact"/>
        <w:rPr>
          <w:sz w:val="20"/>
          <w:szCs w:val="20"/>
          <w:color w:val="auto"/>
        </w:rPr>
      </w:pPr>
    </w:p>
    <w:p>
      <w:pPr>
        <w:ind w:left="840" w:hanging="350"/>
        <w:spacing w:after="0" w:line="276" w:lineRule="auto"/>
        <w:tabs>
          <w:tab w:leader="none" w:pos="840" w:val="left"/>
        </w:tabs>
        <w:numPr>
          <w:ilvl w:val="0"/>
          <w:numId w:val="58"/>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Expected Term</w:t>
      </w:r>
      <w:r>
        <w:rPr>
          <w:rFonts w:ascii="Times New Roman" w:cs="Times New Roman" w:eastAsia="Times New Roman" w:hAnsi="Times New Roman"/>
          <w:sz w:val="20"/>
          <w:szCs w:val="20"/>
          <w:color w:val="231F20"/>
        </w:rPr>
        <w:t>: The expected term represents the period that the options granted are expected to be outstanding using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simplified method (based on the mid-point between the vesting date and the end of the contractual term).</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F-25</w:t>
      </w:r>
    </w:p>
    <w:p>
      <w:pPr>
        <w:sectPr>
          <w:pgSz w:w="11880" w:h="15480" w:orient="portrait"/>
          <w:cols w:equalWidth="0" w:num="1">
            <w:col w:w="10800"/>
          </w:cols>
          <w:pgMar w:left="540" w:top="750" w:right="540" w:bottom="6" w:gutter="0" w:footer="0" w:header="0"/>
          <w:type w:val="continuous"/>
        </w:sectPr>
      </w:pPr>
    </w:p>
    <w:bookmarkStart w:id="114" w:name="page115"/>
    <w:bookmarkEnd w:id="114"/>
    <w:p>
      <w:pPr>
        <w:ind w:left="840" w:hanging="350"/>
        <w:spacing w:after="0" w:line="276" w:lineRule="auto"/>
        <w:tabs>
          <w:tab w:leader="none" w:pos="84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Expected Volatility</w:t>
      </w:r>
      <w:r>
        <w:rPr>
          <w:rFonts w:ascii="Times New Roman" w:cs="Times New Roman" w:eastAsia="Times New Roman" w:hAnsi="Times New Roman"/>
          <w:sz w:val="20"/>
          <w:szCs w:val="20"/>
          <w:color w:val="231F20"/>
        </w:rPr>
        <w:t>: The Company uses an average historical stock price of selected comparable companies over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expected term of the awards as the Company does not have sufficient trading history for its common stock.</w:t>
      </w:r>
    </w:p>
    <w:p>
      <w:pPr>
        <w:spacing w:after="0" w:line="64" w:lineRule="exact"/>
        <w:rPr>
          <w:rFonts w:ascii="Arial" w:cs="Arial" w:eastAsia="Arial" w:hAnsi="Arial"/>
          <w:sz w:val="20"/>
          <w:szCs w:val="20"/>
          <w:color w:val="231F20"/>
        </w:rPr>
      </w:pPr>
    </w:p>
    <w:p>
      <w:pPr>
        <w:ind w:left="840" w:hanging="350"/>
        <w:spacing w:after="0" w:line="276" w:lineRule="auto"/>
        <w:tabs>
          <w:tab w:leader="none" w:pos="84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Risk-Free Interest Rate</w:t>
      </w:r>
      <w:r>
        <w:rPr>
          <w:rFonts w:ascii="Times New Roman" w:cs="Times New Roman" w:eastAsia="Times New Roman" w:hAnsi="Times New Roman"/>
          <w:sz w:val="20"/>
          <w:szCs w:val="20"/>
          <w:color w:val="231F20"/>
        </w:rPr>
        <w:t>: The Company uses the risk-free interest rate over the expected term of the options based on the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constant maturity rate of U.S. Treasury securities with similar maturities as of the date of the grant.</w:t>
      </w:r>
    </w:p>
    <w:p>
      <w:pPr>
        <w:spacing w:after="0" w:line="64" w:lineRule="exact"/>
        <w:rPr>
          <w:rFonts w:ascii="Arial" w:cs="Arial" w:eastAsia="Arial" w:hAnsi="Arial"/>
          <w:sz w:val="20"/>
          <w:szCs w:val="20"/>
          <w:color w:val="231F20"/>
        </w:rPr>
      </w:pPr>
    </w:p>
    <w:p>
      <w:pPr>
        <w:jc w:val="both"/>
        <w:ind w:left="840" w:hanging="350"/>
        <w:spacing w:after="0" w:line="258" w:lineRule="auto"/>
        <w:tabs>
          <w:tab w:leader="none" w:pos="840" w:val="left"/>
        </w:tabs>
        <w:numPr>
          <w:ilvl w:val="0"/>
          <w:numId w:val="59"/>
        </w:numPr>
        <w:rPr>
          <w:rFonts w:ascii="Arial" w:cs="Arial" w:eastAsia="Arial" w:hAnsi="Arial"/>
          <w:sz w:val="20"/>
          <w:szCs w:val="20"/>
          <w:color w:val="231F20"/>
        </w:rPr>
      </w:pPr>
      <w:r>
        <w:rPr>
          <w:rFonts w:ascii="Times New Roman" w:cs="Times New Roman" w:eastAsia="Times New Roman" w:hAnsi="Times New Roman"/>
          <w:sz w:val="20"/>
          <w:szCs w:val="20"/>
          <w:i w:val="1"/>
          <w:iCs w:val="1"/>
          <w:color w:val="231F20"/>
        </w:rPr>
        <w:t>Expected Dividend Yield</w:t>
      </w:r>
      <w:r>
        <w:rPr>
          <w:rFonts w:ascii="Times New Roman" w:cs="Times New Roman" w:eastAsia="Times New Roman" w:hAnsi="Times New Roman"/>
          <w:sz w:val="20"/>
          <w:szCs w:val="20"/>
          <w:color w:val="231F20"/>
        </w:rPr>
        <w:t>: The Company is currently subject to restrictions on the payment of dividends (see Note 8 –</w:t>
      </w:r>
      <w:r>
        <w:rPr>
          <w:rFonts w:ascii="Times New Roman" w:cs="Times New Roman" w:eastAsia="Times New Roman" w:hAnsi="Times New Roman"/>
          <w:sz w:val="20"/>
          <w:szCs w:val="20"/>
          <w:i w:val="1"/>
          <w:iCs w:val="1"/>
          <w:color w:val="231F20"/>
        </w:rPr>
        <w:t xml:space="preserve"> Debt</w:t>
      </w:r>
      <w:r>
        <w:rPr>
          <w:rFonts w:ascii="Times New Roman" w:cs="Times New Roman" w:eastAsia="Times New Roman" w:hAnsi="Times New Roman"/>
          <w:sz w:val="20"/>
          <w:szCs w:val="20"/>
          <w:color w:val="231F20"/>
        </w:rPr>
        <w:t>)</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and no dividends have been declared as of December 31, 2025 and 2024. The Company has not paid and does not anticipate paying any dividends in the near future. Therefore, the expected dividend yield was zero.</w:t>
      </w:r>
    </w:p>
    <w:p>
      <w:pPr>
        <w:spacing w:after="0" w:line="6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The fair value of each option grant was estimated on the grant date with the following weighted average assumptions for the years indicated:</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280" w:type="dxa"/>
            <w:vAlign w:val="bottom"/>
            <w:gridSpan w:val="3"/>
          </w:tcPr>
          <w:p>
            <w:pPr>
              <w:ind w:left="20"/>
              <w:spacing w:after="0"/>
              <w:rPr>
                <w:sz w:val="20"/>
                <w:szCs w:val="20"/>
                <w:color w:val="auto"/>
              </w:rPr>
            </w:pPr>
            <w:r>
              <w:rPr>
                <w:rFonts w:ascii="Times New Roman" w:cs="Times New Roman" w:eastAsia="Times New Roman" w:hAnsi="Times New Roman"/>
                <w:sz w:val="20"/>
                <w:szCs w:val="20"/>
                <w:b w:val="1"/>
                <w:bCs w:val="1"/>
                <w:color w:val="231F20"/>
                <w:w w:val="99"/>
              </w:rPr>
              <w:t>Year Ended December 31,</w:t>
            </w:r>
          </w:p>
        </w:tc>
        <w:tc>
          <w:tcPr>
            <w:tcW w:w="1360" w:type="dxa"/>
            <w:vAlign w:val="bottom"/>
          </w:tcPr>
          <w:p>
            <w:pPr>
              <w:spacing w:after="0"/>
              <w:rPr>
                <w:sz w:val="22"/>
                <w:szCs w:val="22"/>
                <w:color w:val="auto"/>
              </w:rPr>
            </w:pPr>
          </w:p>
        </w:tc>
        <w:tc>
          <w:tcPr>
            <w:tcW w:w="220" w:type="dxa"/>
            <w:vAlign w:val="bottom"/>
            <w:tcBorders>
              <w:bottom w:val="single" w:sz="8" w:color="231F20"/>
            </w:tcBorders>
          </w:tcPr>
          <w:p>
            <w:pPr>
              <w:spacing w:after="0"/>
              <w:rPr>
                <w:sz w:val="22"/>
                <w:szCs w:val="22"/>
                <w:color w:val="auto"/>
              </w:rPr>
            </w:pPr>
          </w:p>
        </w:tc>
      </w:tr>
      <w:tr>
        <w:trPr>
          <w:trHeight w:val="278"/>
        </w:trPr>
        <w:tc>
          <w:tcPr>
            <w:tcW w:w="6940" w:type="dxa"/>
            <w:vAlign w:val="bottom"/>
            <w:gridSpan w:val="2"/>
          </w:tcPr>
          <w:p>
            <w:pPr>
              <w:ind w:left="6520"/>
              <w:spacing w:after="0"/>
              <w:rPr>
                <w:sz w:val="20"/>
                <w:szCs w:val="20"/>
                <w:color w:val="auto"/>
              </w:rPr>
            </w:pPr>
            <w:r>
              <w:rPr>
                <w:rFonts w:ascii="Times New Roman" w:cs="Times New Roman" w:eastAsia="Times New Roman" w:hAnsi="Times New Roman"/>
                <w:sz w:val="20"/>
                <w:szCs w:val="20"/>
                <w:b w:val="1"/>
                <w:bCs w:val="1"/>
                <w:color w:val="231F20"/>
                <w:w w:val="99"/>
              </w:rPr>
              <w:t>2025</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60" w:type="dxa"/>
            <w:vAlign w:val="bottom"/>
          </w:tcPr>
          <w:p>
            <w:pPr>
              <w:jc w:val="right"/>
              <w:ind w:right="840"/>
              <w:spacing w:after="0"/>
              <w:rPr>
                <w:sz w:val="20"/>
                <w:szCs w:val="20"/>
                <w:color w:val="auto"/>
              </w:rPr>
            </w:pPr>
            <w:r>
              <w:rPr>
                <w:rFonts w:ascii="Times New Roman" w:cs="Times New Roman" w:eastAsia="Times New Roman" w:hAnsi="Times New Roman"/>
                <w:sz w:val="20"/>
                <w:szCs w:val="20"/>
                <w:b w:val="1"/>
                <w:bCs w:val="1"/>
                <w:color w:val="231F20"/>
                <w:w w:val="99"/>
              </w:rPr>
              <w:t>2024</w:t>
            </w:r>
          </w:p>
        </w:tc>
        <w:tc>
          <w:tcPr>
            <w:tcW w:w="220" w:type="dxa"/>
            <w:vAlign w:val="bottom"/>
          </w:tcPr>
          <w:p>
            <w:pPr>
              <w:spacing w:after="0"/>
              <w:rPr>
                <w:sz w:val="24"/>
                <w:szCs w:val="24"/>
                <w:color w:val="auto"/>
              </w:rPr>
            </w:pPr>
          </w:p>
        </w:tc>
      </w:tr>
      <w:tr>
        <w:trPr>
          <w:trHeight w:val="278"/>
        </w:trPr>
        <w:tc>
          <w:tcPr>
            <w:tcW w:w="558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Expected term (in years)</w:t>
            </w:r>
          </w:p>
        </w:tc>
        <w:tc>
          <w:tcPr>
            <w:tcW w:w="1360" w:type="dxa"/>
            <w:vAlign w:val="bottom"/>
            <w:tcBorders>
              <w:top w:val="single" w:sz="8" w:color="231F20"/>
            </w:tcBorders>
            <w:shd w:val="clear" w:color="auto" w:fill="E3E4E5"/>
          </w:tcPr>
          <w:p>
            <w:pPr>
              <w:spacing w:after="0"/>
              <w:rPr>
                <w:sz w:val="24"/>
                <w:szCs w:val="24"/>
                <w:color w:val="auto"/>
              </w:rPr>
            </w:pPr>
          </w:p>
        </w:tc>
        <w:tc>
          <w:tcPr>
            <w:tcW w:w="1140" w:type="dxa"/>
            <w:vAlign w:val="bottom"/>
            <w:tcBorders>
              <w:top w:val="single" w:sz="8" w:color="231F20"/>
            </w:tcBorders>
            <w:shd w:val="clear" w:color="auto" w:fill="E3E4E5"/>
          </w:tcPr>
          <w:p>
            <w:pPr>
              <w:jc w:val="right"/>
              <w:ind w:right="140"/>
              <w:spacing w:after="0"/>
              <w:rPr>
                <w:sz w:val="20"/>
                <w:szCs w:val="20"/>
                <w:color w:val="auto"/>
              </w:rPr>
            </w:pPr>
            <w:r>
              <w:rPr>
                <w:rFonts w:ascii="Times New Roman" w:cs="Times New Roman" w:eastAsia="Times New Roman" w:hAnsi="Times New Roman"/>
                <w:sz w:val="20"/>
                <w:szCs w:val="20"/>
                <w:color w:val="414142"/>
              </w:rPr>
              <w:t>5.59</w:t>
            </w:r>
          </w:p>
        </w:tc>
        <w:tc>
          <w:tcPr>
            <w:tcW w:w="240" w:type="dxa"/>
            <w:vAlign w:val="bottom"/>
            <w:tcBorders>
              <w:top w:val="single" w:sz="8" w:color="E3E4E5"/>
            </w:tcBorders>
            <w:shd w:val="clear" w:color="auto" w:fill="E3E4E5"/>
          </w:tcPr>
          <w:p>
            <w:pPr>
              <w:spacing w:after="0"/>
              <w:rPr>
                <w:sz w:val="24"/>
                <w:szCs w:val="24"/>
                <w:color w:val="auto"/>
              </w:rPr>
            </w:pPr>
          </w:p>
        </w:tc>
        <w:tc>
          <w:tcPr>
            <w:tcW w:w="900" w:type="dxa"/>
            <w:vAlign w:val="bottom"/>
            <w:tcBorders>
              <w:top w:val="single" w:sz="8" w:color="231F20"/>
            </w:tcBorders>
            <w:shd w:val="clear" w:color="auto" w:fill="E3E4E5"/>
          </w:tcPr>
          <w:p>
            <w:pPr>
              <w:spacing w:after="0"/>
              <w:rPr>
                <w:sz w:val="24"/>
                <w:szCs w:val="24"/>
                <w:color w:val="auto"/>
              </w:rPr>
            </w:pPr>
          </w:p>
        </w:tc>
        <w:tc>
          <w:tcPr>
            <w:tcW w:w="13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5.85</w:t>
            </w:r>
          </w:p>
        </w:tc>
        <w:tc>
          <w:tcPr>
            <w:tcW w:w="220" w:type="dxa"/>
            <w:vAlign w:val="bottom"/>
            <w:tcBorders>
              <w:top w:val="single" w:sz="8" w:color="231F20"/>
            </w:tcBorders>
            <w:shd w:val="clear" w:color="auto" w:fill="E3E4E5"/>
          </w:tcPr>
          <w:p>
            <w:pPr>
              <w:spacing w:after="0"/>
              <w:rPr>
                <w:sz w:val="24"/>
                <w:szCs w:val="24"/>
                <w:color w:val="auto"/>
              </w:rPr>
            </w:pPr>
          </w:p>
        </w:tc>
      </w:tr>
      <w:tr>
        <w:trPr>
          <w:trHeight w:val="283"/>
        </w:trPr>
        <w:tc>
          <w:tcPr>
            <w:tcW w:w="5580" w:type="dxa"/>
            <w:vAlign w:val="bottom"/>
          </w:tcPr>
          <w:p>
            <w:pPr>
              <w:spacing w:after="0"/>
              <w:rPr>
                <w:sz w:val="20"/>
                <w:szCs w:val="20"/>
                <w:color w:val="auto"/>
              </w:rPr>
            </w:pPr>
            <w:r>
              <w:rPr>
                <w:rFonts w:ascii="Times New Roman" w:cs="Times New Roman" w:eastAsia="Times New Roman" w:hAnsi="Times New Roman"/>
                <w:sz w:val="20"/>
                <w:szCs w:val="20"/>
                <w:color w:val="231F20"/>
              </w:rPr>
              <w:t>Expected volatility</w:t>
            </w:r>
          </w:p>
        </w:tc>
        <w:tc>
          <w:tcPr>
            <w:tcW w:w="13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88.6%</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78.1%</w:t>
            </w:r>
          </w:p>
        </w:tc>
      </w:tr>
      <w:tr>
        <w:trPr>
          <w:trHeight w:val="283"/>
        </w:trPr>
        <w:tc>
          <w:tcPr>
            <w:tcW w:w="6940" w:type="dxa"/>
            <w:vAlign w:val="bottom"/>
            <w:gridSpan w:val="2"/>
            <w:shd w:val="clear" w:color="auto" w:fill="E3E4E5"/>
          </w:tcPr>
          <w:p>
            <w:pPr>
              <w:spacing w:after="0" w:line="230" w:lineRule="exact"/>
              <w:rPr>
                <w:sz w:val="20"/>
                <w:szCs w:val="20"/>
                <w:color w:val="auto"/>
              </w:rPr>
            </w:pPr>
            <w:r>
              <w:rPr>
                <w:rFonts w:ascii="Times New Roman" w:cs="Times New Roman" w:eastAsia="Times New Roman" w:hAnsi="Times New Roman"/>
                <w:sz w:val="20"/>
                <w:szCs w:val="20"/>
                <w:color w:val="414142"/>
              </w:rPr>
              <w:t>Risk</w:t>
            </w:r>
            <w:r>
              <w:rPr>
                <w:rFonts w:ascii="MS Gothic" w:cs="MS Gothic" w:eastAsia="MS Gothic" w:hAnsi="MS Gothic"/>
                <w:sz w:val="20"/>
                <w:szCs w:val="20"/>
                <w:color w:val="414142"/>
              </w:rPr>
              <w:t>̻</w:t>
            </w:r>
            <w:r>
              <w:rPr>
                <w:rFonts w:ascii="Times New Roman" w:cs="Times New Roman" w:eastAsia="Times New Roman" w:hAnsi="Times New Roman"/>
                <w:sz w:val="20"/>
                <w:szCs w:val="20"/>
                <w:color w:val="414142"/>
              </w:rPr>
              <w:t>free rate</w:t>
            </w:r>
          </w:p>
        </w:tc>
        <w:tc>
          <w:tcPr>
            <w:tcW w:w="11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4.41%</w:t>
            </w:r>
          </w:p>
        </w:tc>
        <w:tc>
          <w:tcPr>
            <w:tcW w:w="240" w:type="dxa"/>
            <w:vAlign w:val="bottom"/>
            <w:shd w:val="clear" w:color="auto" w:fill="E3E4E5"/>
          </w:tcPr>
          <w:p>
            <w:pPr>
              <w:spacing w:after="0"/>
              <w:rPr>
                <w:sz w:val="24"/>
                <w:szCs w:val="24"/>
                <w:color w:val="auto"/>
              </w:rPr>
            </w:pPr>
          </w:p>
        </w:tc>
        <w:tc>
          <w:tcPr>
            <w:tcW w:w="900" w:type="dxa"/>
            <w:vAlign w:val="bottom"/>
            <w:shd w:val="clear" w:color="auto" w:fill="E3E4E5"/>
          </w:tcPr>
          <w:p>
            <w:pPr>
              <w:spacing w:after="0"/>
              <w:rPr>
                <w:sz w:val="24"/>
                <w:szCs w:val="24"/>
                <w:color w:val="auto"/>
              </w:rPr>
            </w:pPr>
          </w:p>
        </w:tc>
        <w:tc>
          <w:tcPr>
            <w:tcW w:w="158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14142"/>
              </w:rPr>
              <w:t>3.86%</w:t>
            </w:r>
          </w:p>
        </w:tc>
      </w:tr>
      <w:tr>
        <w:trPr>
          <w:trHeight w:val="299"/>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Expected dividend yield</w:t>
            </w:r>
          </w:p>
        </w:tc>
        <w:tc>
          <w:tcPr>
            <w:tcW w:w="2280" w:type="dxa"/>
            <w:vAlign w:val="bottom"/>
            <w:gridSpan w:val="3"/>
          </w:tcPr>
          <w:p>
            <w:pPr>
              <w:jc w:val="right"/>
              <w:ind w:right="1200"/>
              <w:spacing w:after="0"/>
              <w:rPr>
                <w:sz w:val="20"/>
                <w:szCs w:val="20"/>
                <w:color w:val="auto"/>
              </w:rPr>
            </w:pPr>
            <w:r>
              <w:rPr>
                <w:rFonts w:ascii="Times New Roman" w:cs="Times New Roman" w:eastAsia="Times New Roman" w:hAnsi="Times New Roman"/>
                <w:sz w:val="20"/>
                <w:szCs w:val="20"/>
                <w:color w:val="231F20"/>
              </w:rPr>
              <w:t>—%</w:t>
            </w:r>
          </w:p>
        </w:tc>
        <w:tc>
          <w:tcPr>
            <w:tcW w:w="15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3536315</wp:posOffset>
            </wp:positionH>
            <wp:positionV relativeFrom="paragraph">
              <wp:posOffset>-939165</wp:posOffset>
            </wp:positionV>
            <wp:extent cx="3198495" cy="3492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53">
                      <a:extLst>
                        <a:ext uri="{28A0092B-C50C-407E-A947-70E740481C1C}"/>
                      </a:extLst>
                    </a:blip>
                    <a:srcRect/>
                    <a:stretch>
                      <a:fillRect/>
                    </a:stretch>
                  </pic:blipFill>
                  <pic:spPr bwMode="auto">
                    <a:xfrm>
                      <a:off x="0" y="0"/>
                      <a:ext cx="3198495" cy="34925"/>
                    </a:xfrm>
                    <a:prstGeom prst="rect">
                      <a:avLst/>
                    </a:prstGeom>
                    <a:noFill/>
                  </pic:spPr>
                </pic:pic>
              </a:graphicData>
            </a:graphic>
          </wp:anchor>
        </w:drawing>
        <w:drawing>
          <wp:anchor simplePos="0" relativeHeight="251657728" behindDoc="1" locked="0" layoutInCell="0" allowOverlap="1">
            <wp:simplePos x="0" y="0"/>
            <wp:positionH relativeFrom="column">
              <wp:posOffset>3536315</wp:posOffset>
            </wp:positionH>
            <wp:positionV relativeFrom="paragraph">
              <wp:posOffset>-740410</wp:posOffset>
            </wp:positionV>
            <wp:extent cx="319849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54">
                      <a:extLst>
                        <a:ext uri="{28A0092B-C50C-407E-A947-70E740481C1C}"/>
                      </a:extLst>
                    </a:blip>
                    <a:srcRect/>
                    <a:stretch>
                      <a:fillRect/>
                    </a:stretch>
                  </pic:blipFill>
                  <pic:spPr bwMode="auto">
                    <a:xfrm>
                      <a:off x="0" y="0"/>
                      <a:ext cx="3198495" cy="25400"/>
                    </a:xfrm>
                    <a:prstGeom prst="rect">
                      <a:avLst/>
                    </a:prstGeom>
                    <a:noFill/>
                  </pic:spPr>
                </pic:pic>
              </a:graphicData>
            </a:graphic>
          </wp:anchor>
        </w:drawing>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Restricted Stock Units</w:t>
      </w:r>
    </w:p>
    <w:p>
      <w:pPr>
        <w:spacing w:after="0" w:line="12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Restricted stock unit activity during the year ended December 31, 2025 was (in thousands, except weighted average grant date fair value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80" w:type="dxa"/>
            <w:vAlign w:val="bottom"/>
          </w:tcPr>
          <w:p>
            <w:pPr>
              <w:jc w:val="right"/>
              <w:ind w:right="600"/>
              <w:spacing w:after="0"/>
              <w:rPr>
                <w:sz w:val="20"/>
                <w:szCs w:val="20"/>
                <w:color w:val="auto"/>
              </w:rPr>
            </w:pPr>
            <w:r>
              <w:rPr>
                <w:rFonts w:ascii="Times New Roman" w:cs="Times New Roman" w:eastAsia="Times New Roman" w:hAnsi="Times New Roman"/>
                <w:sz w:val="20"/>
                <w:szCs w:val="20"/>
                <w:b w:val="1"/>
                <w:bCs w:val="1"/>
                <w:color w:val="231F20"/>
              </w:rPr>
              <w:t>Weighted Average</w:t>
            </w:r>
          </w:p>
        </w:tc>
        <w:tc>
          <w:tcPr>
            <w:tcW w:w="60" w:type="dxa"/>
            <w:vAlign w:val="bottom"/>
          </w:tcPr>
          <w:p>
            <w:pPr>
              <w:spacing w:after="0"/>
              <w:rPr>
                <w:sz w:val="20"/>
                <w:szCs w:val="20"/>
                <w:color w:val="auto"/>
              </w:rPr>
            </w:pPr>
          </w:p>
        </w:tc>
      </w:tr>
      <w:tr>
        <w:trPr>
          <w:trHeight w:val="254"/>
        </w:trPr>
        <w:tc>
          <w:tcPr>
            <w:tcW w:w="4960" w:type="dxa"/>
            <w:vAlign w:val="bottom"/>
            <w:tcBorders>
              <w:bottom w:val="single" w:sz="8" w:color="231F20"/>
            </w:tcBorders>
          </w:tcPr>
          <w:p>
            <w:pPr>
              <w:spacing w:after="0"/>
              <w:rPr>
                <w:sz w:val="22"/>
                <w:szCs w:val="22"/>
                <w:color w:val="auto"/>
              </w:rPr>
            </w:pPr>
          </w:p>
        </w:tc>
        <w:tc>
          <w:tcPr>
            <w:tcW w:w="120" w:type="dxa"/>
            <w:vAlign w:val="bottom"/>
            <w:tcBorders>
              <w:bottom w:val="single" w:sz="8" w:color="E3E4E5"/>
            </w:tcBorders>
          </w:tcPr>
          <w:p>
            <w:pPr>
              <w:spacing w:after="0"/>
              <w:rPr>
                <w:sz w:val="22"/>
                <w:szCs w:val="22"/>
                <w:color w:val="auto"/>
              </w:rPr>
            </w:pPr>
          </w:p>
        </w:tc>
        <w:tc>
          <w:tcPr>
            <w:tcW w:w="2080" w:type="dxa"/>
            <w:vAlign w:val="bottom"/>
            <w:tcBorders>
              <w:bottom w:val="single" w:sz="8" w:color="231F20"/>
            </w:tcBorders>
          </w:tcPr>
          <w:p>
            <w:pPr>
              <w:ind w:left="440"/>
              <w:spacing w:after="0"/>
              <w:rPr>
                <w:sz w:val="20"/>
                <w:szCs w:val="20"/>
                <w:color w:val="auto"/>
              </w:rPr>
            </w:pPr>
            <w:r>
              <w:rPr>
                <w:rFonts w:ascii="Times New Roman" w:cs="Times New Roman" w:eastAsia="Times New Roman" w:hAnsi="Times New Roman"/>
                <w:sz w:val="20"/>
                <w:szCs w:val="20"/>
                <w:b w:val="1"/>
                <w:bCs w:val="1"/>
                <w:color w:val="231F20"/>
              </w:rPr>
              <w:t>Number of Shares</w:t>
            </w:r>
          </w:p>
        </w:tc>
        <w:tc>
          <w:tcPr>
            <w:tcW w:w="400" w:type="dxa"/>
            <w:vAlign w:val="bottom"/>
            <w:tcBorders>
              <w:bottom w:val="single" w:sz="8" w:color="231F20"/>
            </w:tcBorders>
          </w:tcPr>
          <w:p>
            <w:pPr>
              <w:spacing w:after="0"/>
              <w:rPr>
                <w:sz w:val="22"/>
                <w:szCs w:val="22"/>
                <w:color w:val="auto"/>
              </w:rPr>
            </w:pPr>
          </w:p>
        </w:tc>
        <w:tc>
          <w:tcPr>
            <w:tcW w:w="100" w:type="dxa"/>
            <w:vAlign w:val="bottom"/>
            <w:tcBorders>
              <w:bottom w:val="single" w:sz="8" w:color="E3E4E5"/>
            </w:tcBorders>
          </w:tcPr>
          <w:p>
            <w:pPr>
              <w:spacing w:after="0"/>
              <w:rPr>
                <w:sz w:val="22"/>
                <w:szCs w:val="22"/>
                <w:color w:val="auto"/>
              </w:rPr>
            </w:pPr>
          </w:p>
        </w:tc>
        <w:tc>
          <w:tcPr>
            <w:tcW w:w="100" w:type="dxa"/>
            <w:vAlign w:val="bottom"/>
            <w:tcBorders>
              <w:bottom w:val="single" w:sz="8" w:color="E3E4E5"/>
            </w:tcBorders>
          </w:tcPr>
          <w:p>
            <w:pPr>
              <w:spacing w:after="0"/>
              <w:rPr>
                <w:sz w:val="22"/>
                <w:szCs w:val="22"/>
                <w:color w:val="auto"/>
              </w:rPr>
            </w:pPr>
          </w:p>
        </w:tc>
        <w:tc>
          <w:tcPr>
            <w:tcW w:w="2980" w:type="dxa"/>
            <w:vAlign w:val="bottom"/>
            <w:tcBorders>
              <w:bottom w:val="single" w:sz="8" w:color="231F20"/>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Grant Date Fair Value Per Share</w:t>
            </w:r>
          </w:p>
        </w:tc>
        <w:tc>
          <w:tcPr>
            <w:tcW w:w="60" w:type="dxa"/>
            <w:vAlign w:val="bottom"/>
            <w:tcBorders>
              <w:bottom w:val="single" w:sz="8" w:color="E3E4E5"/>
            </w:tcBorders>
          </w:tcPr>
          <w:p>
            <w:pPr>
              <w:spacing w:after="0"/>
              <w:rPr>
                <w:sz w:val="22"/>
                <w:szCs w:val="22"/>
                <w:color w:val="auto"/>
              </w:rPr>
            </w:pPr>
          </w:p>
        </w:tc>
      </w:tr>
      <w:tr>
        <w:trPr>
          <w:trHeight w:val="269"/>
        </w:trPr>
        <w:tc>
          <w:tcPr>
            <w:tcW w:w="4960" w:type="dxa"/>
            <w:vAlign w:val="bottom"/>
            <w:shd w:val="clear" w:color="auto" w:fill="E3E4E5"/>
          </w:tcPr>
          <w:p>
            <w:pPr>
              <w:spacing w:after="0" w:line="230" w:lineRule="exact"/>
              <w:rPr>
                <w:sz w:val="20"/>
                <w:szCs w:val="20"/>
                <w:color w:val="auto"/>
              </w:rPr>
            </w:pPr>
            <w:r>
              <w:rPr>
                <w:rFonts w:ascii="Times New Roman" w:cs="Times New Roman" w:eastAsia="Times New Roman" w:hAnsi="Times New Roman"/>
                <w:sz w:val="20"/>
                <w:szCs w:val="20"/>
                <w:b w:val="1"/>
                <w:bCs w:val="1"/>
                <w:color w:val="414142"/>
              </w:rPr>
              <w:t xml:space="preserve">Outstanding </w:t>
            </w:r>
            <w:r>
              <w:rPr>
                <w:rFonts w:ascii="MS Gothic" w:cs="MS Gothic" w:eastAsia="MS Gothic" w:hAnsi="MS Gothic"/>
                <w:sz w:val="20"/>
                <w:szCs w:val="20"/>
                <w:b w:val="1"/>
                <w:bCs w:val="1"/>
                <w:color w:val="414142"/>
              </w:rPr>
              <w:t>̻</w:t>
            </w:r>
            <w:r>
              <w:rPr>
                <w:rFonts w:ascii="Times New Roman" w:cs="Times New Roman" w:eastAsia="Times New Roman" w:hAnsi="Times New Roman"/>
                <w:sz w:val="20"/>
                <w:szCs w:val="20"/>
                <w:b w:val="1"/>
                <w:bCs w:val="1"/>
                <w:color w:val="414142"/>
              </w:rPr>
              <w:t xml:space="preserve"> January 1, 2025</w:t>
            </w:r>
          </w:p>
        </w:tc>
        <w:tc>
          <w:tcPr>
            <w:tcW w:w="120" w:type="dxa"/>
            <w:vAlign w:val="bottom"/>
            <w:shd w:val="clear" w:color="auto" w:fill="E3E4E5"/>
          </w:tcPr>
          <w:p>
            <w:pPr>
              <w:spacing w:after="0"/>
              <w:rPr>
                <w:sz w:val="23"/>
                <w:szCs w:val="23"/>
                <w:color w:val="auto"/>
              </w:rPr>
            </w:pPr>
          </w:p>
        </w:tc>
        <w:tc>
          <w:tcPr>
            <w:tcW w:w="2080" w:type="dxa"/>
            <w:vAlign w:val="bottom"/>
            <w:shd w:val="clear" w:color="auto" w:fill="E3E4E5"/>
          </w:tcPr>
          <w:p>
            <w:pPr>
              <w:spacing w:after="0"/>
              <w:rPr>
                <w:sz w:val="23"/>
                <w:szCs w:val="23"/>
                <w:color w:val="auto"/>
              </w:rPr>
            </w:pPr>
          </w:p>
        </w:tc>
        <w:tc>
          <w:tcPr>
            <w:tcW w:w="4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188</w:t>
            </w:r>
          </w:p>
        </w:tc>
        <w:tc>
          <w:tcPr>
            <w:tcW w:w="100" w:type="dxa"/>
            <w:vAlign w:val="bottom"/>
            <w:shd w:val="clear" w:color="auto" w:fill="E3E4E5"/>
          </w:tcPr>
          <w:p>
            <w:pPr>
              <w:spacing w:after="0"/>
              <w:rPr>
                <w:sz w:val="23"/>
                <w:szCs w:val="23"/>
                <w:color w:val="auto"/>
              </w:rPr>
            </w:pPr>
          </w:p>
        </w:tc>
        <w:tc>
          <w:tcPr>
            <w:tcW w:w="100" w:type="dxa"/>
            <w:vAlign w:val="bottom"/>
            <w:shd w:val="clear" w:color="auto" w:fill="E3E4E5"/>
          </w:tcPr>
          <w:p>
            <w:pPr>
              <w:spacing w:after="0"/>
              <w:rPr>
                <w:sz w:val="23"/>
                <w:szCs w:val="23"/>
                <w:color w:val="auto"/>
              </w:rPr>
            </w:pPr>
          </w:p>
        </w:tc>
        <w:tc>
          <w:tcPr>
            <w:tcW w:w="400" w:type="dxa"/>
            <w:vAlign w:val="bottom"/>
            <w:shd w:val="clear" w:color="auto" w:fill="E3E4E5"/>
          </w:tcPr>
          <w:p>
            <w:pPr>
              <w:jc w:val="right"/>
              <w:ind w:right="200"/>
              <w:spacing w:after="0"/>
              <w:rPr>
                <w:sz w:val="20"/>
                <w:szCs w:val="20"/>
                <w:color w:val="auto"/>
              </w:rPr>
            </w:pPr>
            <w:r>
              <w:rPr>
                <w:rFonts w:ascii="Times New Roman" w:cs="Times New Roman" w:eastAsia="Times New Roman" w:hAnsi="Times New Roman"/>
                <w:sz w:val="20"/>
                <w:szCs w:val="20"/>
                <w:color w:val="414142"/>
                <w:w w:val="79"/>
              </w:rPr>
              <w:t>$</w:t>
            </w:r>
          </w:p>
        </w:tc>
        <w:tc>
          <w:tcPr>
            <w:tcW w:w="2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36.84</w:t>
            </w:r>
          </w:p>
        </w:tc>
        <w:tc>
          <w:tcPr>
            <w:tcW w:w="60" w:type="dxa"/>
            <w:vAlign w:val="bottom"/>
            <w:shd w:val="clear" w:color="auto" w:fill="E3E4E5"/>
          </w:tcPr>
          <w:p>
            <w:pPr>
              <w:spacing w:after="0"/>
              <w:rPr>
                <w:sz w:val="23"/>
                <w:szCs w:val="23"/>
                <w:color w:val="auto"/>
              </w:rPr>
            </w:pPr>
          </w:p>
        </w:tc>
      </w:tr>
      <w:tr>
        <w:trPr>
          <w:trHeight w:val="244"/>
        </w:trPr>
        <w:tc>
          <w:tcPr>
            <w:tcW w:w="49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Granted</w:t>
            </w: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13.60</w:t>
            </w:r>
          </w:p>
        </w:tc>
        <w:tc>
          <w:tcPr>
            <w:tcW w:w="60" w:type="dxa"/>
            <w:vAlign w:val="bottom"/>
          </w:tcPr>
          <w:p>
            <w:pPr>
              <w:spacing w:after="0"/>
              <w:rPr>
                <w:sz w:val="21"/>
                <w:szCs w:val="21"/>
                <w:color w:val="auto"/>
              </w:rPr>
            </w:pPr>
          </w:p>
        </w:tc>
      </w:tr>
      <w:tr>
        <w:trPr>
          <w:trHeight w:val="244"/>
        </w:trPr>
        <w:tc>
          <w:tcPr>
            <w:tcW w:w="5080" w:type="dxa"/>
            <w:vAlign w:val="bottom"/>
            <w:gridSpan w:val="2"/>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Forfeited/canceled</w:t>
            </w:r>
          </w:p>
        </w:tc>
        <w:tc>
          <w:tcPr>
            <w:tcW w:w="2080" w:type="dxa"/>
            <w:vAlign w:val="bottom"/>
            <w:shd w:val="clear" w:color="auto" w:fill="E5E6E7"/>
          </w:tcPr>
          <w:p>
            <w:pPr>
              <w:spacing w:after="0"/>
              <w:rPr>
                <w:sz w:val="21"/>
                <w:szCs w:val="21"/>
                <w:color w:val="auto"/>
              </w:rPr>
            </w:pPr>
          </w:p>
        </w:tc>
        <w:tc>
          <w:tcPr>
            <w:tcW w:w="500" w:type="dxa"/>
            <w:vAlign w:val="bottom"/>
            <w:gridSpan w:val="2"/>
            <w:shd w:val="clear" w:color="auto" w:fill="E5E6E7"/>
          </w:tcPr>
          <w:p>
            <w:pPr>
              <w:jc w:val="right"/>
              <w:ind w:right="40"/>
              <w:spacing w:after="0"/>
              <w:rPr>
                <w:sz w:val="20"/>
                <w:szCs w:val="20"/>
                <w:color w:val="auto"/>
              </w:rPr>
            </w:pPr>
            <w:r>
              <w:rPr>
                <w:rFonts w:ascii="Times New Roman" w:cs="Times New Roman" w:eastAsia="Times New Roman" w:hAnsi="Times New Roman"/>
                <w:sz w:val="20"/>
                <w:szCs w:val="20"/>
                <w:color w:val="414142"/>
              </w:rPr>
              <w:t>(1)</w:t>
            </w:r>
          </w:p>
        </w:tc>
        <w:tc>
          <w:tcPr>
            <w:tcW w:w="100" w:type="dxa"/>
            <w:vAlign w:val="bottom"/>
            <w:shd w:val="clear" w:color="auto" w:fill="E3E4E5"/>
          </w:tcPr>
          <w:p>
            <w:pPr>
              <w:spacing w:after="0"/>
              <w:rPr>
                <w:sz w:val="21"/>
                <w:szCs w:val="21"/>
                <w:color w:val="auto"/>
              </w:rPr>
            </w:pPr>
          </w:p>
        </w:tc>
        <w:tc>
          <w:tcPr>
            <w:tcW w:w="400" w:type="dxa"/>
            <w:vAlign w:val="bottom"/>
            <w:shd w:val="clear" w:color="auto" w:fill="E3E4E5"/>
          </w:tcPr>
          <w:p>
            <w:pPr>
              <w:spacing w:after="0"/>
              <w:rPr>
                <w:sz w:val="21"/>
                <w:szCs w:val="21"/>
                <w:color w:val="auto"/>
              </w:rPr>
            </w:pPr>
          </w:p>
        </w:tc>
        <w:tc>
          <w:tcPr>
            <w:tcW w:w="25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44.65</w:t>
            </w:r>
          </w:p>
        </w:tc>
        <w:tc>
          <w:tcPr>
            <w:tcW w:w="60" w:type="dxa"/>
            <w:vAlign w:val="bottom"/>
            <w:shd w:val="clear" w:color="auto" w:fill="E3E4E5"/>
          </w:tcPr>
          <w:p>
            <w:pPr>
              <w:spacing w:after="0"/>
              <w:rPr>
                <w:sz w:val="21"/>
                <w:szCs w:val="21"/>
                <w:color w:val="auto"/>
              </w:rPr>
            </w:pPr>
          </w:p>
        </w:tc>
      </w:tr>
      <w:tr>
        <w:trPr>
          <w:trHeight w:val="244"/>
        </w:trPr>
        <w:tc>
          <w:tcPr>
            <w:tcW w:w="508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Released</w:t>
            </w:r>
          </w:p>
        </w:tc>
        <w:tc>
          <w:tcPr>
            <w:tcW w:w="2080" w:type="dxa"/>
            <w:vAlign w:val="bottom"/>
          </w:tcPr>
          <w:p>
            <w:pPr>
              <w:spacing w:after="0"/>
              <w:rPr>
                <w:sz w:val="21"/>
                <w:szCs w:val="21"/>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5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38.10</w:t>
            </w:r>
          </w:p>
        </w:tc>
        <w:tc>
          <w:tcPr>
            <w:tcW w:w="60" w:type="dxa"/>
            <w:vAlign w:val="bottom"/>
          </w:tcPr>
          <w:p>
            <w:pPr>
              <w:spacing w:after="0"/>
              <w:rPr>
                <w:sz w:val="21"/>
                <w:szCs w:val="21"/>
                <w:color w:val="auto"/>
              </w:rPr>
            </w:pPr>
          </w:p>
        </w:tc>
      </w:tr>
      <w:tr>
        <w:trPr>
          <w:trHeight w:val="289"/>
        </w:trPr>
        <w:tc>
          <w:tcPr>
            <w:tcW w:w="5080" w:type="dxa"/>
            <w:vAlign w:val="bottom"/>
            <w:tcBorders>
              <w:top w:val="single" w:sz="8" w:color="E3E4E5"/>
            </w:tcBorders>
            <w:gridSpan w:val="2"/>
            <w:shd w:val="clear" w:color="auto" w:fill="E3E4E5"/>
          </w:tcPr>
          <w:p>
            <w:pPr>
              <w:spacing w:after="0" w:line="230" w:lineRule="exact"/>
              <w:rPr>
                <w:sz w:val="20"/>
                <w:szCs w:val="20"/>
                <w:color w:val="auto"/>
              </w:rPr>
            </w:pPr>
            <w:r>
              <w:rPr>
                <w:rFonts w:ascii="Times New Roman" w:cs="Times New Roman" w:eastAsia="Times New Roman" w:hAnsi="Times New Roman"/>
                <w:sz w:val="20"/>
                <w:szCs w:val="20"/>
                <w:b w:val="1"/>
                <w:bCs w:val="1"/>
                <w:color w:val="414142"/>
              </w:rPr>
              <w:t xml:space="preserve">Outstanding </w:t>
            </w:r>
            <w:r>
              <w:rPr>
                <w:rFonts w:ascii="MS Gothic" w:cs="MS Gothic" w:eastAsia="MS Gothic" w:hAnsi="MS Gothic"/>
                <w:sz w:val="20"/>
                <w:szCs w:val="20"/>
                <w:b w:val="1"/>
                <w:bCs w:val="1"/>
                <w:color w:val="414142"/>
              </w:rPr>
              <w:t>̻</w:t>
            </w:r>
            <w:r>
              <w:rPr>
                <w:rFonts w:ascii="Times New Roman" w:cs="Times New Roman" w:eastAsia="Times New Roman" w:hAnsi="Times New Roman"/>
                <w:sz w:val="20"/>
                <w:szCs w:val="20"/>
                <w:b w:val="1"/>
                <w:bCs w:val="1"/>
                <w:color w:val="414142"/>
              </w:rPr>
              <w:t xml:space="preserve"> December 31, 2025</w:t>
            </w:r>
          </w:p>
        </w:tc>
        <w:tc>
          <w:tcPr>
            <w:tcW w:w="2080" w:type="dxa"/>
            <w:vAlign w:val="bottom"/>
            <w:tcBorders>
              <w:top w:val="single" w:sz="8" w:color="231F20"/>
            </w:tcBorders>
            <w:shd w:val="clear" w:color="auto" w:fill="E3E4E5"/>
          </w:tcPr>
          <w:p>
            <w:pPr>
              <w:spacing w:after="0"/>
              <w:rPr>
                <w:sz w:val="24"/>
                <w:szCs w:val="24"/>
                <w:color w:val="auto"/>
              </w:rPr>
            </w:pPr>
          </w:p>
        </w:tc>
        <w:tc>
          <w:tcPr>
            <w:tcW w:w="4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213</w:t>
            </w:r>
          </w:p>
        </w:tc>
        <w:tc>
          <w:tcPr>
            <w:tcW w:w="100" w:type="dxa"/>
            <w:vAlign w:val="bottom"/>
            <w:tcBorders>
              <w:top w:val="single" w:sz="8" w:color="E3E4E5"/>
            </w:tcBorders>
            <w:shd w:val="clear" w:color="auto" w:fill="E3E4E5"/>
          </w:tcPr>
          <w:p>
            <w:pPr>
              <w:spacing w:after="0"/>
              <w:rPr>
                <w:sz w:val="24"/>
                <w:szCs w:val="24"/>
                <w:color w:val="auto"/>
              </w:rPr>
            </w:pPr>
          </w:p>
        </w:tc>
        <w:tc>
          <w:tcPr>
            <w:tcW w:w="500" w:type="dxa"/>
            <w:vAlign w:val="bottom"/>
            <w:tcBorders>
              <w:top w:val="single" w:sz="8" w:color="E3E4E5"/>
            </w:tcBorders>
            <w:gridSpan w:val="2"/>
            <w:shd w:val="clear" w:color="auto" w:fill="E3E4E5"/>
          </w:tcPr>
          <w:p>
            <w:pPr>
              <w:jc w:val="right"/>
              <w:ind w:right="200"/>
              <w:spacing w:after="0"/>
              <w:rPr>
                <w:sz w:val="20"/>
                <w:szCs w:val="20"/>
                <w:color w:val="auto"/>
              </w:rPr>
            </w:pPr>
            <w:r>
              <w:rPr>
                <w:rFonts w:ascii="Times New Roman" w:cs="Times New Roman" w:eastAsia="Times New Roman" w:hAnsi="Times New Roman"/>
                <w:sz w:val="20"/>
                <w:szCs w:val="20"/>
                <w:color w:val="414142"/>
              </w:rPr>
              <w:t>$</w:t>
            </w:r>
          </w:p>
        </w:tc>
        <w:tc>
          <w:tcPr>
            <w:tcW w:w="2580" w:type="dxa"/>
            <w:vAlign w:val="bottom"/>
            <w:tcBorders>
              <w:top w:val="single" w:sz="8" w:color="E3E4E5"/>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29.74</w:t>
            </w:r>
          </w:p>
        </w:tc>
        <w:tc>
          <w:tcPr>
            <w:tcW w:w="60" w:type="dxa"/>
            <w:vAlign w:val="bottom"/>
            <w:tcBorders>
              <w:top w:val="single" w:sz="8" w:color="E3E4E5"/>
            </w:tcBorders>
            <w:shd w:val="clear" w:color="auto" w:fill="E3E4E5"/>
          </w:tcPr>
          <w:p>
            <w:pPr>
              <w:spacing w:after="0"/>
              <w:rPr>
                <w:sz w:val="24"/>
                <w:szCs w:val="24"/>
                <w:color w:val="auto"/>
              </w:rPr>
            </w:pPr>
          </w:p>
        </w:tc>
      </w:tr>
      <w:tr>
        <w:trPr>
          <w:trHeight w:val="20"/>
        </w:trPr>
        <w:tc>
          <w:tcPr>
            <w:tcW w:w="4960" w:type="dxa"/>
            <w:vAlign w:val="bottom"/>
            <w:tcBorders>
              <w:top w:val="single" w:sz="8" w:color="E3E4E5"/>
            </w:tcBorders>
          </w:tcPr>
          <w:p>
            <w:pPr>
              <w:spacing w:after="0" w:line="20" w:lineRule="exact"/>
              <w:rPr>
                <w:sz w:val="1"/>
                <w:szCs w:val="1"/>
                <w:color w:val="auto"/>
              </w:rPr>
            </w:pPr>
          </w:p>
        </w:tc>
        <w:tc>
          <w:tcPr>
            <w:tcW w:w="120" w:type="dxa"/>
            <w:vAlign w:val="bottom"/>
            <w:tcBorders>
              <w:top w:val="single" w:sz="8" w:color="E3E4E5"/>
            </w:tcBorders>
          </w:tcPr>
          <w:p>
            <w:pPr>
              <w:spacing w:after="0" w:line="20" w:lineRule="exact"/>
              <w:rPr>
                <w:sz w:val="1"/>
                <w:szCs w:val="1"/>
                <w:color w:val="auto"/>
              </w:rPr>
            </w:pPr>
          </w:p>
        </w:tc>
        <w:tc>
          <w:tcPr>
            <w:tcW w:w="2080" w:type="dxa"/>
            <w:vAlign w:val="bottom"/>
            <w:tcBorders>
              <w:top w:val="single" w:sz="8" w:color="231F20"/>
              <w:bottom w:val="single" w:sz="8" w:color="231F20"/>
            </w:tcBorders>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Borders>
              <w:top w:val="single" w:sz="8" w:color="E3E4E5"/>
            </w:tcBorders>
          </w:tcPr>
          <w:p>
            <w:pPr>
              <w:spacing w:after="0" w:line="20" w:lineRule="exact"/>
              <w:rPr>
                <w:sz w:val="1"/>
                <w:szCs w:val="1"/>
                <w:color w:val="auto"/>
              </w:rPr>
            </w:pPr>
          </w:p>
        </w:tc>
        <w:tc>
          <w:tcPr>
            <w:tcW w:w="100" w:type="dxa"/>
            <w:vAlign w:val="bottom"/>
            <w:tcBorders>
              <w:top w:val="single" w:sz="8" w:color="E3E4E5"/>
            </w:tcBorders>
          </w:tcPr>
          <w:p>
            <w:pPr>
              <w:spacing w:after="0" w:line="20" w:lineRule="exact"/>
              <w:rPr>
                <w:sz w:val="1"/>
                <w:szCs w:val="1"/>
                <w:color w:val="auto"/>
              </w:rPr>
            </w:pPr>
          </w:p>
        </w:tc>
        <w:tc>
          <w:tcPr>
            <w:tcW w:w="400" w:type="dxa"/>
            <w:vAlign w:val="bottom"/>
            <w:tcBorders>
              <w:top w:val="single" w:sz="8" w:color="231F20"/>
              <w:bottom w:val="single" w:sz="8" w:color="231F20"/>
            </w:tcBorders>
          </w:tcPr>
          <w:p>
            <w:pPr>
              <w:spacing w:after="0" w:line="20" w:lineRule="exact"/>
              <w:rPr>
                <w:sz w:val="1"/>
                <w:szCs w:val="1"/>
                <w:color w:val="auto"/>
              </w:rPr>
            </w:pPr>
          </w:p>
        </w:tc>
        <w:tc>
          <w:tcPr>
            <w:tcW w:w="2580" w:type="dxa"/>
            <w:vAlign w:val="bottom"/>
            <w:tcBorders>
              <w:top w:val="single" w:sz="8" w:color="231F20"/>
              <w:bottom w:val="single" w:sz="8" w:color="231F20"/>
            </w:tcBorders>
          </w:tcPr>
          <w:p>
            <w:pPr>
              <w:spacing w:after="0" w:line="20" w:lineRule="exact"/>
              <w:rPr>
                <w:sz w:val="1"/>
                <w:szCs w:val="1"/>
                <w:color w:val="auto"/>
              </w:rPr>
            </w:pPr>
          </w:p>
        </w:tc>
        <w:tc>
          <w:tcPr>
            <w:tcW w:w="60" w:type="dxa"/>
            <w:vAlign w:val="bottom"/>
            <w:tcBorders>
              <w:top w:val="single" w:sz="8" w:color="E3E4E5"/>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-862965</wp:posOffset>
            </wp:positionV>
            <wp:extent cx="9398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55">
                      <a:extLst>
                        <a:ext uri="{28A0092B-C50C-407E-A947-70E740481C1C}"/>
                      </a:extLst>
                    </a:blip>
                    <a:srcRect/>
                    <a:stretch>
                      <a:fillRect/>
                    </a:stretch>
                  </pic:blipFill>
                  <pic:spPr bwMode="auto">
                    <a:xfrm>
                      <a:off x="0" y="0"/>
                      <a:ext cx="93980" cy="25400"/>
                    </a:xfrm>
                    <a:prstGeom prst="rect">
                      <a:avLst/>
                    </a:prstGeom>
                    <a:noFill/>
                  </pic:spPr>
                </pic:pic>
              </a:graphicData>
            </a:graphic>
          </wp:anchor>
        </w:drawing>
        <w:drawing>
          <wp:anchor simplePos="0" relativeHeight="251657728" behindDoc="1" locked="0" layoutInCell="0" allowOverlap="1">
            <wp:simplePos x="0" y="0"/>
            <wp:positionH relativeFrom="column">
              <wp:posOffset>4920615</wp:posOffset>
            </wp:positionH>
            <wp:positionV relativeFrom="paragraph">
              <wp:posOffset>-862965</wp:posOffset>
            </wp:positionV>
            <wp:extent cx="190817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6">
                      <a:extLst>
                        <a:ext uri="{28A0092B-C50C-407E-A947-70E740481C1C}"/>
                      </a:extLst>
                    </a:blip>
                    <a:srcRect/>
                    <a:stretch>
                      <a:fillRect/>
                    </a:stretch>
                  </pic:blipFill>
                  <pic:spPr bwMode="auto">
                    <a:xfrm>
                      <a:off x="0" y="0"/>
                      <a:ext cx="1908175" cy="25400"/>
                    </a:xfrm>
                    <a:prstGeom prst="rect">
                      <a:avLst/>
                    </a:prstGeom>
                    <a:noFill/>
                  </pic:spPr>
                </pic:pic>
              </a:graphicData>
            </a:graphic>
          </wp:anchor>
        </w:drawing>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13 – Net Loss per Common Share</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Basic net loss per share excludes dilution and is computed by dividing net loss attributable to the common stockholders by the weighted-average shares outstanding during the period. Diluted net loss per common share reflects the potential dilution that could occur if securities or other contracts to issue common stock were exercised, resulting in the issuance of shares of common stock that would then share in the earnings or losses of the Company.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Basic and diluted loss per share as of the dates indicated were (in thousands, except per share amounts):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9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060" w:type="dxa"/>
            <w:vAlign w:val="bottom"/>
            <w:tcBorders>
              <w:bottom w:val="single" w:sz="8" w:color="231F20"/>
            </w:tcBorders>
            <w:gridSpan w:val="5"/>
          </w:tcPr>
          <w:p>
            <w:pPr>
              <w:jc w:val="right"/>
              <w:ind w:right="10"/>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660" w:type="dxa"/>
            <w:vAlign w:val="bottom"/>
            <w:tcBorders>
              <w:bottom w:val="single" w:sz="8" w:color="231F20"/>
            </w:tcBorders>
          </w:tcPr>
          <w:p>
            <w:pPr>
              <w:spacing w:after="0"/>
              <w:rPr>
                <w:sz w:val="22"/>
                <w:szCs w:val="22"/>
                <w:color w:val="auto"/>
              </w:rPr>
            </w:pPr>
          </w:p>
        </w:tc>
        <w:tc>
          <w:tcPr>
            <w:tcW w:w="80" w:type="dxa"/>
            <w:vAlign w:val="bottom"/>
          </w:tcPr>
          <w:p>
            <w:pPr>
              <w:spacing w:after="0"/>
              <w:rPr>
                <w:sz w:val="22"/>
                <w:szCs w:val="22"/>
                <w:color w:val="auto"/>
              </w:rPr>
            </w:pPr>
          </w:p>
        </w:tc>
      </w:tr>
      <w:tr>
        <w:trPr>
          <w:trHeight w:val="239"/>
        </w:trPr>
        <w:tc>
          <w:tcPr>
            <w:tcW w:w="698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60" w:type="dxa"/>
            <w:vAlign w:val="bottom"/>
            <w:tcBorders>
              <w:bottom w:val="single" w:sz="8" w:color="231F20"/>
            </w:tcBorders>
          </w:tcPr>
          <w:p>
            <w:pPr>
              <w:spacing w:after="0"/>
              <w:rPr>
                <w:sz w:val="20"/>
                <w:szCs w:val="20"/>
                <w:color w:val="auto"/>
              </w:rPr>
            </w:pPr>
          </w:p>
        </w:tc>
        <w:tc>
          <w:tcPr>
            <w:tcW w:w="260" w:type="dxa"/>
            <w:vAlign w:val="bottom"/>
            <w:tcBorders>
              <w:bottom w:val="single" w:sz="8" w:color="E3E4E5"/>
            </w:tcBorders>
          </w:tcPr>
          <w:p>
            <w:pPr>
              <w:spacing w:after="0"/>
              <w:rPr>
                <w:sz w:val="20"/>
                <w:szCs w:val="20"/>
                <w:color w:val="auto"/>
              </w:rPr>
            </w:pPr>
          </w:p>
        </w:tc>
        <w:tc>
          <w:tcPr>
            <w:tcW w:w="20" w:type="dxa"/>
            <w:vAlign w:val="bottom"/>
            <w:tcBorders>
              <w:bottom w:val="single" w:sz="8" w:color="E3E4E5"/>
            </w:tcBorders>
          </w:tcPr>
          <w:p>
            <w:pPr>
              <w:spacing w:after="0"/>
              <w:rPr>
                <w:sz w:val="20"/>
                <w:szCs w:val="20"/>
                <w:color w:val="auto"/>
              </w:rPr>
            </w:pPr>
          </w:p>
        </w:tc>
        <w:tc>
          <w:tcPr>
            <w:tcW w:w="106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60" w:type="dxa"/>
            <w:vAlign w:val="bottom"/>
            <w:tcBorders>
              <w:bottom w:val="single" w:sz="8" w:color="231F20"/>
            </w:tcBorders>
          </w:tcPr>
          <w:p>
            <w:pPr>
              <w:spacing w:after="0"/>
              <w:rPr>
                <w:sz w:val="20"/>
                <w:szCs w:val="20"/>
                <w:color w:val="auto"/>
              </w:rPr>
            </w:pPr>
          </w:p>
        </w:tc>
        <w:tc>
          <w:tcPr>
            <w:tcW w:w="80" w:type="dxa"/>
            <w:vAlign w:val="bottom"/>
            <w:tcBorders>
              <w:bottom w:val="single" w:sz="8" w:color="E3E4E5"/>
            </w:tcBorders>
          </w:tcPr>
          <w:p>
            <w:pPr>
              <w:spacing w:after="0"/>
              <w:rPr>
                <w:sz w:val="20"/>
                <w:szCs w:val="20"/>
                <w:color w:val="auto"/>
              </w:rPr>
            </w:pPr>
          </w:p>
        </w:tc>
      </w:tr>
      <w:tr>
        <w:trPr>
          <w:trHeight w:val="239"/>
        </w:trPr>
        <w:tc>
          <w:tcPr>
            <w:tcW w:w="700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414142"/>
              </w:rPr>
              <w:t>Numerator</w:t>
            </w:r>
          </w:p>
        </w:tc>
        <w:tc>
          <w:tcPr>
            <w:tcW w:w="1060" w:type="dxa"/>
            <w:vAlign w:val="bottom"/>
            <w:shd w:val="clear" w:color="auto" w:fill="E3E4E5"/>
          </w:tcPr>
          <w:p>
            <w:pPr>
              <w:spacing w:after="0"/>
              <w:rPr>
                <w:sz w:val="20"/>
                <w:szCs w:val="20"/>
                <w:color w:val="auto"/>
              </w:rPr>
            </w:pPr>
          </w:p>
        </w:tc>
        <w:tc>
          <w:tcPr>
            <w:tcW w:w="660" w:type="dxa"/>
            <w:vAlign w:val="bottom"/>
            <w:shd w:val="clear" w:color="auto" w:fill="E3E4E5"/>
          </w:tcPr>
          <w:p>
            <w:pPr>
              <w:spacing w:after="0"/>
              <w:rPr>
                <w:sz w:val="20"/>
                <w:szCs w:val="20"/>
                <w:color w:val="auto"/>
              </w:rPr>
            </w:pPr>
          </w:p>
        </w:tc>
        <w:tc>
          <w:tcPr>
            <w:tcW w:w="260" w:type="dxa"/>
            <w:vAlign w:val="bottom"/>
            <w:shd w:val="clear" w:color="auto" w:fill="E3E4E5"/>
          </w:tcPr>
          <w:p>
            <w:pPr>
              <w:spacing w:after="0"/>
              <w:rPr>
                <w:sz w:val="20"/>
                <w:szCs w:val="20"/>
                <w:color w:val="auto"/>
              </w:rPr>
            </w:pPr>
          </w:p>
        </w:tc>
        <w:tc>
          <w:tcPr>
            <w:tcW w:w="20" w:type="dxa"/>
            <w:vAlign w:val="bottom"/>
            <w:shd w:val="clear" w:color="auto" w:fill="E3E4E5"/>
          </w:tcPr>
          <w:p>
            <w:pPr>
              <w:spacing w:after="0"/>
              <w:rPr>
                <w:sz w:val="20"/>
                <w:szCs w:val="20"/>
                <w:color w:val="auto"/>
              </w:rPr>
            </w:pPr>
          </w:p>
        </w:tc>
        <w:tc>
          <w:tcPr>
            <w:tcW w:w="1060" w:type="dxa"/>
            <w:vAlign w:val="bottom"/>
            <w:shd w:val="clear" w:color="auto" w:fill="E3E4E5"/>
          </w:tcPr>
          <w:p>
            <w:pPr>
              <w:spacing w:after="0"/>
              <w:rPr>
                <w:sz w:val="20"/>
                <w:szCs w:val="20"/>
                <w:color w:val="auto"/>
              </w:rPr>
            </w:pPr>
          </w:p>
        </w:tc>
        <w:tc>
          <w:tcPr>
            <w:tcW w:w="66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r>
      <w:tr>
        <w:trPr>
          <w:trHeight w:val="244"/>
        </w:trPr>
        <w:tc>
          <w:tcPr>
            <w:tcW w:w="70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231F20"/>
              </w:rPr>
              <w:t>Net loss attributable to common stockholders</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(35,265)</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right"/>
              <w:ind w:right="890"/>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w w:val="93"/>
              </w:rPr>
              <w:t>(42,931)</w:t>
            </w:r>
          </w:p>
        </w:tc>
        <w:tc>
          <w:tcPr>
            <w:tcW w:w="80" w:type="dxa"/>
            <w:vAlign w:val="bottom"/>
          </w:tcPr>
          <w:p>
            <w:pPr>
              <w:spacing w:after="0"/>
              <w:rPr>
                <w:sz w:val="21"/>
                <w:szCs w:val="21"/>
                <w:color w:val="auto"/>
              </w:rPr>
            </w:pPr>
          </w:p>
        </w:tc>
      </w:tr>
      <w:tr>
        <w:trPr>
          <w:trHeight w:val="244"/>
        </w:trPr>
        <w:tc>
          <w:tcPr>
            <w:tcW w:w="698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060" w:type="dxa"/>
            <w:vAlign w:val="bottom"/>
            <w:shd w:val="clear" w:color="auto" w:fill="E3E4E5"/>
          </w:tcPr>
          <w:p>
            <w:pPr>
              <w:spacing w:after="0"/>
              <w:rPr>
                <w:sz w:val="21"/>
                <w:szCs w:val="21"/>
                <w:color w:val="auto"/>
              </w:rPr>
            </w:pPr>
          </w:p>
        </w:tc>
        <w:tc>
          <w:tcPr>
            <w:tcW w:w="660" w:type="dxa"/>
            <w:vAlign w:val="bottom"/>
            <w:shd w:val="clear" w:color="auto" w:fill="E3E4E5"/>
          </w:tcPr>
          <w:p>
            <w:pPr>
              <w:spacing w:after="0"/>
              <w:rPr>
                <w:sz w:val="21"/>
                <w:szCs w:val="21"/>
                <w:color w:val="auto"/>
              </w:rPr>
            </w:pPr>
          </w:p>
        </w:tc>
        <w:tc>
          <w:tcPr>
            <w:tcW w:w="2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060" w:type="dxa"/>
            <w:vAlign w:val="bottom"/>
            <w:shd w:val="clear" w:color="auto" w:fill="E3E4E5"/>
          </w:tcPr>
          <w:p>
            <w:pPr>
              <w:spacing w:after="0"/>
              <w:rPr>
                <w:sz w:val="21"/>
                <w:szCs w:val="21"/>
                <w:color w:val="auto"/>
              </w:rPr>
            </w:pPr>
          </w:p>
        </w:tc>
        <w:tc>
          <w:tcPr>
            <w:tcW w:w="660" w:type="dxa"/>
            <w:vAlign w:val="bottom"/>
            <w:shd w:val="clear" w:color="auto" w:fill="E3E4E5"/>
          </w:tcPr>
          <w:p>
            <w:pPr>
              <w:spacing w:after="0"/>
              <w:rPr>
                <w:sz w:val="21"/>
                <w:szCs w:val="21"/>
                <w:color w:val="auto"/>
              </w:rPr>
            </w:pPr>
          </w:p>
        </w:tc>
        <w:tc>
          <w:tcPr>
            <w:tcW w:w="80" w:type="dxa"/>
            <w:vAlign w:val="bottom"/>
            <w:shd w:val="clear" w:color="auto" w:fill="E3E4E5"/>
          </w:tcPr>
          <w:p>
            <w:pPr>
              <w:spacing w:after="0"/>
              <w:rPr>
                <w:sz w:val="21"/>
                <w:szCs w:val="21"/>
                <w:color w:val="auto"/>
              </w:rPr>
            </w:pPr>
          </w:p>
        </w:tc>
      </w:tr>
      <w:tr>
        <w:trPr>
          <w:trHeight w:val="244"/>
        </w:trPr>
        <w:tc>
          <w:tcPr>
            <w:tcW w:w="70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Denominator</w:t>
            </w: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7000" w:type="dxa"/>
            <w:vAlign w:val="bottom"/>
            <w:gridSpan w:val="2"/>
            <w:shd w:val="clear" w:color="auto" w:fill="E3E4E5"/>
          </w:tcPr>
          <w:p>
            <w:pPr>
              <w:ind w:left="200"/>
              <w:spacing w:after="0" w:line="225" w:lineRule="exact"/>
              <w:rPr>
                <w:sz w:val="20"/>
                <w:szCs w:val="20"/>
                <w:color w:val="auto"/>
              </w:rPr>
            </w:pPr>
            <w:r>
              <w:rPr>
                <w:rFonts w:ascii="Times New Roman" w:cs="Times New Roman" w:eastAsia="Times New Roman" w:hAnsi="Times New Roman"/>
                <w:sz w:val="20"/>
                <w:szCs w:val="20"/>
                <w:color w:val="414142"/>
              </w:rPr>
              <w:t>Weighted-average shares outstanding used</w:t>
            </w:r>
          </w:p>
        </w:tc>
        <w:tc>
          <w:tcPr>
            <w:tcW w:w="1060" w:type="dxa"/>
            <w:vAlign w:val="bottom"/>
            <w:shd w:val="clear" w:color="auto" w:fill="E3E4E5"/>
          </w:tcPr>
          <w:p>
            <w:pPr>
              <w:spacing w:after="0"/>
              <w:rPr>
                <w:sz w:val="19"/>
                <w:szCs w:val="19"/>
                <w:color w:val="auto"/>
              </w:rPr>
            </w:pPr>
          </w:p>
        </w:tc>
        <w:tc>
          <w:tcPr>
            <w:tcW w:w="660" w:type="dxa"/>
            <w:vAlign w:val="bottom"/>
            <w:shd w:val="clear" w:color="auto" w:fill="E3E4E5"/>
          </w:tcPr>
          <w:p>
            <w:pPr>
              <w:spacing w:after="0"/>
              <w:rPr>
                <w:sz w:val="19"/>
                <w:szCs w:val="19"/>
                <w:color w:val="auto"/>
              </w:rPr>
            </w:pPr>
          </w:p>
        </w:tc>
        <w:tc>
          <w:tcPr>
            <w:tcW w:w="260" w:type="dxa"/>
            <w:vAlign w:val="bottom"/>
            <w:shd w:val="clear" w:color="auto" w:fill="E3E4E5"/>
          </w:tcPr>
          <w:p>
            <w:pPr>
              <w:spacing w:after="0"/>
              <w:rPr>
                <w:sz w:val="19"/>
                <w:szCs w:val="19"/>
                <w:color w:val="auto"/>
              </w:rPr>
            </w:pPr>
          </w:p>
        </w:tc>
        <w:tc>
          <w:tcPr>
            <w:tcW w:w="20" w:type="dxa"/>
            <w:vAlign w:val="bottom"/>
            <w:shd w:val="clear" w:color="auto" w:fill="E3E4E5"/>
          </w:tcPr>
          <w:p>
            <w:pPr>
              <w:spacing w:after="0"/>
              <w:rPr>
                <w:sz w:val="19"/>
                <w:szCs w:val="19"/>
                <w:color w:val="auto"/>
              </w:rPr>
            </w:pPr>
          </w:p>
        </w:tc>
        <w:tc>
          <w:tcPr>
            <w:tcW w:w="1060" w:type="dxa"/>
            <w:vAlign w:val="bottom"/>
            <w:shd w:val="clear" w:color="auto" w:fill="E3E4E5"/>
          </w:tcPr>
          <w:p>
            <w:pPr>
              <w:spacing w:after="0"/>
              <w:rPr>
                <w:sz w:val="19"/>
                <w:szCs w:val="19"/>
                <w:color w:val="auto"/>
              </w:rPr>
            </w:pPr>
          </w:p>
        </w:tc>
        <w:tc>
          <w:tcPr>
            <w:tcW w:w="66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r>
      <w:tr>
        <w:trPr>
          <w:trHeight w:val="249"/>
        </w:trPr>
        <w:tc>
          <w:tcPr>
            <w:tcW w:w="7000" w:type="dxa"/>
            <w:vAlign w:val="bottom"/>
            <w:gridSpan w:val="2"/>
            <w:shd w:val="clear" w:color="auto" w:fill="E3E4E5"/>
          </w:tcPr>
          <w:p>
            <w:pPr>
              <w:ind w:left="360"/>
              <w:spacing w:after="0"/>
              <w:rPr>
                <w:sz w:val="20"/>
                <w:szCs w:val="20"/>
                <w:color w:val="auto"/>
              </w:rPr>
            </w:pPr>
            <w:r>
              <w:rPr>
                <w:rFonts w:ascii="Times New Roman" w:cs="Times New Roman" w:eastAsia="Times New Roman" w:hAnsi="Times New Roman"/>
                <w:sz w:val="20"/>
                <w:szCs w:val="20"/>
                <w:color w:val="414142"/>
              </w:rPr>
              <w:t>in computing net loss per share, basic and diluted</w:t>
            </w:r>
          </w:p>
        </w:tc>
        <w:tc>
          <w:tcPr>
            <w:tcW w:w="1060" w:type="dxa"/>
            <w:vAlign w:val="bottom"/>
            <w:tcBorders>
              <w:bottom w:val="single" w:sz="8" w:color="231F20"/>
            </w:tcBorders>
            <w:shd w:val="clear" w:color="auto" w:fill="E3E4E5"/>
          </w:tcPr>
          <w:p>
            <w:pPr>
              <w:spacing w:after="0"/>
              <w:rPr>
                <w:sz w:val="21"/>
                <w:szCs w:val="21"/>
                <w:color w:val="auto"/>
              </w:rPr>
            </w:pPr>
          </w:p>
        </w:tc>
        <w:tc>
          <w:tcPr>
            <w:tcW w:w="6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7,551</w:t>
            </w:r>
          </w:p>
        </w:tc>
        <w:tc>
          <w:tcPr>
            <w:tcW w:w="260" w:type="dxa"/>
            <w:vAlign w:val="bottom"/>
            <w:shd w:val="clear" w:color="auto" w:fill="E3E4E5"/>
          </w:tcPr>
          <w:p>
            <w:pPr>
              <w:spacing w:after="0"/>
              <w:rPr>
                <w:sz w:val="21"/>
                <w:szCs w:val="21"/>
                <w:color w:val="auto"/>
              </w:rPr>
            </w:pPr>
          </w:p>
        </w:tc>
        <w:tc>
          <w:tcPr>
            <w:tcW w:w="20" w:type="dxa"/>
            <w:vAlign w:val="bottom"/>
            <w:shd w:val="clear" w:color="auto" w:fill="E3E4E5"/>
          </w:tcPr>
          <w:p>
            <w:pPr>
              <w:spacing w:after="0"/>
              <w:rPr>
                <w:sz w:val="21"/>
                <w:szCs w:val="21"/>
                <w:color w:val="auto"/>
              </w:rPr>
            </w:pPr>
          </w:p>
        </w:tc>
        <w:tc>
          <w:tcPr>
            <w:tcW w:w="1060" w:type="dxa"/>
            <w:vAlign w:val="bottom"/>
            <w:tcBorders>
              <w:bottom w:val="single" w:sz="8" w:color="231F20"/>
            </w:tcBorders>
            <w:shd w:val="clear" w:color="auto" w:fill="E3E4E5"/>
          </w:tcPr>
          <w:p>
            <w:pPr>
              <w:spacing w:after="0"/>
              <w:rPr>
                <w:sz w:val="21"/>
                <w:szCs w:val="21"/>
                <w:color w:val="auto"/>
              </w:rPr>
            </w:pPr>
          </w:p>
        </w:tc>
        <w:tc>
          <w:tcPr>
            <w:tcW w:w="66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6,470</w:t>
            </w:r>
          </w:p>
        </w:tc>
        <w:tc>
          <w:tcPr>
            <w:tcW w:w="80" w:type="dxa"/>
            <w:vAlign w:val="bottom"/>
            <w:shd w:val="clear" w:color="auto" w:fill="E3E4E5"/>
          </w:tcPr>
          <w:p>
            <w:pPr>
              <w:spacing w:after="0"/>
              <w:rPr>
                <w:sz w:val="21"/>
                <w:szCs w:val="21"/>
                <w:color w:val="auto"/>
              </w:rPr>
            </w:pPr>
          </w:p>
        </w:tc>
      </w:tr>
      <w:tr>
        <w:trPr>
          <w:trHeight w:val="239"/>
        </w:trPr>
        <w:tc>
          <w:tcPr>
            <w:tcW w:w="70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Net loss per share, basic and diluted</w:t>
            </w:r>
          </w:p>
        </w:tc>
        <w:tc>
          <w:tcPr>
            <w:tcW w:w="1060" w:type="dxa"/>
            <w:vAlign w:val="bottom"/>
          </w:tcPr>
          <w:p>
            <w:pPr>
              <w:jc w:val="right"/>
              <w:ind w:right="888"/>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(4.67)</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jc w:val="right"/>
              <w:ind w:right="890"/>
              <w:spacing w:after="0"/>
              <w:rPr>
                <w:sz w:val="20"/>
                <w:szCs w:val="20"/>
                <w:color w:val="auto"/>
              </w:rPr>
            </w:pPr>
            <w:r>
              <w:rPr>
                <w:rFonts w:ascii="Times New Roman" w:cs="Times New Roman" w:eastAsia="Times New Roman" w:hAnsi="Times New Roman"/>
                <w:sz w:val="17"/>
                <w:szCs w:val="17"/>
                <w:color w:val="231F20"/>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(6.64)</w:t>
            </w:r>
          </w:p>
        </w:tc>
        <w:tc>
          <w:tcPr>
            <w:tcW w:w="80" w:type="dxa"/>
            <w:vAlign w:val="bottom"/>
          </w:tcPr>
          <w:p>
            <w:pPr>
              <w:spacing w:after="0"/>
              <w:rPr>
                <w:sz w:val="20"/>
                <w:szCs w:val="20"/>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231F20"/>
              <w:bottom w:val="single" w:sz="8" w:color="231F20"/>
            </w:tcBorders>
          </w:tcPr>
          <w:p>
            <w:pPr>
              <w:spacing w:after="0" w:line="20" w:lineRule="exact"/>
              <w:rPr>
                <w:sz w:val="1"/>
                <w:szCs w:val="1"/>
                <w:color w:val="auto"/>
              </w:rPr>
            </w:pPr>
          </w:p>
        </w:tc>
        <w:tc>
          <w:tcPr>
            <w:tcW w:w="1060" w:type="dxa"/>
            <w:vAlign w:val="bottom"/>
            <w:tcBorders>
              <w:top w:val="single" w:sz="8" w:color="231F20"/>
              <w:bottom w:val="single" w:sz="8" w:color="231F20"/>
            </w:tcBorders>
          </w:tcPr>
          <w:p>
            <w:pPr>
              <w:spacing w:after="0" w:line="20" w:lineRule="exact"/>
              <w:rPr>
                <w:sz w:val="1"/>
                <w:szCs w:val="1"/>
                <w:color w:val="auto"/>
              </w:rPr>
            </w:pPr>
          </w:p>
        </w:tc>
        <w:tc>
          <w:tcPr>
            <w:tcW w:w="66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4414520</wp:posOffset>
            </wp:positionH>
            <wp:positionV relativeFrom="paragraph">
              <wp:posOffset>-211455</wp:posOffset>
            </wp:positionV>
            <wp:extent cx="2407920"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57">
                      <a:extLst>
                        <a:ext uri="{28A0092B-C50C-407E-A947-70E740481C1C}"/>
                      </a:extLst>
                    </a:blip>
                    <a:srcRect/>
                    <a:stretch>
                      <a:fillRect/>
                    </a:stretch>
                  </pic:blipFill>
                  <pic:spPr bwMode="auto">
                    <a:xfrm>
                      <a:off x="0" y="0"/>
                      <a:ext cx="2407920" cy="38100"/>
                    </a:xfrm>
                    <a:prstGeom prst="rect">
                      <a:avLst/>
                    </a:prstGeom>
                    <a:noFill/>
                  </pic:spPr>
                </pic:pic>
              </a:graphicData>
            </a:graphic>
          </wp:anchor>
        </w:drawing>
      </w:r>
    </w:p>
    <w:p>
      <w:pPr>
        <w:spacing w:after="0" w:line="8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 xml:space="preserve">The potentially dilutive securities as of December 31, 2025 and 2024 primarily represent the shares subject to future issuance under stock options awards, warrants, RSUs, and shares subject to purchase under our ESPP, the terms of which are described in further detail in Note 12 – </w:t>
      </w:r>
      <w:r>
        <w:rPr>
          <w:rFonts w:ascii="Times New Roman" w:cs="Times New Roman" w:eastAsia="Times New Roman" w:hAnsi="Times New Roman"/>
          <w:sz w:val="20"/>
          <w:szCs w:val="20"/>
          <w:i w:val="1"/>
          <w:iCs w:val="1"/>
          <w:color w:val="231F20"/>
        </w:rPr>
        <w:t>Share Based Compensation</w:t>
      </w:r>
      <w:r>
        <w:rPr>
          <w:rFonts w:ascii="Times New Roman" w:cs="Times New Roman" w:eastAsia="Times New Roman" w:hAnsi="Times New Roman"/>
          <w:sz w:val="20"/>
          <w:szCs w:val="20"/>
          <w:color w:val="231F20"/>
        </w:rPr>
        <w:t>. The potentially dilutive securities would be subject to the treasury stock method when dilutive.</w:t>
      </w:r>
    </w:p>
    <w:p>
      <w:pPr>
        <w:sectPr>
          <w:pgSz w:w="11880" w:h="15480" w:orient="portrait"/>
          <w:cols w:equalWidth="0" w:num="1">
            <w:col w:w="10800"/>
          </w:cols>
          <w:pgMar w:left="540" w:top="764"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F-26</w:t>
      </w:r>
    </w:p>
    <w:p>
      <w:pPr>
        <w:sectPr>
          <w:pgSz w:w="11880" w:h="15480" w:orient="portrait"/>
          <w:cols w:equalWidth="0" w:num="1">
            <w:col w:w="10800"/>
          </w:cols>
          <w:pgMar w:left="540" w:top="764" w:right="540" w:bottom="6" w:gutter="0" w:footer="0" w:header="0"/>
          <w:type w:val="continuous"/>
        </w:sectPr>
      </w:pPr>
    </w:p>
    <w:bookmarkStart w:id="115" w:name="page116"/>
    <w:bookmarkEnd w:id="115"/>
    <w:p>
      <w:pPr>
        <w:jc w:val="both"/>
        <w:spacing w:after="0" w:line="258" w:lineRule="auto"/>
        <w:rPr>
          <w:sz w:val="20"/>
          <w:szCs w:val="20"/>
          <w:color w:val="auto"/>
        </w:rPr>
      </w:pPr>
      <w:r>
        <w:rPr>
          <w:rFonts w:ascii="Times New Roman" w:cs="Times New Roman" w:eastAsia="Times New Roman" w:hAnsi="Times New Roman"/>
          <w:sz w:val="20"/>
          <w:szCs w:val="20"/>
          <w:color w:val="231F20"/>
        </w:rPr>
        <w:t>The following outstanding common stock equivalents were excluded from diluted net loss attributable to common stockholders for the periods presented because inclusion would be anti-dilutive (in thousands):</w:t>
      </w:r>
    </w:p>
    <w:p>
      <w:pPr>
        <w:spacing w:after="0" w:line="2"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0"/>
          <w:szCs w:val="20"/>
          <w:b w:val="1"/>
          <w:bCs w:val="1"/>
          <w:color w:val="231F20"/>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4397375</wp:posOffset>
                </wp:positionH>
                <wp:positionV relativeFrom="paragraph">
                  <wp:posOffset>2540</wp:posOffset>
                </wp:positionV>
                <wp:extent cx="2419350" cy="0"/>
                <wp:wrapNone/>
                <wp:docPr id="104" name="Shape 10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419350" cy="4763"/>
                        </a:xfrm>
                        <a:prstGeom prst="line">
                          <a:avLst/>
                        </a:prstGeom>
                        <a:solidFill>
                          <a:srgbClr val="FFFFFF"/>
                        </a:solidFill>
                        <a:ln w="9525">
                          <a:solidFill>
                            <a:srgbClr val="231F20"/>
                          </a:solidFill>
                          <a:miter lim="800000"/>
                          <a:headEnd/>
                          <a:tailEnd/>
                        </a:ln>
                      </wps:spPr>
                      <wps:bodyPr/>
                    </wps:wsp>
                  </a:graphicData>
                </a:graphic>
              </wp:anchor>
            </w:drawing>
          </mc:Choice>
          <mc:Fallback>
            <w:pict>
              <v:line id="Shape 104" o:spid="_x0000_s11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46.25pt,0.2pt" to="536.75pt,0.2pt" o:allowincell="f" strokecolor="#231F20" strokeweight="0.75pt"/>
            </w:pict>
          </mc:Fallback>
        </mc:AlternateContent>
      </w:r>
    </w:p>
    <w:tbl>
      <w:tblPr>
        <w:tblLayout w:type="fixed"/>
        <w:tblInd w:w="0" w:type="dxa"/>
        <w:tblCellMar>
          <w:top w:w="0" w:type="dxa"/>
          <w:left w:w="0" w:type="dxa"/>
          <w:bottom w:w="0" w:type="dxa"/>
          <w:right w:w="0" w:type="dxa"/>
        </w:tblCellMar>
      </w:tblPr>
      <w:tr>
        <w:trPr>
          <w:trHeight w:val="238"/>
        </w:trPr>
        <w:tc>
          <w:tcPr>
            <w:tcW w:w="8200" w:type="dxa"/>
            <w:vAlign w:val="bottom"/>
            <w:gridSpan w:val="2"/>
          </w:tcPr>
          <w:p>
            <w:pPr>
              <w:ind w:left="760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500" w:type="dxa"/>
            <w:vAlign w:val="bottom"/>
          </w:tcPr>
          <w:p>
            <w:pPr>
              <w:spacing w:after="0"/>
              <w:rPr>
                <w:sz w:val="20"/>
                <w:szCs w:val="20"/>
                <w:color w:val="auto"/>
              </w:rPr>
            </w:pPr>
          </w:p>
        </w:tc>
        <w:tc>
          <w:tcPr>
            <w:tcW w:w="2040" w:type="dxa"/>
            <w:vAlign w:val="bottom"/>
            <w:gridSpan w:val="2"/>
          </w:tcPr>
          <w:p>
            <w:pPr>
              <w:jc w:val="right"/>
              <w:ind w:right="60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0" w:type="dxa"/>
            <w:vAlign w:val="bottom"/>
          </w:tcPr>
          <w:p>
            <w:pPr>
              <w:spacing w:after="0"/>
              <w:rPr>
                <w:sz w:val="20"/>
                <w:szCs w:val="20"/>
                <w:color w:val="auto"/>
              </w:rPr>
            </w:pPr>
          </w:p>
        </w:tc>
      </w:tr>
      <w:tr>
        <w:trPr>
          <w:trHeight w:val="239"/>
        </w:trPr>
        <w:tc>
          <w:tcPr>
            <w:tcW w:w="692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Options to purchase common stock</w:t>
            </w:r>
          </w:p>
        </w:tc>
        <w:tc>
          <w:tcPr>
            <w:tcW w:w="1280" w:type="dxa"/>
            <w:vAlign w:val="bottom"/>
            <w:tcBorders>
              <w:top w:val="single" w:sz="8" w:color="231F20"/>
            </w:tcBorders>
            <w:shd w:val="clear" w:color="auto" w:fill="E3E4E5"/>
          </w:tcPr>
          <w:p>
            <w:pPr>
              <w:spacing w:after="0"/>
              <w:rPr>
                <w:sz w:val="20"/>
                <w:szCs w:val="20"/>
                <w:color w:val="auto"/>
              </w:rPr>
            </w:pPr>
          </w:p>
        </w:tc>
        <w:tc>
          <w:tcPr>
            <w:tcW w:w="5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440</w:t>
            </w:r>
          </w:p>
        </w:tc>
        <w:tc>
          <w:tcPr>
            <w:tcW w:w="260" w:type="dxa"/>
            <w:vAlign w:val="bottom"/>
            <w:tcBorders>
              <w:top w:val="single" w:sz="8" w:color="E3E4E5"/>
            </w:tcBorders>
            <w:shd w:val="clear" w:color="auto" w:fill="E3E4E5"/>
          </w:tcPr>
          <w:p>
            <w:pPr>
              <w:spacing w:after="0"/>
              <w:rPr>
                <w:sz w:val="20"/>
                <w:szCs w:val="20"/>
                <w:color w:val="auto"/>
              </w:rPr>
            </w:pPr>
          </w:p>
        </w:tc>
        <w:tc>
          <w:tcPr>
            <w:tcW w:w="17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276</w:t>
            </w:r>
          </w:p>
        </w:tc>
        <w:tc>
          <w:tcPr>
            <w:tcW w:w="60" w:type="dxa"/>
            <w:vAlign w:val="bottom"/>
            <w:tcBorders>
              <w:top w:val="single" w:sz="8" w:color="E3E4E5"/>
            </w:tcBorders>
            <w:shd w:val="clear" w:color="auto" w:fill="E3E4E5"/>
          </w:tcPr>
          <w:p>
            <w:pPr>
              <w:spacing w:after="0"/>
              <w:rPr>
                <w:sz w:val="20"/>
                <w:szCs w:val="20"/>
                <w:color w:val="auto"/>
              </w:rPr>
            </w:pPr>
          </w:p>
        </w:tc>
      </w:tr>
      <w:tr>
        <w:trPr>
          <w:trHeight w:val="244"/>
        </w:trPr>
        <w:tc>
          <w:tcPr>
            <w:tcW w:w="6920" w:type="dxa"/>
            <w:vAlign w:val="bottom"/>
          </w:tcPr>
          <w:p>
            <w:pPr>
              <w:spacing w:after="0"/>
              <w:rPr>
                <w:sz w:val="20"/>
                <w:szCs w:val="20"/>
                <w:color w:val="auto"/>
              </w:rPr>
            </w:pPr>
            <w:r>
              <w:rPr>
                <w:rFonts w:ascii="Times New Roman" w:cs="Times New Roman" w:eastAsia="Times New Roman" w:hAnsi="Times New Roman"/>
                <w:sz w:val="20"/>
                <w:szCs w:val="20"/>
                <w:color w:val="231F20"/>
              </w:rPr>
              <w:t>Shares committed under ESPP</w:t>
            </w:r>
          </w:p>
        </w:tc>
        <w:tc>
          <w:tcPr>
            <w:tcW w:w="12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18</w:t>
            </w:r>
          </w:p>
        </w:tc>
        <w:tc>
          <w:tcPr>
            <w:tcW w:w="26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w:t>
            </w:r>
          </w:p>
        </w:tc>
        <w:tc>
          <w:tcPr>
            <w:tcW w:w="60" w:type="dxa"/>
            <w:vAlign w:val="bottom"/>
          </w:tcPr>
          <w:p>
            <w:pPr>
              <w:spacing w:after="0"/>
              <w:rPr>
                <w:sz w:val="21"/>
                <w:szCs w:val="21"/>
                <w:color w:val="auto"/>
              </w:rPr>
            </w:pPr>
          </w:p>
        </w:tc>
      </w:tr>
      <w:tr>
        <w:trPr>
          <w:trHeight w:val="244"/>
        </w:trPr>
        <w:tc>
          <w:tcPr>
            <w:tcW w:w="8200" w:type="dxa"/>
            <w:vAlign w:val="bottom"/>
            <w:gridSpan w:val="2"/>
            <w:shd w:val="clear" w:color="auto" w:fill="E3E4E5"/>
          </w:tcPr>
          <w:p>
            <w:pPr>
              <w:spacing w:after="0"/>
              <w:rPr>
                <w:sz w:val="20"/>
                <w:szCs w:val="20"/>
                <w:color w:val="auto"/>
              </w:rPr>
            </w:pPr>
            <w:r>
              <w:rPr>
                <w:rFonts w:ascii="Times New Roman" w:cs="Times New Roman" w:eastAsia="Times New Roman" w:hAnsi="Times New Roman"/>
                <w:sz w:val="20"/>
                <w:szCs w:val="20"/>
                <w:color w:val="414142"/>
              </w:rPr>
              <w:t>Warrants</w:t>
            </w:r>
          </w:p>
        </w:tc>
        <w:tc>
          <w:tcPr>
            <w:tcW w:w="5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280</w:t>
            </w:r>
          </w:p>
        </w:tc>
        <w:tc>
          <w:tcPr>
            <w:tcW w:w="2040" w:type="dxa"/>
            <w:vAlign w:val="bottom"/>
            <w:gridSpan w:val="2"/>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230</w:t>
            </w:r>
          </w:p>
        </w:tc>
        <w:tc>
          <w:tcPr>
            <w:tcW w:w="60" w:type="dxa"/>
            <w:vAlign w:val="bottom"/>
            <w:shd w:val="clear" w:color="auto" w:fill="E3E4E5"/>
          </w:tcPr>
          <w:p>
            <w:pPr>
              <w:spacing w:after="0"/>
              <w:rPr>
                <w:sz w:val="21"/>
                <w:szCs w:val="21"/>
                <w:color w:val="auto"/>
              </w:rPr>
            </w:pPr>
          </w:p>
        </w:tc>
      </w:tr>
      <w:tr>
        <w:trPr>
          <w:trHeight w:val="244"/>
        </w:trPr>
        <w:tc>
          <w:tcPr>
            <w:tcW w:w="8200" w:type="dxa"/>
            <w:vAlign w:val="bottom"/>
            <w:gridSpan w:val="2"/>
          </w:tcPr>
          <w:p>
            <w:pPr>
              <w:spacing w:after="0"/>
              <w:rPr>
                <w:sz w:val="20"/>
                <w:szCs w:val="20"/>
                <w:color w:val="auto"/>
              </w:rPr>
            </w:pPr>
            <w:r>
              <w:rPr>
                <w:rFonts w:ascii="Times New Roman" w:cs="Times New Roman" w:eastAsia="Times New Roman" w:hAnsi="Times New Roman"/>
                <w:sz w:val="20"/>
                <w:szCs w:val="20"/>
                <w:color w:val="231F20"/>
              </w:rPr>
              <w:t>Restricted stock units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213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231F20"/>
              </w:rPr>
              <w:t>188</w:t>
            </w:r>
          </w:p>
        </w:tc>
        <w:tc>
          <w:tcPr>
            <w:tcW w:w="60" w:type="dxa"/>
            <w:vAlign w:val="bottom"/>
          </w:tcPr>
          <w:p>
            <w:pPr>
              <w:spacing w:after="0"/>
              <w:rPr>
                <w:sz w:val="21"/>
                <w:szCs w:val="21"/>
                <w:color w:val="auto"/>
              </w:rPr>
            </w:pPr>
          </w:p>
        </w:tc>
      </w:tr>
      <w:tr>
        <w:trPr>
          <w:trHeight w:val="239"/>
        </w:trPr>
        <w:tc>
          <w:tcPr>
            <w:tcW w:w="6920" w:type="dxa"/>
            <w:vAlign w:val="bottom"/>
            <w:tcBorders>
              <w:top w:val="single" w:sz="8" w:color="E3E4E5"/>
            </w:tcBorders>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Total</w:t>
            </w:r>
          </w:p>
        </w:tc>
        <w:tc>
          <w:tcPr>
            <w:tcW w:w="1280" w:type="dxa"/>
            <w:vAlign w:val="bottom"/>
            <w:tcBorders>
              <w:top w:val="single" w:sz="8" w:color="231F20"/>
              <w:bottom w:val="single" w:sz="8" w:color="231F20"/>
            </w:tcBorders>
            <w:shd w:val="clear" w:color="auto" w:fill="E3E4E5"/>
          </w:tcPr>
          <w:p>
            <w:pPr>
              <w:spacing w:after="0"/>
              <w:rPr>
                <w:sz w:val="20"/>
                <w:szCs w:val="20"/>
                <w:color w:val="auto"/>
              </w:rPr>
            </w:pPr>
          </w:p>
        </w:tc>
        <w:tc>
          <w:tcPr>
            <w:tcW w:w="50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951</w:t>
            </w:r>
          </w:p>
        </w:tc>
        <w:tc>
          <w:tcPr>
            <w:tcW w:w="260" w:type="dxa"/>
            <w:vAlign w:val="bottom"/>
            <w:tcBorders>
              <w:top w:val="single" w:sz="8" w:color="E3E4E5"/>
            </w:tcBorders>
            <w:shd w:val="clear" w:color="auto" w:fill="E3E4E5"/>
          </w:tcPr>
          <w:p>
            <w:pPr>
              <w:spacing w:after="0"/>
              <w:rPr>
                <w:sz w:val="20"/>
                <w:szCs w:val="20"/>
                <w:color w:val="auto"/>
              </w:rPr>
            </w:pPr>
          </w:p>
        </w:tc>
        <w:tc>
          <w:tcPr>
            <w:tcW w:w="178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699</w:t>
            </w:r>
          </w:p>
        </w:tc>
        <w:tc>
          <w:tcPr>
            <w:tcW w:w="60" w:type="dxa"/>
            <w:vAlign w:val="bottom"/>
            <w:tcBorders>
              <w:top w:val="single" w:sz="8" w:color="E3E4E5"/>
            </w:tcBorders>
            <w:shd w:val="clear" w:color="auto" w:fill="E3E4E5"/>
          </w:tcPr>
          <w:p>
            <w:pPr>
              <w:spacing w:after="0"/>
              <w:rPr>
                <w:sz w:val="20"/>
                <w:szCs w:val="20"/>
                <w:color w:val="auto"/>
              </w:rPr>
            </w:pPr>
          </w:p>
        </w:tc>
      </w:tr>
      <w:tr>
        <w:trPr>
          <w:trHeight w:val="20"/>
        </w:trPr>
        <w:tc>
          <w:tcPr>
            <w:tcW w:w="6920" w:type="dxa"/>
            <w:vAlign w:val="bottom"/>
          </w:tcPr>
          <w:p>
            <w:pPr>
              <w:spacing w:after="0" w:line="20" w:lineRule="exact"/>
              <w:rPr>
                <w:sz w:val="1"/>
                <w:szCs w:val="1"/>
                <w:color w:val="auto"/>
              </w:rPr>
            </w:pPr>
          </w:p>
        </w:tc>
        <w:tc>
          <w:tcPr>
            <w:tcW w:w="1280" w:type="dxa"/>
            <w:vAlign w:val="bottom"/>
            <w:tcBorders>
              <w:bottom w:val="single" w:sz="8" w:color="231F20"/>
            </w:tcBorders>
          </w:tcPr>
          <w:p>
            <w:pPr>
              <w:spacing w:after="0" w:line="20" w:lineRule="exact"/>
              <w:rPr>
                <w:sz w:val="1"/>
                <w:szCs w:val="1"/>
                <w:color w:val="auto"/>
              </w:rPr>
            </w:pPr>
          </w:p>
        </w:tc>
        <w:tc>
          <w:tcPr>
            <w:tcW w:w="50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80" w:type="dxa"/>
            <w:vAlign w:val="bottom"/>
            <w:tcBorders>
              <w:bottom w:val="single" w:sz="8" w:color="231F2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5688965</wp:posOffset>
                </wp:positionH>
                <wp:positionV relativeFrom="paragraph">
                  <wp:posOffset>-822325</wp:posOffset>
                </wp:positionV>
                <wp:extent cx="0" cy="9525"/>
                <wp:wrapNone/>
                <wp:docPr id="105" name="Shape 10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05" o:spid="_x0000_s11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7.95pt,-64.7499pt" to="447.95pt,-64pt" o:allowincell="f" strokecolor="#414142" strokeweight="0pt"/>
            </w:pict>
          </mc:Fallback>
        </mc:AlternateConten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14 - Income Taxes</w:t>
      </w:r>
    </w:p>
    <w:p>
      <w:pPr>
        <w:spacing w:after="0" w:line="1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Since inception, the Company has incurred net taxable losses, and accordingly, no current provision for income taxes has been recorded. Deferred income taxes reflect the net tax effects of temporary differences between the carrying amount of assets and liabilities for financial reporting purposes and the amounts for income tax purposes. Significant components of our deferred income tax assets and liabilities are as follows (in thousands):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6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160" w:type="dxa"/>
            <w:vAlign w:val="bottom"/>
            <w:gridSpan w:val="6"/>
          </w:tcPr>
          <w:p>
            <w:pPr>
              <w:jc w:val="right"/>
              <w:ind w:right="980"/>
              <w:spacing w:after="0"/>
              <w:rPr>
                <w:sz w:val="20"/>
                <w:szCs w:val="20"/>
                <w:color w:val="auto"/>
              </w:rPr>
            </w:pPr>
            <w:r>
              <w:rPr>
                <w:rFonts w:ascii="Times New Roman" w:cs="Times New Roman" w:eastAsia="Times New Roman" w:hAnsi="Times New Roman"/>
                <w:sz w:val="20"/>
                <w:szCs w:val="20"/>
                <w:b w:val="1"/>
                <w:bCs w:val="1"/>
                <w:color w:val="231F20"/>
              </w:rPr>
              <w:t>As of December 31,</w:t>
            </w:r>
          </w:p>
        </w:tc>
      </w:tr>
      <w:tr>
        <w:trPr>
          <w:trHeight w:val="254"/>
        </w:trPr>
        <w:tc>
          <w:tcPr>
            <w:tcW w:w="5640" w:type="dxa"/>
            <w:vAlign w:val="bottom"/>
            <w:tcBorders>
              <w:bottom w:val="single" w:sz="8" w:color="E3E4E5"/>
            </w:tcBorders>
          </w:tcPr>
          <w:p>
            <w:pPr>
              <w:spacing w:after="0"/>
              <w:rPr>
                <w:sz w:val="22"/>
                <w:szCs w:val="22"/>
                <w:color w:val="auto"/>
              </w:rPr>
            </w:pPr>
          </w:p>
        </w:tc>
        <w:tc>
          <w:tcPr>
            <w:tcW w:w="1640" w:type="dxa"/>
            <w:vAlign w:val="bottom"/>
            <w:tcBorders>
              <w:bottom w:val="single" w:sz="8" w:color="E3E4E5"/>
            </w:tcBorders>
          </w:tcPr>
          <w:p>
            <w:pPr>
              <w:spacing w:after="0"/>
              <w:rPr>
                <w:sz w:val="22"/>
                <w:szCs w:val="22"/>
                <w:color w:val="auto"/>
              </w:rPr>
            </w:pPr>
          </w:p>
        </w:tc>
        <w:tc>
          <w:tcPr>
            <w:tcW w:w="360" w:type="dxa"/>
            <w:vAlign w:val="bottom"/>
            <w:tcBorders>
              <w:bottom w:val="single" w:sz="8" w:color="231F20"/>
            </w:tcBorders>
          </w:tcPr>
          <w:p>
            <w:pPr>
              <w:spacing w:after="0"/>
              <w:rPr>
                <w:sz w:val="22"/>
                <w:szCs w:val="22"/>
                <w:color w:val="auto"/>
              </w:rPr>
            </w:pPr>
          </w:p>
        </w:tc>
        <w:tc>
          <w:tcPr>
            <w:tcW w:w="1300" w:type="dxa"/>
            <w:vAlign w:val="bottom"/>
            <w:tcBorders>
              <w:bottom w:val="single" w:sz="8" w:color="231F20"/>
            </w:tcBorders>
          </w:tcPr>
          <w:p>
            <w:pPr>
              <w:jc w:val="right"/>
              <w:ind w:right="54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00" w:type="dxa"/>
            <w:vAlign w:val="bottom"/>
            <w:tcBorders>
              <w:bottom w:val="single" w:sz="8" w:color="E3E4E5"/>
            </w:tcBorders>
          </w:tcPr>
          <w:p>
            <w:pPr>
              <w:spacing w:after="0"/>
              <w:rPr>
                <w:sz w:val="22"/>
                <w:szCs w:val="22"/>
                <w:color w:val="auto"/>
              </w:rPr>
            </w:pPr>
          </w:p>
        </w:tc>
        <w:tc>
          <w:tcPr>
            <w:tcW w:w="160" w:type="dxa"/>
            <w:vAlign w:val="bottom"/>
            <w:tcBorders>
              <w:bottom w:val="single" w:sz="8" w:color="E3E4E5"/>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200" w:type="dxa"/>
            <w:vAlign w:val="bottom"/>
            <w:tcBorders>
              <w:bottom w:val="single" w:sz="8" w:color="231F20"/>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80" w:type="dxa"/>
            <w:vAlign w:val="bottom"/>
            <w:tcBorders>
              <w:bottom w:val="single" w:sz="8" w:color="E3E4E5"/>
            </w:tcBorders>
          </w:tcPr>
          <w:p>
            <w:pPr>
              <w:spacing w:after="0"/>
              <w:rPr>
                <w:sz w:val="22"/>
                <w:szCs w:val="22"/>
                <w:color w:val="auto"/>
              </w:rPr>
            </w:pPr>
          </w:p>
        </w:tc>
      </w:tr>
      <w:tr>
        <w:trPr>
          <w:trHeight w:val="239"/>
        </w:trPr>
        <w:tc>
          <w:tcPr>
            <w:tcW w:w="56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Deferred Tax Assets:</w:t>
            </w:r>
          </w:p>
        </w:tc>
        <w:tc>
          <w:tcPr>
            <w:tcW w:w="1640" w:type="dxa"/>
            <w:vAlign w:val="bottom"/>
            <w:shd w:val="clear" w:color="auto" w:fill="E3E4E5"/>
          </w:tcPr>
          <w:p>
            <w:pPr>
              <w:spacing w:after="0"/>
              <w:rPr>
                <w:sz w:val="20"/>
                <w:szCs w:val="20"/>
                <w:color w:val="auto"/>
              </w:rPr>
            </w:pPr>
          </w:p>
        </w:tc>
        <w:tc>
          <w:tcPr>
            <w:tcW w:w="360" w:type="dxa"/>
            <w:vAlign w:val="bottom"/>
            <w:shd w:val="clear" w:color="auto" w:fill="E3E4E5"/>
          </w:tcPr>
          <w:p>
            <w:pPr>
              <w:spacing w:after="0"/>
              <w:rPr>
                <w:sz w:val="20"/>
                <w:szCs w:val="20"/>
                <w:color w:val="auto"/>
              </w:rPr>
            </w:pPr>
          </w:p>
        </w:tc>
        <w:tc>
          <w:tcPr>
            <w:tcW w:w="1300" w:type="dxa"/>
            <w:vAlign w:val="bottom"/>
            <w:shd w:val="clear" w:color="auto" w:fill="E3E4E5"/>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1200" w:type="dxa"/>
            <w:vAlign w:val="bottom"/>
            <w:shd w:val="clear" w:color="auto" w:fill="E3E4E5"/>
          </w:tcPr>
          <w:p>
            <w:pPr>
              <w:spacing w:after="0"/>
              <w:rPr>
                <w:sz w:val="20"/>
                <w:szCs w:val="20"/>
                <w:color w:val="auto"/>
              </w:rPr>
            </w:pPr>
          </w:p>
        </w:tc>
        <w:tc>
          <w:tcPr>
            <w:tcW w:w="80" w:type="dxa"/>
            <w:vAlign w:val="bottom"/>
            <w:shd w:val="clear" w:color="auto" w:fill="E3E4E5"/>
          </w:tcPr>
          <w:p>
            <w:pPr>
              <w:spacing w:after="0"/>
              <w:rPr>
                <w:sz w:val="20"/>
                <w:szCs w:val="20"/>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Net operating loss carryforwards</w:t>
            </w:r>
          </w:p>
        </w:tc>
        <w:tc>
          <w:tcPr>
            <w:tcW w:w="1640" w:type="dxa"/>
            <w:vAlign w:val="bottom"/>
          </w:tcPr>
          <w:p>
            <w:pPr>
              <w:spacing w:after="0"/>
              <w:rPr>
                <w:sz w:val="21"/>
                <w:szCs w:val="21"/>
                <w:color w:val="auto"/>
              </w:rPr>
            </w:pPr>
          </w:p>
        </w:tc>
        <w:tc>
          <w:tcPr>
            <w:tcW w:w="36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231F20"/>
                <w:w w:val="79"/>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85,688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231F20"/>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78,372</w:t>
            </w:r>
          </w:p>
        </w:tc>
        <w:tc>
          <w:tcPr>
            <w:tcW w:w="80" w:type="dxa"/>
            <w:vAlign w:val="bottom"/>
          </w:tcPr>
          <w:p>
            <w:pPr>
              <w:spacing w:after="0"/>
              <w:rPr>
                <w:sz w:val="21"/>
                <w:szCs w:val="21"/>
                <w:color w:val="auto"/>
              </w:rPr>
            </w:pPr>
          </w:p>
        </w:tc>
      </w:tr>
      <w:tr>
        <w:trPr>
          <w:trHeight w:val="244"/>
        </w:trPr>
        <w:tc>
          <w:tcPr>
            <w:tcW w:w="56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Research and development tax credits</w:t>
            </w:r>
          </w:p>
        </w:tc>
        <w:tc>
          <w:tcPr>
            <w:tcW w:w="1640" w:type="dxa"/>
            <w:vAlign w:val="bottom"/>
            <w:shd w:val="clear" w:color="auto" w:fill="E3E4E5"/>
          </w:tcPr>
          <w:p>
            <w:pPr>
              <w:spacing w:after="0"/>
              <w:rPr>
                <w:sz w:val="21"/>
                <w:szCs w:val="21"/>
                <w:color w:val="auto"/>
              </w:rPr>
            </w:pPr>
          </w:p>
        </w:tc>
        <w:tc>
          <w:tcPr>
            <w:tcW w:w="360" w:type="dxa"/>
            <w:vAlign w:val="bottom"/>
            <w:shd w:val="clear" w:color="auto" w:fill="E3E4E5"/>
          </w:tcPr>
          <w:p>
            <w:pPr>
              <w:spacing w:after="0"/>
              <w:rPr>
                <w:sz w:val="21"/>
                <w:szCs w:val="21"/>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570</w:t>
            </w:r>
          </w:p>
        </w:tc>
        <w:tc>
          <w:tcPr>
            <w:tcW w:w="1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320" w:type="dxa"/>
            <w:vAlign w:val="bottom"/>
            <w:shd w:val="clear" w:color="auto" w:fill="E3E4E5"/>
          </w:tcPr>
          <w:p>
            <w:pPr>
              <w:spacing w:after="0"/>
              <w:rPr>
                <w:sz w:val="21"/>
                <w:szCs w:val="21"/>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192</w:t>
            </w:r>
          </w:p>
        </w:tc>
        <w:tc>
          <w:tcPr>
            <w:tcW w:w="80" w:type="dxa"/>
            <w:vAlign w:val="bottom"/>
            <w:shd w:val="clear" w:color="auto" w:fill="E3E4E5"/>
          </w:tcPr>
          <w:p>
            <w:pPr>
              <w:spacing w:after="0"/>
              <w:rPr>
                <w:sz w:val="21"/>
                <w:szCs w:val="2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Interest expense limitation</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8,720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7,107</w:t>
            </w:r>
          </w:p>
        </w:tc>
        <w:tc>
          <w:tcPr>
            <w:tcW w:w="80" w:type="dxa"/>
            <w:vAlign w:val="bottom"/>
          </w:tcPr>
          <w:p>
            <w:pPr>
              <w:spacing w:after="0"/>
              <w:rPr>
                <w:sz w:val="21"/>
                <w:szCs w:val="21"/>
                <w:color w:val="auto"/>
              </w:rPr>
            </w:pPr>
          </w:p>
        </w:tc>
      </w:tr>
      <w:tr>
        <w:trPr>
          <w:trHeight w:val="244"/>
        </w:trPr>
        <w:tc>
          <w:tcPr>
            <w:tcW w:w="56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Capitalized research costs</w:t>
            </w:r>
          </w:p>
        </w:tc>
        <w:tc>
          <w:tcPr>
            <w:tcW w:w="1640" w:type="dxa"/>
            <w:vAlign w:val="bottom"/>
            <w:shd w:val="clear" w:color="auto" w:fill="E3E4E5"/>
          </w:tcPr>
          <w:p>
            <w:pPr>
              <w:spacing w:after="0"/>
              <w:rPr>
                <w:sz w:val="21"/>
                <w:szCs w:val="21"/>
                <w:color w:val="auto"/>
              </w:rPr>
            </w:pPr>
          </w:p>
        </w:tc>
        <w:tc>
          <w:tcPr>
            <w:tcW w:w="360" w:type="dxa"/>
            <w:vAlign w:val="bottom"/>
            <w:shd w:val="clear" w:color="auto" w:fill="E3E4E5"/>
          </w:tcPr>
          <w:p>
            <w:pPr>
              <w:spacing w:after="0"/>
              <w:rPr>
                <w:sz w:val="21"/>
                <w:szCs w:val="21"/>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2,574</w:t>
            </w:r>
          </w:p>
        </w:tc>
        <w:tc>
          <w:tcPr>
            <w:tcW w:w="1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320" w:type="dxa"/>
            <w:vAlign w:val="bottom"/>
            <w:shd w:val="clear" w:color="auto" w:fill="E3E4E5"/>
          </w:tcPr>
          <w:p>
            <w:pPr>
              <w:spacing w:after="0"/>
              <w:rPr>
                <w:sz w:val="21"/>
                <w:szCs w:val="21"/>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5,055</w:t>
            </w:r>
          </w:p>
        </w:tc>
        <w:tc>
          <w:tcPr>
            <w:tcW w:w="80" w:type="dxa"/>
            <w:vAlign w:val="bottom"/>
            <w:shd w:val="clear" w:color="auto" w:fill="E3E4E5"/>
          </w:tcPr>
          <w:p>
            <w:pPr>
              <w:spacing w:after="0"/>
              <w:rPr>
                <w:sz w:val="21"/>
                <w:szCs w:val="21"/>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Share-based compensation</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2,294</w:t>
            </w:r>
          </w:p>
        </w:tc>
        <w:tc>
          <w:tcPr>
            <w:tcW w:w="80" w:type="dxa"/>
            <w:vAlign w:val="bottom"/>
          </w:tcPr>
          <w:p>
            <w:pPr>
              <w:spacing w:after="0"/>
              <w:rPr>
                <w:sz w:val="21"/>
                <w:szCs w:val="21"/>
                <w:color w:val="auto"/>
              </w:rPr>
            </w:pPr>
          </w:p>
        </w:tc>
      </w:tr>
      <w:tr>
        <w:trPr>
          <w:trHeight w:val="244"/>
        </w:trPr>
        <w:tc>
          <w:tcPr>
            <w:tcW w:w="56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Lease liability</w:t>
            </w:r>
          </w:p>
        </w:tc>
        <w:tc>
          <w:tcPr>
            <w:tcW w:w="1640" w:type="dxa"/>
            <w:vAlign w:val="bottom"/>
            <w:shd w:val="clear" w:color="auto" w:fill="E3E4E5"/>
          </w:tcPr>
          <w:p>
            <w:pPr>
              <w:spacing w:after="0"/>
              <w:rPr>
                <w:sz w:val="21"/>
                <w:szCs w:val="21"/>
                <w:color w:val="auto"/>
              </w:rPr>
            </w:pPr>
          </w:p>
        </w:tc>
        <w:tc>
          <w:tcPr>
            <w:tcW w:w="360" w:type="dxa"/>
            <w:vAlign w:val="bottom"/>
            <w:shd w:val="clear" w:color="auto" w:fill="E3E4E5"/>
          </w:tcPr>
          <w:p>
            <w:pPr>
              <w:spacing w:after="0"/>
              <w:rPr>
                <w:sz w:val="21"/>
                <w:szCs w:val="21"/>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6,888</w:t>
            </w:r>
          </w:p>
        </w:tc>
        <w:tc>
          <w:tcPr>
            <w:tcW w:w="100" w:type="dxa"/>
            <w:vAlign w:val="bottom"/>
            <w:shd w:val="clear" w:color="auto" w:fill="E3E4E5"/>
          </w:tcPr>
          <w:p>
            <w:pPr>
              <w:spacing w:after="0"/>
              <w:rPr>
                <w:sz w:val="21"/>
                <w:szCs w:val="21"/>
                <w:color w:val="auto"/>
              </w:rPr>
            </w:pPr>
          </w:p>
        </w:tc>
        <w:tc>
          <w:tcPr>
            <w:tcW w:w="160" w:type="dxa"/>
            <w:vAlign w:val="bottom"/>
            <w:shd w:val="clear" w:color="auto" w:fill="E3E4E5"/>
          </w:tcPr>
          <w:p>
            <w:pPr>
              <w:spacing w:after="0"/>
              <w:rPr>
                <w:sz w:val="21"/>
                <w:szCs w:val="21"/>
                <w:color w:val="auto"/>
              </w:rPr>
            </w:pPr>
          </w:p>
        </w:tc>
        <w:tc>
          <w:tcPr>
            <w:tcW w:w="320" w:type="dxa"/>
            <w:vAlign w:val="bottom"/>
            <w:shd w:val="clear" w:color="auto" w:fill="E3E4E5"/>
          </w:tcPr>
          <w:p>
            <w:pPr>
              <w:spacing w:after="0"/>
              <w:rPr>
                <w:sz w:val="21"/>
                <w:szCs w:val="21"/>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6,601</w:t>
            </w:r>
          </w:p>
        </w:tc>
        <w:tc>
          <w:tcPr>
            <w:tcW w:w="80" w:type="dxa"/>
            <w:vAlign w:val="bottom"/>
            <w:shd w:val="clear" w:color="auto" w:fill="E3E4E5"/>
          </w:tcPr>
          <w:p>
            <w:pPr>
              <w:spacing w:after="0"/>
              <w:rPr>
                <w:sz w:val="21"/>
                <w:szCs w:val="21"/>
                <w:color w:val="auto"/>
              </w:rPr>
            </w:pPr>
          </w:p>
        </w:tc>
      </w:tr>
      <w:tr>
        <w:trPr>
          <w:trHeight w:val="244"/>
        </w:trPr>
        <w:tc>
          <w:tcPr>
            <w:tcW w:w="5640" w:type="dxa"/>
            <w:vAlign w:val="bottom"/>
            <w:tcBorders>
              <w:bottom w:val="single" w:sz="8" w:color="E3E4E5"/>
            </w:tcBorders>
          </w:tcPr>
          <w:p>
            <w:pPr>
              <w:ind w:left="200"/>
              <w:spacing w:after="0"/>
              <w:rPr>
                <w:sz w:val="20"/>
                <w:szCs w:val="20"/>
                <w:color w:val="auto"/>
              </w:rPr>
            </w:pPr>
            <w:r>
              <w:rPr>
                <w:rFonts w:ascii="Times New Roman" w:cs="Times New Roman" w:eastAsia="Times New Roman" w:hAnsi="Times New Roman"/>
                <w:sz w:val="20"/>
                <w:szCs w:val="20"/>
                <w:color w:val="231F20"/>
              </w:rPr>
              <w:t>Accruals and reserves</w:t>
            </w:r>
          </w:p>
        </w:tc>
        <w:tc>
          <w:tcPr>
            <w:tcW w:w="1640" w:type="dxa"/>
            <w:vAlign w:val="bottom"/>
            <w:tcBorders>
              <w:bottom w:val="single" w:sz="8" w:color="E3E4E5"/>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1,849</w:t>
            </w:r>
          </w:p>
        </w:tc>
        <w:tc>
          <w:tcPr>
            <w:tcW w:w="100" w:type="dxa"/>
            <w:vAlign w:val="bottom"/>
            <w:tcBorders>
              <w:bottom w:val="single" w:sz="8" w:color="E3E4E5"/>
            </w:tcBorders>
          </w:tcPr>
          <w:p>
            <w:pPr>
              <w:spacing w:after="0"/>
              <w:rPr>
                <w:sz w:val="21"/>
                <w:szCs w:val="21"/>
                <w:color w:val="auto"/>
              </w:rPr>
            </w:pPr>
          </w:p>
        </w:tc>
        <w:tc>
          <w:tcPr>
            <w:tcW w:w="160" w:type="dxa"/>
            <w:vAlign w:val="bottom"/>
            <w:tcBorders>
              <w:bottom w:val="single" w:sz="8" w:color="E3E4E5"/>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1,305</w:t>
            </w:r>
          </w:p>
        </w:tc>
        <w:tc>
          <w:tcPr>
            <w:tcW w:w="80" w:type="dxa"/>
            <w:vAlign w:val="bottom"/>
            <w:tcBorders>
              <w:bottom w:val="single" w:sz="8" w:color="E3E4E5"/>
            </w:tcBorders>
          </w:tcPr>
          <w:p>
            <w:pPr>
              <w:spacing w:after="0"/>
              <w:rPr>
                <w:sz w:val="21"/>
                <w:szCs w:val="21"/>
                <w:color w:val="auto"/>
              </w:rPr>
            </w:pPr>
          </w:p>
        </w:tc>
      </w:tr>
      <w:tr>
        <w:trPr>
          <w:trHeight w:val="239"/>
        </w:trPr>
        <w:tc>
          <w:tcPr>
            <w:tcW w:w="5640" w:type="dxa"/>
            <w:vAlign w:val="bottom"/>
            <w:shd w:val="clear" w:color="auto" w:fill="E3E4E5"/>
          </w:tcPr>
          <w:p>
            <w:pPr>
              <w:ind w:left="400"/>
              <w:spacing w:after="0"/>
              <w:rPr>
                <w:sz w:val="20"/>
                <w:szCs w:val="20"/>
                <w:color w:val="auto"/>
              </w:rPr>
            </w:pPr>
            <w:r>
              <w:rPr>
                <w:rFonts w:ascii="Times New Roman" w:cs="Times New Roman" w:eastAsia="Times New Roman" w:hAnsi="Times New Roman"/>
                <w:sz w:val="20"/>
                <w:szCs w:val="20"/>
                <w:color w:val="414142"/>
              </w:rPr>
              <w:t>Total</w:t>
            </w:r>
          </w:p>
        </w:tc>
        <w:tc>
          <w:tcPr>
            <w:tcW w:w="1640" w:type="dxa"/>
            <w:vAlign w:val="bottom"/>
            <w:shd w:val="clear" w:color="auto" w:fill="E3E4E5"/>
          </w:tcPr>
          <w:p>
            <w:pPr>
              <w:spacing w:after="0"/>
              <w:rPr>
                <w:sz w:val="20"/>
                <w:szCs w:val="20"/>
                <w:color w:val="auto"/>
              </w:rPr>
            </w:pPr>
          </w:p>
        </w:tc>
        <w:tc>
          <w:tcPr>
            <w:tcW w:w="360" w:type="dxa"/>
            <w:vAlign w:val="bottom"/>
            <w:shd w:val="clear" w:color="auto" w:fill="E3E4E5"/>
          </w:tcPr>
          <w:p>
            <w:pPr>
              <w:spacing w:after="0"/>
              <w:rPr>
                <w:sz w:val="20"/>
                <w:szCs w:val="20"/>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108,724</w:t>
            </w:r>
          </w:p>
        </w:tc>
        <w:tc>
          <w:tcPr>
            <w:tcW w:w="10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100,926</w:t>
            </w:r>
          </w:p>
        </w:tc>
        <w:tc>
          <w:tcPr>
            <w:tcW w:w="80" w:type="dxa"/>
            <w:vAlign w:val="bottom"/>
            <w:shd w:val="clear" w:color="auto" w:fill="E3E4E5"/>
          </w:tcPr>
          <w:p>
            <w:pPr>
              <w:spacing w:after="0"/>
              <w:rPr>
                <w:sz w:val="20"/>
                <w:szCs w:val="20"/>
                <w:color w:val="auto"/>
              </w:rPr>
            </w:pPr>
          </w:p>
        </w:tc>
      </w:tr>
      <w:tr>
        <w:trPr>
          <w:trHeight w:val="244"/>
        </w:trPr>
        <w:tc>
          <w:tcPr>
            <w:tcW w:w="5640" w:type="dxa"/>
            <w:vAlign w:val="bottom"/>
            <w:tcBorders>
              <w:bottom w:val="single" w:sz="8" w:color="E3E4E5"/>
            </w:tcBorders>
          </w:tcPr>
          <w:p>
            <w:pPr>
              <w:spacing w:after="0"/>
              <w:rPr>
                <w:sz w:val="20"/>
                <w:szCs w:val="20"/>
                <w:color w:val="auto"/>
              </w:rPr>
            </w:pPr>
            <w:r>
              <w:rPr>
                <w:rFonts w:ascii="Times New Roman" w:cs="Times New Roman" w:eastAsia="Times New Roman" w:hAnsi="Times New Roman"/>
                <w:sz w:val="20"/>
                <w:szCs w:val="20"/>
                <w:color w:val="231F20"/>
              </w:rPr>
              <w:t>Valuation allowance</w:t>
            </w:r>
          </w:p>
        </w:tc>
        <w:tc>
          <w:tcPr>
            <w:tcW w:w="1640" w:type="dxa"/>
            <w:vAlign w:val="bottom"/>
            <w:tcBorders>
              <w:bottom w:val="single" w:sz="8" w:color="E3E4E5"/>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3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(106,525)</w:t>
            </w:r>
          </w:p>
        </w:tc>
        <w:tc>
          <w:tcPr>
            <w:tcW w:w="100" w:type="dxa"/>
            <w:vAlign w:val="bottom"/>
            <w:tcBorders>
              <w:bottom w:val="single" w:sz="8" w:color="E3E4E5"/>
            </w:tcBorders>
          </w:tcPr>
          <w:p>
            <w:pPr>
              <w:spacing w:after="0"/>
              <w:rPr>
                <w:sz w:val="21"/>
                <w:szCs w:val="21"/>
                <w:color w:val="auto"/>
              </w:rPr>
            </w:pPr>
          </w:p>
        </w:tc>
        <w:tc>
          <w:tcPr>
            <w:tcW w:w="160" w:type="dxa"/>
            <w:vAlign w:val="bottom"/>
            <w:tcBorders>
              <w:bottom w:val="single" w:sz="8" w:color="E3E4E5"/>
            </w:tcBorders>
          </w:tcPr>
          <w:p>
            <w:pPr>
              <w:spacing w:after="0"/>
              <w:rPr>
                <w:sz w:val="21"/>
                <w:szCs w:val="21"/>
                <w:color w:val="auto"/>
              </w:rPr>
            </w:pPr>
          </w:p>
        </w:tc>
        <w:tc>
          <w:tcPr>
            <w:tcW w:w="32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rPr>
              <w:t>(98,993)</w:t>
            </w:r>
          </w:p>
        </w:tc>
        <w:tc>
          <w:tcPr>
            <w:tcW w:w="80" w:type="dxa"/>
            <w:vAlign w:val="bottom"/>
            <w:tcBorders>
              <w:bottom w:val="single" w:sz="8" w:color="E3E4E5"/>
            </w:tcBorders>
          </w:tcPr>
          <w:p>
            <w:pPr>
              <w:spacing w:after="0"/>
              <w:rPr>
                <w:sz w:val="21"/>
                <w:szCs w:val="21"/>
                <w:color w:val="auto"/>
              </w:rPr>
            </w:pPr>
          </w:p>
        </w:tc>
      </w:tr>
      <w:tr>
        <w:trPr>
          <w:trHeight w:val="239"/>
        </w:trPr>
        <w:tc>
          <w:tcPr>
            <w:tcW w:w="56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Total deferred tax assets after valuation allowance</w:t>
            </w:r>
          </w:p>
        </w:tc>
        <w:tc>
          <w:tcPr>
            <w:tcW w:w="1640" w:type="dxa"/>
            <w:vAlign w:val="bottom"/>
            <w:shd w:val="clear" w:color="auto" w:fill="E3E4E5"/>
          </w:tcPr>
          <w:p>
            <w:pPr>
              <w:spacing w:after="0"/>
              <w:rPr>
                <w:sz w:val="20"/>
                <w:szCs w:val="20"/>
                <w:color w:val="auto"/>
              </w:rPr>
            </w:pPr>
          </w:p>
        </w:tc>
        <w:tc>
          <w:tcPr>
            <w:tcW w:w="360" w:type="dxa"/>
            <w:vAlign w:val="bottom"/>
            <w:shd w:val="clear" w:color="auto" w:fill="E3E4E5"/>
          </w:tcPr>
          <w:p>
            <w:pPr>
              <w:spacing w:after="0"/>
              <w:rPr>
                <w:sz w:val="20"/>
                <w:szCs w:val="20"/>
                <w:color w:val="auto"/>
              </w:rPr>
            </w:pPr>
          </w:p>
        </w:tc>
        <w:tc>
          <w:tcPr>
            <w:tcW w:w="13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2,199</w:t>
            </w:r>
          </w:p>
        </w:tc>
        <w:tc>
          <w:tcPr>
            <w:tcW w:w="100" w:type="dxa"/>
            <w:vAlign w:val="bottom"/>
            <w:shd w:val="clear" w:color="auto" w:fill="E3E4E5"/>
          </w:tcPr>
          <w:p>
            <w:pPr>
              <w:spacing w:after="0"/>
              <w:rPr>
                <w:sz w:val="20"/>
                <w:szCs w:val="20"/>
                <w:color w:val="auto"/>
              </w:rPr>
            </w:pPr>
          </w:p>
        </w:tc>
        <w:tc>
          <w:tcPr>
            <w:tcW w:w="160" w:type="dxa"/>
            <w:vAlign w:val="bottom"/>
            <w:shd w:val="clear" w:color="auto" w:fill="E3E4E5"/>
          </w:tcPr>
          <w:p>
            <w:pPr>
              <w:spacing w:after="0"/>
              <w:rPr>
                <w:sz w:val="20"/>
                <w:szCs w:val="20"/>
                <w:color w:val="auto"/>
              </w:rPr>
            </w:pPr>
          </w:p>
        </w:tc>
        <w:tc>
          <w:tcPr>
            <w:tcW w:w="320" w:type="dxa"/>
            <w:vAlign w:val="bottom"/>
            <w:shd w:val="clear" w:color="auto" w:fill="E3E4E5"/>
          </w:tcPr>
          <w:p>
            <w:pPr>
              <w:spacing w:after="0"/>
              <w:rPr>
                <w:sz w:val="20"/>
                <w:szCs w:val="20"/>
                <w:color w:val="auto"/>
              </w:rPr>
            </w:pPr>
          </w:p>
        </w:tc>
        <w:tc>
          <w:tcPr>
            <w:tcW w:w="120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1,933</w:t>
            </w:r>
          </w:p>
        </w:tc>
        <w:tc>
          <w:tcPr>
            <w:tcW w:w="80" w:type="dxa"/>
            <w:vAlign w:val="bottom"/>
            <w:shd w:val="clear" w:color="auto" w:fill="E3E4E5"/>
          </w:tcPr>
          <w:p>
            <w:pPr>
              <w:spacing w:after="0"/>
              <w:rPr>
                <w:sz w:val="20"/>
                <w:szCs w:val="20"/>
                <w:color w:val="auto"/>
              </w:rPr>
            </w:pPr>
          </w:p>
        </w:tc>
      </w:tr>
      <w:tr>
        <w:trPr>
          <w:trHeight w:val="244"/>
        </w:trPr>
        <w:tc>
          <w:tcPr>
            <w:tcW w:w="56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83"/>
        </w:trPr>
        <w:tc>
          <w:tcPr>
            <w:tcW w:w="5640" w:type="dxa"/>
            <w:vAlign w:val="bottom"/>
            <w:shd w:val="clear" w:color="auto" w:fill="E3E4E5"/>
          </w:tcPr>
          <w:p>
            <w:pPr>
              <w:spacing w:after="0"/>
              <w:rPr>
                <w:sz w:val="20"/>
                <w:szCs w:val="20"/>
                <w:color w:val="auto"/>
              </w:rPr>
            </w:pPr>
            <w:r>
              <w:rPr>
                <w:rFonts w:ascii="Times New Roman" w:cs="Times New Roman" w:eastAsia="Times New Roman" w:hAnsi="Times New Roman"/>
                <w:sz w:val="20"/>
                <w:szCs w:val="20"/>
                <w:color w:val="414142"/>
              </w:rPr>
              <w:t>Deferred Tax Liabilities:</w:t>
            </w:r>
          </w:p>
        </w:tc>
        <w:tc>
          <w:tcPr>
            <w:tcW w:w="1640" w:type="dxa"/>
            <w:vAlign w:val="bottom"/>
            <w:shd w:val="clear" w:color="auto" w:fill="E3E4E5"/>
          </w:tcPr>
          <w:p>
            <w:pPr>
              <w:spacing w:after="0"/>
              <w:rPr>
                <w:sz w:val="24"/>
                <w:szCs w:val="24"/>
                <w:color w:val="auto"/>
              </w:rPr>
            </w:pPr>
          </w:p>
        </w:tc>
        <w:tc>
          <w:tcPr>
            <w:tcW w:w="360" w:type="dxa"/>
            <w:vAlign w:val="bottom"/>
            <w:shd w:val="clear" w:color="auto" w:fill="E3E4E5"/>
          </w:tcPr>
          <w:p>
            <w:pPr>
              <w:spacing w:after="0"/>
              <w:rPr>
                <w:sz w:val="24"/>
                <w:szCs w:val="24"/>
                <w:color w:val="auto"/>
              </w:rPr>
            </w:pPr>
          </w:p>
        </w:tc>
        <w:tc>
          <w:tcPr>
            <w:tcW w:w="1300" w:type="dxa"/>
            <w:vAlign w:val="bottom"/>
            <w:shd w:val="clear" w:color="auto" w:fill="E3E4E5"/>
          </w:tcPr>
          <w:p>
            <w:pPr>
              <w:spacing w:after="0"/>
              <w:rPr>
                <w:sz w:val="24"/>
                <w:szCs w:val="24"/>
                <w:color w:val="auto"/>
              </w:rPr>
            </w:pPr>
          </w:p>
        </w:tc>
        <w:tc>
          <w:tcPr>
            <w:tcW w:w="100" w:type="dxa"/>
            <w:vAlign w:val="bottom"/>
            <w:shd w:val="clear" w:color="auto" w:fill="E3E4E5"/>
          </w:tcPr>
          <w:p>
            <w:pPr>
              <w:spacing w:after="0"/>
              <w:rPr>
                <w:sz w:val="24"/>
                <w:szCs w:val="24"/>
                <w:color w:val="auto"/>
              </w:rPr>
            </w:pPr>
          </w:p>
        </w:tc>
        <w:tc>
          <w:tcPr>
            <w:tcW w:w="160" w:type="dxa"/>
            <w:vAlign w:val="bottom"/>
            <w:shd w:val="clear" w:color="auto" w:fill="E3E4E5"/>
          </w:tcPr>
          <w:p>
            <w:pPr>
              <w:spacing w:after="0"/>
              <w:rPr>
                <w:sz w:val="24"/>
                <w:szCs w:val="24"/>
                <w:color w:val="auto"/>
              </w:rPr>
            </w:pPr>
          </w:p>
        </w:tc>
        <w:tc>
          <w:tcPr>
            <w:tcW w:w="32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80" w:type="dxa"/>
            <w:vAlign w:val="bottom"/>
            <w:shd w:val="clear" w:color="auto" w:fill="E3E4E5"/>
          </w:tcPr>
          <w:p>
            <w:pPr>
              <w:spacing w:after="0"/>
              <w:rPr>
                <w:sz w:val="24"/>
                <w:szCs w:val="24"/>
                <w:color w:val="auto"/>
              </w:rPr>
            </w:pP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Property and equipment</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(194)</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(66)</w:t>
            </w:r>
          </w:p>
        </w:tc>
      </w:tr>
      <w:tr>
        <w:trPr>
          <w:trHeight w:val="244"/>
        </w:trPr>
        <w:tc>
          <w:tcPr>
            <w:tcW w:w="56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Right-of-use asset</w:t>
            </w:r>
          </w:p>
        </w:tc>
        <w:tc>
          <w:tcPr>
            <w:tcW w:w="1640" w:type="dxa"/>
            <w:vAlign w:val="bottom"/>
            <w:shd w:val="clear" w:color="auto" w:fill="E3E4E5"/>
          </w:tcPr>
          <w:p>
            <w:pPr>
              <w:spacing w:after="0"/>
              <w:rPr>
                <w:sz w:val="21"/>
                <w:szCs w:val="21"/>
                <w:color w:val="auto"/>
              </w:rPr>
            </w:pPr>
          </w:p>
        </w:tc>
        <w:tc>
          <w:tcPr>
            <w:tcW w:w="360" w:type="dxa"/>
            <w:vAlign w:val="bottom"/>
            <w:shd w:val="clear" w:color="auto" w:fill="E3E4E5"/>
          </w:tcPr>
          <w:p>
            <w:pPr>
              <w:spacing w:after="0"/>
              <w:rPr>
                <w:sz w:val="21"/>
                <w:szCs w:val="21"/>
                <w:color w:val="auto"/>
              </w:rPr>
            </w:pPr>
          </w:p>
        </w:tc>
        <w:tc>
          <w:tcPr>
            <w:tcW w:w="1400" w:type="dxa"/>
            <w:vAlign w:val="bottom"/>
            <w:gridSpan w:val="2"/>
            <w:shd w:val="clear" w:color="auto" w:fill="E3E4E5"/>
          </w:tcPr>
          <w:p>
            <w:pPr>
              <w:jc w:val="right"/>
              <w:ind w:right="40"/>
              <w:spacing w:after="0"/>
              <w:rPr>
                <w:sz w:val="20"/>
                <w:szCs w:val="20"/>
                <w:color w:val="auto"/>
              </w:rPr>
            </w:pPr>
            <w:r>
              <w:rPr>
                <w:rFonts w:ascii="Times New Roman" w:cs="Times New Roman" w:eastAsia="Times New Roman" w:hAnsi="Times New Roman"/>
                <w:sz w:val="20"/>
                <w:szCs w:val="20"/>
                <w:color w:val="414142"/>
              </w:rPr>
              <w:t>(1,527)</w:t>
            </w:r>
          </w:p>
        </w:tc>
        <w:tc>
          <w:tcPr>
            <w:tcW w:w="160" w:type="dxa"/>
            <w:vAlign w:val="bottom"/>
            <w:shd w:val="clear" w:color="auto" w:fill="E3E4E5"/>
          </w:tcPr>
          <w:p>
            <w:pPr>
              <w:spacing w:after="0"/>
              <w:rPr>
                <w:sz w:val="21"/>
                <w:szCs w:val="21"/>
                <w:color w:val="auto"/>
              </w:rPr>
            </w:pPr>
          </w:p>
        </w:tc>
        <w:tc>
          <w:tcPr>
            <w:tcW w:w="320" w:type="dxa"/>
            <w:vAlign w:val="bottom"/>
            <w:shd w:val="clear" w:color="auto" w:fill="E3E4E5"/>
          </w:tcPr>
          <w:p>
            <w:pPr>
              <w:spacing w:after="0"/>
              <w:rPr>
                <w:sz w:val="21"/>
                <w:szCs w:val="21"/>
                <w:color w:val="auto"/>
              </w:rPr>
            </w:pPr>
          </w:p>
        </w:tc>
        <w:tc>
          <w:tcPr>
            <w:tcW w:w="1280" w:type="dxa"/>
            <w:vAlign w:val="bottom"/>
            <w:gridSpan w:val="2"/>
            <w:shd w:val="clear" w:color="auto" w:fill="E3E4E5"/>
          </w:tcPr>
          <w:p>
            <w:pPr>
              <w:jc w:val="right"/>
              <w:ind w:right="20"/>
              <w:spacing w:after="0"/>
              <w:rPr>
                <w:sz w:val="20"/>
                <w:szCs w:val="20"/>
                <w:color w:val="auto"/>
              </w:rPr>
            </w:pPr>
            <w:r>
              <w:rPr>
                <w:rFonts w:ascii="Times New Roman" w:cs="Times New Roman" w:eastAsia="Times New Roman" w:hAnsi="Times New Roman"/>
                <w:sz w:val="20"/>
                <w:szCs w:val="20"/>
                <w:color w:val="414142"/>
              </w:rPr>
              <w:t>(977)</w:t>
            </w:r>
          </w:p>
        </w:tc>
      </w:tr>
      <w:tr>
        <w:trPr>
          <w:trHeight w:val="244"/>
        </w:trPr>
        <w:tc>
          <w:tcPr>
            <w:tcW w:w="56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Intangible assets</w:t>
            </w:r>
          </w:p>
        </w:tc>
        <w:tc>
          <w:tcPr>
            <w:tcW w:w="1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(478)</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(890)</w:t>
            </w:r>
          </w:p>
        </w:tc>
      </w:tr>
      <w:tr>
        <w:trPr>
          <w:trHeight w:val="239"/>
        </w:trPr>
        <w:tc>
          <w:tcPr>
            <w:tcW w:w="5640" w:type="dxa"/>
            <w:vAlign w:val="bottom"/>
            <w:tcBorders>
              <w:top w:val="single" w:sz="8" w:color="E3E4E5"/>
            </w:tcBorders>
            <w:shd w:val="clear" w:color="auto" w:fill="E3E4E5"/>
          </w:tcPr>
          <w:p>
            <w:pPr>
              <w:ind w:left="400"/>
              <w:spacing w:after="0"/>
              <w:rPr>
                <w:sz w:val="20"/>
                <w:szCs w:val="20"/>
                <w:color w:val="auto"/>
              </w:rPr>
            </w:pPr>
            <w:r>
              <w:rPr>
                <w:rFonts w:ascii="Times New Roman" w:cs="Times New Roman" w:eastAsia="Times New Roman" w:hAnsi="Times New Roman"/>
                <w:sz w:val="20"/>
                <w:szCs w:val="20"/>
                <w:color w:val="414142"/>
              </w:rPr>
              <w:t>Total deferred tax liabilities</w:t>
            </w:r>
          </w:p>
        </w:tc>
        <w:tc>
          <w:tcPr>
            <w:tcW w:w="1640" w:type="dxa"/>
            <w:vAlign w:val="bottom"/>
            <w:tcBorders>
              <w:top w:val="single" w:sz="8" w:color="E3E4E5"/>
            </w:tcBorders>
            <w:shd w:val="clear" w:color="auto" w:fill="E3E4E5"/>
          </w:tcPr>
          <w:p>
            <w:pPr>
              <w:spacing w:after="0"/>
              <w:rPr>
                <w:sz w:val="20"/>
                <w:szCs w:val="20"/>
                <w:color w:val="auto"/>
              </w:rPr>
            </w:pPr>
          </w:p>
        </w:tc>
        <w:tc>
          <w:tcPr>
            <w:tcW w:w="360" w:type="dxa"/>
            <w:vAlign w:val="bottom"/>
            <w:tcBorders>
              <w:top w:val="single" w:sz="8" w:color="231F20"/>
            </w:tcBorders>
            <w:shd w:val="clear" w:color="auto" w:fill="E3E4E5"/>
          </w:tcPr>
          <w:p>
            <w:pPr>
              <w:spacing w:after="0"/>
              <w:rPr>
                <w:sz w:val="20"/>
                <w:szCs w:val="20"/>
                <w:color w:val="auto"/>
              </w:rPr>
            </w:pPr>
          </w:p>
        </w:tc>
        <w:tc>
          <w:tcPr>
            <w:tcW w:w="13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(2,199)</w:t>
            </w:r>
          </w:p>
        </w:tc>
        <w:tc>
          <w:tcPr>
            <w:tcW w:w="100" w:type="dxa"/>
            <w:vAlign w:val="bottom"/>
            <w:tcBorders>
              <w:top w:val="single" w:sz="8" w:color="E3E4E5"/>
            </w:tcBorders>
            <w:shd w:val="clear" w:color="auto" w:fill="E3E4E5"/>
          </w:tcPr>
          <w:p>
            <w:pPr>
              <w:spacing w:after="0"/>
              <w:rPr>
                <w:sz w:val="20"/>
                <w:szCs w:val="20"/>
                <w:color w:val="auto"/>
              </w:rPr>
            </w:pPr>
          </w:p>
        </w:tc>
        <w:tc>
          <w:tcPr>
            <w:tcW w:w="160" w:type="dxa"/>
            <w:vAlign w:val="bottom"/>
            <w:tcBorders>
              <w:top w:val="single" w:sz="8" w:color="E3E4E5"/>
            </w:tcBorders>
            <w:shd w:val="clear" w:color="auto" w:fill="E3E4E5"/>
          </w:tcPr>
          <w:p>
            <w:pPr>
              <w:spacing w:after="0"/>
              <w:rPr>
                <w:sz w:val="20"/>
                <w:szCs w:val="20"/>
                <w:color w:val="auto"/>
              </w:rPr>
            </w:pPr>
          </w:p>
        </w:tc>
        <w:tc>
          <w:tcPr>
            <w:tcW w:w="320" w:type="dxa"/>
            <w:vAlign w:val="bottom"/>
            <w:tcBorders>
              <w:top w:val="single" w:sz="8" w:color="231F20"/>
            </w:tcBorders>
            <w:shd w:val="clear" w:color="auto" w:fill="E3E4E5"/>
          </w:tcPr>
          <w:p>
            <w:pPr>
              <w:spacing w:after="0"/>
              <w:rPr>
                <w:sz w:val="20"/>
                <w:szCs w:val="20"/>
                <w:color w:val="auto"/>
              </w:rPr>
            </w:pPr>
          </w:p>
        </w:tc>
        <w:tc>
          <w:tcPr>
            <w:tcW w:w="120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(1,933)</w:t>
            </w:r>
          </w:p>
        </w:tc>
        <w:tc>
          <w:tcPr>
            <w:tcW w:w="80" w:type="dxa"/>
            <w:vAlign w:val="bottom"/>
            <w:tcBorders>
              <w:top w:val="single" w:sz="8" w:color="E3E4E5"/>
            </w:tcBorders>
            <w:shd w:val="clear" w:color="auto" w:fill="E3E4E5"/>
          </w:tcPr>
          <w:p>
            <w:pPr>
              <w:spacing w:after="0"/>
              <w:rPr>
                <w:sz w:val="20"/>
                <w:szCs w:val="20"/>
                <w:color w:val="auto"/>
              </w:rPr>
            </w:pPr>
          </w:p>
        </w:tc>
      </w:tr>
      <w:tr>
        <w:trPr>
          <w:trHeight w:val="259"/>
        </w:trPr>
        <w:tc>
          <w:tcPr>
            <w:tcW w:w="5640" w:type="dxa"/>
            <w:vAlign w:val="bottom"/>
          </w:tcPr>
          <w:p>
            <w:pPr>
              <w:spacing w:after="0"/>
              <w:rPr>
                <w:sz w:val="20"/>
                <w:szCs w:val="20"/>
                <w:color w:val="auto"/>
              </w:rPr>
            </w:pPr>
            <w:r>
              <w:rPr>
                <w:rFonts w:ascii="Times New Roman" w:cs="Times New Roman" w:eastAsia="Times New Roman" w:hAnsi="Times New Roman"/>
                <w:sz w:val="20"/>
                <w:szCs w:val="20"/>
                <w:color w:val="231F20"/>
              </w:rPr>
              <w:t>Net deferred tax assets and liabilities</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231F20"/>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231F20"/>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0"/>
        </w:trPr>
        <w:tc>
          <w:tcPr>
            <w:tcW w:w="56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60" w:type="dxa"/>
            <w:vAlign w:val="bottom"/>
            <w:tcBorders>
              <w:top w:val="single" w:sz="8" w:color="231F20"/>
              <w:bottom w:val="single" w:sz="8" w:color="231F20"/>
            </w:tcBorders>
          </w:tcPr>
          <w:p>
            <w:pPr>
              <w:spacing w:after="0" w:line="20" w:lineRule="exact"/>
              <w:rPr>
                <w:sz w:val="1"/>
                <w:szCs w:val="1"/>
                <w:color w:val="auto"/>
              </w:rPr>
            </w:pPr>
          </w:p>
        </w:tc>
        <w:tc>
          <w:tcPr>
            <w:tcW w:w="1300" w:type="dxa"/>
            <w:vAlign w:val="bottom"/>
            <w:tcBorders>
              <w:top w:val="single" w:sz="8" w:color="231F20"/>
              <w:bottom w:val="single" w:sz="8" w:color="231F20"/>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231F20"/>
              <w:bottom w:val="single" w:sz="8" w:color="231F20"/>
            </w:tcBorders>
          </w:tcPr>
          <w:p>
            <w:pPr>
              <w:spacing w:after="0" w:line="20" w:lineRule="exact"/>
              <w:rPr>
                <w:sz w:val="1"/>
                <w:szCs w:val="1"/>
                <w:color w:val="auto"/>
              </w:rPr>
            </w:pPr>
          </w:p>
        </w:tc>
        <w:tc>
          <w:tcPr>
            <w:tcW w:w="320" w:type="dxa"/>
            <w:vAlign w:val="bottom"/>
            <w:tcBorders>
              <w:top w:val="single" w:sz="8" w:color="231F20"/>
              <w:bottom w:val="single" w:sz="8" w:color="231F20"/>
            </w:tcBorders>
          </w:tcPr>
          <w:p>
            <w:pPr>
              <w:spacing w:after="0" w:line="20" w:lineRule="exact"/>
              <w:rPr>
                <w:sz w:val="1"/>
                <w:szCs w:val="1"/>
                <w:color w:val="auto"/>
              </w:rPr>
            </w:pPr>
          </w:p>
        </w:tc>
        <w:tc>
          <w:tcPr>
            <w:tcW w:w="1200" w:type="dxa"/>
            <w:vAlign w:val="bottom"/>
            <w:tcBorders>
              <w:top w:val="single" w:sz="8" w:color="231F20"/>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4598670</wp:posOffset>
            </wp:positionH>
            <wp:positionV relativeFrom="paragraph">
              <wp:posOffset>-3072765</wp:posOffset>
            </wp:positionV>
            <wp:extent cx="2223770" cy="476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58">
                      <a:extLst>
                        <a:ext uri="{28A0092B-C50C-407E-A947-70E740481C1C}"/>
                      </a:extLst>
                    </a:blip>
                    <a:srcRect/>
                    <a:stretch>
                      <a:fillRect/>
                    </a:stretch>
                  </pic:blipFill>
                  <pic:spPr bwMode="auto">
                    <a:xfrm>
                      <a:off x="0" y="0"/>
                      <a:ext cx="2223770" cy="47625"/>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4617720</wp:posOffset>
                </wp:positionH>
                <wp:positionV relativeFrom="paragraph">
                  <wp:posOffset>-2889250</wp:posOffset>
                </wp:positionV>
                <wp:extent cx="0" cy="9525"/>
                <wp:wrapNone/>
                <wp:docPr id="107" name="Shape 10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07" o:spid="_x0000_s11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6pt,-227.4999pt" to="363.6pt,-226.7499pt" o:allowincell="f" strokecolor="#414142" strokeweight="0pt"/>
            </w:pict>
          </mc:Fallback>
        </mc:AlternateContent>
        <w:drawing>
          <wp:anchor simplePos="0" relativeHeight="251657728" behindDoc="1" locked="0" layoutInCell="0" allowOverlap="1">
            <wp:simplePos x="0" y="0"/>
            <wp:positionH relativeFrom="column">
              <wp:posOffset>4598670</wp:posOffset>
            </wp:positionH>
            <wp:positionV relativeFrom="paragraph">
              <wp:posOffset>-2898775</wp:posOffset>
            </wp:positionV>
            <wp:extent cx="109664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59">
                      <a:extLst>
                        <a:ext uri="{28A0092B-C50C-407E-A947-70E740481C1C}"/>
                      </a:extLst>
                    </a:blip>
                    <a:srcRect/>
                    <a:stretch>
                      <a:fillRect/>
                    </a:stretch>
                  </pic:blipFill>
                  <pic:spPr bwMode="auto">
                    <a:xfrm>
                      <a:off x="0" y="0"/>
                      <a:ext cx="109664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4617720</wp:posOffset>
                </wp:positionH>
                <wp:positionV relativeFrom="paragraph">
                  <wp:posOffset>-1640205</wp:posOffset>
                </wp:positionV>
                <wp:extent cx="0" cy="9525"/>
                <wp:wrapNone/>
                <wp:docPr id="109" name="Shape 10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09" o:spid="_x0000_s11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6pt,-129.1499pt" to="363.6pt,-128.3999pt" o:allowincell="f" strokecolor="#414142" strokeweight="0pt"/>
            </w:pict>
          </mc:Fallback>
        </mc:AlternateContent>
        <w:drawing>
          <wp:anchor simplePos="0" relativeHeight="251657728" behindDoc="1" locked="0" layoutInCell="0" allowOverlap="1">
            <wp:simplePos x="0" y="0"/>
            <wp:positionH relativeFrom="column">
              <wp:posOffset>4598670</wp:posOffset>
            </wp:positionH>
            <wp:positionV relativeFrom="paragraph">
              <wp:posOffset>-1649730</wp:posOffset>
            </wp:positionV>
            <wp:extent cx="222377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0">
                      <a:extLst>
                        <a:ext uri="{28A0092B-C50C-407E-A947-70E740481C1C}"/>
                      </a:extLst>
                    </a:blip>
                    <a:srcRect/>
                    <a:stretch>
                      <a:fillRect/>
                    </a:stretch>
                  </pic:blipFill>
                  <pic:spPr bwMode="auto">
                    <a:xfrm>
                      <a:off x="0" y="0"/>
                      <a:ext cx="2223770"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4617720</wp:posOffset>
                </wp:positionH>
                <wp:positionV relativeFrom="paragraph">
                  <wp:posOffset>-1320800</wp:posOffset>
                </wp:positionV>
                <wp:extent cx="0" cy="9525"/>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6pt,-104pt" to="363.6pt,-103.2499pt" o:allowincell="f" strokecolor="#414142" strokeweight="0pt"/>
            </w:pict>
          </mc:Fallback>
        </mc:AlternateContent>
        <w:drawing>
          <wp:anchor simplePos="0" relativeHeight="251657728" behindDoc="1" locked="0" layoutInCell="0" allowOverlap="1">
            <wp:simplePos x="0" y="0"/>
            <wp:positionH relativeFrom="column">
              <wp:posOffset>4598670</wp:posOffset>
            </wp:positionH>
            <wp:positionV relativeFrom="paragraph">
              <wp:posOffset>-1330325</wp:posOffset>
            </wp:positionV>
            <wp:extent cx="12001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61">
                      <a:extLst>
                        <a:ext uri="{28A0092B-C50C-407E-A947-70E740481C1C}"/>
                      </a:extLst>
                    </a:blip>
                    <a:srcRect/>
                    <a:stretch>
                      <a:fillRect/>
                    </a:stretch>
                  </pic:blipFill>
                  <pic:spPr bwMode="auto">
                    <a:xfrm>
                      <a:off x="0" y="0"/>
                      <a:ext cx="120015" cy="38100"/>
                    </a:xfrm>
                    <a:prstGeom prst="rect">
                      <a:avLst/>
                    </a:prstGeom>
                    <a:noFill/>
                  </pic:spPr>
                </pic:pic>
              </a:graphicData>
            </a:graphic>
          </wp:anchor>
        </w:drawing>
        <w:drawing>
          <wp:anchor simplePos="0" relativeHeight="251657728" behindDoc="1" locked="0" layoutInCell="0" allowOverlap="1">
            <wp:simplePos x="0" y="0"/>
            <wp:positionH relativeFrom="column">
              <wp:posOffset>5826125</wp:posOffset>
            </wp:positionH>
            <wp:positionV relativeFrom="paragraph">
              <wp:posOffset>-1330325</wp:posOffset>
            </wp:positionV>
            <wp:extent cx="99631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62">
                      <a:extLst>
                        <a:ext uri="{28A0092B-C50C-407E-A947-70E740481C1C}"/>
                      </a:extLst>
                    </a:blip>
                    <a:srcRect/>
                    <a:stretch>
                      <a:fillRect/>
                    </a:stretch>
                  </pic:blipFill>
                  <pic:spPr bwMode="auto">
                    <a:xfrm>
                      <a:off x="0" y="0"/>
                      <a:ext cx="996315" cy="3810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4617720</wp:posOffset>
                </wp:positionH>
                <wp:positionV relativeFrom="paragraph">
                  <wp:posOffset>-356870</wp:posOffset>
                </wp:positionV>
                <wp:extent cx="0" cy="9525"/>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525"/>
                        </a:xfrm>
                        <a:prstGeom prst="line">
                          <a:avLst/>
                        </a:prstGeom>
                        <a:solidFill>
                          <a:srgbClr val="FFFFFF"/>
                        </a:solidFill>
                        <a:ln w="0">
                          <a:solidFill>
                            <a:srgbClr val="414142"/>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63.6pt,-28.0999pt" to="363.6pt,-27.3499pt" o:allowincell="f" strokecolor="#414142" strokeweight="0pt"/>
            </w:pict>
          </mc:Fallback>
        </mc:AlternateContent>
        <w:drawing>
          <wp:anchor simplePos="0" relativeHeight="251657728" behindDoc="1" locked="0" layoutInCell="0" allowOverlap="1">
            <wp:simplePos x="0" y="0"/>
            <wp:positionH relativeFrom="column">
              <wp:posOffset>4598670</wp:posOffset>
            </wp:positionH>
            <wp:positionV relativeFrom="paragraph">
              <wp:posOffset>-366395</wp:posOffset>
            </wp:positionV>
            <wp:extent cx="2223770"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63">
                      <a:extLst>
                        <a:ext uri="{28A0092B-C50C-407E-A947-70E740481C1C}"/>
                      </a:extLst>
                    </a:blip>
                    <a:srcRect/>
                    <a:stretch>
                      <a:fillRect/>
                    </a:stretch>
                  </pic:blipFill>
                  <pic:spPr bwMode="auto">
                    <a:xfrm>
                      <a:off x="0" y="0"/>
                      <a:ext cx="2223770" cy="38100"/>
                    </a:xfrm>
                    <a:prstGeom prst="rect">
                      <a:avLst/>
                    </a:prstGeom>
                    <a:noFill/>
                  </pic:spPr>
                </pic:pic>
              </a:graphicData>
            </a:graphic>
          </wp:anchor>
        </w:drawing>
        <w:drawing>
          <wp:anchor simplePos="0" relativeHeight="251657728" behindDoc="1" locked="0" layoutInCell="0" allowOverlap="1">
            <wp:simplePos x="0" y="0"/>
            <wp:positionH relativeFrom="column">
              <wp:posOffset>4598670</wp:posOffset>
            </wp:positionH>
            <wp:positionV relativeFrom="paragraph">
              <wp:posOffset>-211455</wp:posOffset>
            </wp:positionV>
            <wp:extent cx="2223770" cy="4762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64">
                      <a:extLst>
                        <a:ext uri="{28A0092B-C50C-407E-A947-70E740481C1C}"/>
                      </a:extLst>
                    </a:blip>
                    <a:srcRect/>
                    <a:stretch>
                      <a:fillRect/>
                    </a:stretch>
                  </pic:blipFill>
                  <pic:spPr bwMode="auto">
                    <a:xfrm>
                      <a:off x="0" y="0"/>
                      <a:ext cx="2223770" cy="47625"/>
                    </a:xfrm>
                    <a:prstGeom prst="rect">
                      <a:avLst/>
                    </a:prstGeom>
                    <a:noFill/>
                  </pic:spPr>
                </pic:pic>
              </a:graphicData>
            </a:graphic>
          </wp:anchor>
        </w:drawing>
      </w:r>
    </w:p>
    <w:p>
      <w:pPr>
        <w:spacing w:after="0" w:line="2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On July 4, 2025, the One Big Beautiful Bill Act (the OBBBA) was enacted into law. The OBBBA includes several significant tax law changes applicable to the Company.</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Key provisions include:</w:t>
      </w:r>
    </w:p>
    <w:p>
      <w:pPr>
        <w:spacing w:after="0" w:line="130" w:lineRule="exact"/>
        <w:rPr>
          <w:sz w:val="20"/>
          <w:szCs w:val="20"/>
          <w:color w:val="auto"/>
        </w:rPr>
      </w:pPr>
    </w:p>
    <w:p>
      <w:pPr>
        <w:ind w:left="980" w:right="40" w:hanging="490"/>
        <w:spacing w:after="0" w:line="253" w:lineRule="auto"/>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Section 174 Research and Experimental Expenditures</w:t>
      </w:r>
      <w:r>
        <w:rPr>
          <w:rFonts w:ascii="Times New Roman" w:cs="Times New Roman" w:eastAsia="Times New Roman" w:hAnsi="Times New Roman"/>
          <w:sz w:val="20"/>
          <w:szCs w:val="20"/>
          <w:color w:val="231F20"/>
        </w:rPr>
        <w:t>: The OBBBA repeals the requirement to capitalize and amortize</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domestic research and experimental expenditures. Effective for tax years beginning after December 31, 2024, such expenditures may be immediately expensed. Taxpayers may elect to reverse previously capitalized Section 174 amounts over a one- or two-year period.</w:t>
      </w:r>
    </w:p>
    <w:p>
      <w:pPr>
        <w:spacing w:after="0" w:line="83" w:lineRule="exact"/>
        <w:rPr>
          <w:rFonts w:ascii="Arial" w:cs="Arial" w:eastAsia="Arial" w:hAnsi="Arial"/>
          <w:sz w:val="20"/>
          <w:szCs w:val="20"/>
          <w:color w:val="231F20"/>
        </w:rPr>
      </w:pPr>
    </w:p>
    <w:p>
      <w:pPr>
        <w:ind w:left="980" w:right="300" w:hanging="490"/>
        <w:spacing w:after="0" w:line="260" w:lineRule="auto"/>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Section 163(j) Interest Deduction Limitation</w:t>
      </w:r>
      <w:r>
        <w:rPr>
          <w:rFonts w:ascii="Times New Roman" w:cs="Times New Roman" w:eastAsia="Times New Roman" w:hAnsi="Times New Roman"/>
          <w:sz w:val="20"/>
          <w:szCs w:val="20"/>
          <w:color w:val="231F20"/>
        </w:rPr>
        <w:t>: The calculation of adjusted taxable income for purposes of the Section</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163(j) limitation will include an addback for depreciation and amortization, potentially increasing the Company’s allowable interest deductions.</w:t>
      </w:r>
    </w:p>
    <w:p>
      <w:pPr>
        <w:spacing w:after="0" w:line="76" w:lineRule="exact"/>
        <w:rPr>
          <w:rFonts w:ascii="Arial" w:cs="Arial" w:eastAsia="Arial" w:hAnsi="Arial"/>
          <w:sz w:val="20"/>
          <w:szCs w:val="20"/>
          <w:color w:val="231F20"/>
        </w:rPr>
      </w:pPr>
    </w:p>
    <w:p>
      <w:pPr>
        <w:ind w:left="980" w:right="340" w:hanging="490"/>
        <w:spacing w:after="0" w:line="260" w:lineRule="auto"/>
        <w:tabs>
          <w:tab w:leader="none" w:pos="980" w:val="left"/>
        </w:tabs>
        <w:numPr>
          <w:ilvl w:val="0"/>
          <w:numId w:val="60"/>
        </w:numPr>
        <w:rPr>
          <w:rFonts w:ascii="Arial" w:cs="Arial" w:eastAsia="Arial" w:hAnsi="Arial"/>
          <w:sz w:val="20"/>
          <w:szCs w:val="20"/>
          <w:color w:val="231F20"/>
        </w:rPr>
      </w:pPr>
      <w:r>
        <w:rPr>
          <w:rFonts w:ascii="Times New Roman" w:cs="Times New Roman" w:eastAsia="Times New Roman" w:hAnsi="Times New Roman"/>
          <w:sz w:val="20"/>
          <w:szCs w:val="20"/>
          <w:b w:val="1"/>
          <w:bCs w:val="1"/>
          <w:color w:val="231F20"/>
        </w:rPr>
        <w:t>Bonus Depreciation</w:t>
      </w:r>
      <w:r>
        <w:rPr>
          <w:rFonts w:ascii="Times New Roman" w:cs="Times New Roman" w:eastAsia="Times New Roman" w:hAnsi="Times New Roman"/>
          <w:sz w:val="20"/>
          <w:szCs w:val="20"/>
          <w:color w:val="231F20"/>
        </w:rPr>
        <w:t>: The OBBBA extends 100% bonus depreciation for qualified property. This provision allows for</w:t>
      </w:r>
      <w:r>
        <w:rPr>
          <w:rFonts w:ascii="Times New Roman" w:cs="Times New Roman" w:eastAsia="Times New Roman" w:hAnsi="Times New Roman"/>
          <w:sz w:val="20"/>
          <w:szCs w:val="20"/>
          <w:b w:val="1"/>
          <w:bCs w:val="1"/>
          <w:color w:val="231F20"/>
        </w:rPr>
        <w:t xml:space="preserve"> </w:t>
      </w:r>
      <w:r>
        <w:rPr>
          <w:rFonts w:ascii="Times New Roman" w:cs="Times New Roman" w:eastAsia="Times New Roman" w:hAnsi="Times New Roman"/>
          <w:sz w:val="20"/>
          <w:szCs w:val="20"/>
          <w:color w:val="231F20"/>
        </w:rPr>
        <w:t>immediate expensing of eligible capital investments, which may accelerate tax deductions for the Company’s future capital expenditures.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As of December 31, 2025, the Company maintains a full valuation allowance against its net deferred tax assets and liabilities.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231F20"/>
        </w:rPr>
        <w:t>Accordingly, the enactment of the OBBBA did not have a material impact to the Company.</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F-27</w:t>
      </w:r>
    </w:p>
    <w:p>
      <w:pPr>
        <w:sectPr>
          <w:pgSz w:w="11880" w:h="15480" w:orient="portrait"/>
          <w:cols w:equalWidth="0" w:num="1">
            <w:col w:w="10800"/>
          </w:cols>
          <w:pgMar w:left="540" w:top="750" w:right="540" w:bottom="6" w:gutter="0" w:footer="0" w:header="0"/>
          <w:type w:val="continuous"/>
        </w:sectPr>
      </w:pPr>
    </w:p>
    <w:bookmarkStart w:id="116" w:name="page117"/>
    <w:bookmarkEnd w:id="116"/>
    <w:p>
      <w:pPr>
        <w:jc w:val="both"/>
        <w:spacing w:after="0" w:line="245" w:lineRule="auto"/>
        <w:rPr>
          <w:sz w:val="20"/>
          <w:szCs w:val="20"/>
          <w:color w:val="auto"/>
        </w:rPr>
      </w:pPr>
      <w:r>
        <w:rPr>
          <w:rFonts w:ascii="Times New Roman" w:cs="Times New Roman" w:eastAsia="Times New Roman" w:hAnsi="Times New Roman"/>
          <w:sz w:val="20"/>
          <w:szCs w:val="20"/>
          <w:color w:val="231F20"/>
        </w:rPr>
        <w:t>Management regularly assesses the ability to realize deferred tax assets recorded based upon the weight of available evidence, including such factors as recent earnings history and expected future taxable income on a jurisdiction by jurisdiction basis. In the event that the Company changes its determination as to the amount of realizable deferred tax assets, the Company will adjust its valuation allowance with a corresponding impact to the provision for income taxes in the period in which such determination is made. The Company’s management believes that, based on a number of factors, it is more likely than not, that all or some portion of the deferred tax assets will not be realized. Accordingly, for the years ended December 31, 2025 and 2024, the Company has provided a valuation allowance against the Company’s U.S. net deferred tax assets. The net change in the valuation allowance for the year ended December 31, 2025 and 2024, was an increase of $7.5 million and $6.0 million, respectively.</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As of December 31, 2025, the Company had net operating loss carryforwards for federal income tax purposes of approximately $358.9 million which will begin to expire in 2026, with $182.0 million lasting indefinitely. As of December 31, 2025, the Company had net operating loss carryforwards for state income tax purposes of approximately $ 199.4 million, which began to expire on December 31, 2025. The Internal Revenue Code of 1986, as amended, imposes restrictions on the utilization of net operating losses in the event of an “ownership change” of a corporation. Accordingly, a company’s ability to use net operating losses may be limited as prescribed under Internal Revenue Code Section 382 (IRC Section 382). Events which may cause limitations in the amount of the net operating losses that the Company may use in any one year include, but are not limited to, a cumulative ownership change of more than 50% over a three-year period. Utilization of the federal and state net operating losses may be subject to substantial annual limitation due to the ownership change limitations provided by the IRC Section 382 and similar state provisions.</w:t>
      </w:r>
    </w:p>
    <w:p>
      <w:pPr>
        <w:spacing w:after="0" w:line="8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As of December 31, 2025, the Company had federal and state research credit carryforwards of approximately $0.7 million and zero, respectively. The federal research credit carryforwards will begin to expire in 2027.</w:t>
      </w:r>
    </w:p>
    <w:p>
      <w:pPr>
        <w:spacing w:after="0" w:line="4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231F20"/>
        </w:rPr>
        <w:t>During 2025, the Company determined that it has uncertain tax positions related to its U.S. research and development credits. The Company's policy is to recognize interest and penalties accrued on any unrecognized tax benefits as a component of income tax expense. As of December 31, 2025 and 2024, there was no accrued interest and penalties related to uncertain tax positions. As of December 31, 2025, no unrecognized tax benefits, if recognized, would have an impact on the Company's effective tax rate. The Company does not believe it is reasonably possible that its unrecognized tax benefits will significantly change in the next twelve months. A reconciliation of beginning and ending balances for unrecognized tax benefits is as follows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8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900" w:type="dxa"/>
            <w:vAlign w:val="bottom"/>
            <w:gridSpan w:val="4"/>
          </w:tcPr>
          <w:p>
            <w:pPr>
              <w:jc w:val="right"/>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54"/>
        </w:trPr>
        <w:tc>
          <w:tcPr>
            <w:tcW w:w="5860" w:type="dxa"/>
            <w:vAlign w:val="bottom"/>
          </w:tcPr>
          <w:p>
            <w:pPr>
              <w:spacing w:after="0"/>
              <w:rPr>
                <w:sz w:val="22"/>
                <w:szCs w:val="22"/>
                <w:color w:val="auto"/>
              </w:rPr>
            </w:pPr>
          </w:p>
        </w:tc>
        <w:tc>
          <w:tcPr>
            <w:tcW w:w="260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480" w:type="dxa"/>
            <w:vAlign w:val="bottom"/>
          </w:tcPr>
          <w:p>
            <w:pPr>
              <w:spacing w:after="0"/>
              <w:rPr>
                <w:sz w:val="22"/>
                <w:szCs w:val="22"/>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78"/>
        </w:trPr>
        <w:tc>
          <w:tcPr>
            <w:tcW w:w="586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Balance at January 1</w:t>
            </w:r>
          </w:p>
        </w:tc>
        <w:tc>
          <w:tcPr>
            <w:tcW w:w="1400" w:type="dxa"/>
            <w:vAlign w:val="bottom"/>
            <w:tcBorders>
              <w:top w:val="single" w:sz="8" w:color="E3E4E5"/>
            </w:tcBorders>
            <w:shd w:val="clear" w:color="auto" w:fill="E3E4E5"/>
          </w:tcPr>
          <w:p>
            <w:pPr>
              <w:spacing w:after="0"/>
              <w:rPr>
                <w:sz w:val="24"/>
                <w:szCs w:val="24"/>
                <w:color w:val="auto"/>
              </w:rPr>
            </w:pPr>
          </w:p>
        </w:tc>
        <w:tc>
          <w:tcPr>
            <w:tcW w:w="1200" w:type="dxa"/>
            <w:vAlign w:val="bottom"/>
            <w:tcBorders>
              <w:top w:val="single" w:sz="8" w:color="231F20"/>
            </w:tcBorders>
            <w:shd w:val="clear" w:color="auto" w:fill="E3E4E5"/>
          </w:tcPr>
          <w:p>
            <w:pPr>
              <w:jc w:val="right"/>
              <w:ind w:right="1000"/>
              <w:spacing w:after="0"/>
              <w:rPr>
                <w:sz w:val="20"/>
                <w:szCs w:val="20"/>
                <w:color w:val="auto"/>
              </w:rPr>
            </w:pPr>
            <w:r>
              <w:rPr>
                <w:rFonts w:ascii="Times New Roman" w:cs="Times New Roman" w:eastAsia="Times New Roman" w:hAnsi="Times New Roman"/>
                <w:sz w:val="20"/>
                <w:szCs w:val="20"/>
                <w:color w:val="414142"/>
                <w:w w:val="79"/>
              </w:rPr>
              <w:t>$</w:t>
            </w:r>
          </w:p>
        </w:tc>
        <w:tc>
          <w:tcPr>
            <w:tcW w:w="48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48</w:t>
            </w:r>
          </w:p>
        </w:tc>
        <w:tc>
          <w:tcPr>
            <w:tcW w:w="260" w:type="dxa"/>
            <w:vAlign w:val="bottom"/>
            <w:tcBorders>
              <w:top w:val="single" w:sz="8" w:color="E3E4E5"/>
            </w:tcBorders>
            <w:shd w:val="clear" w:color="auto" w:fill="E3E4E5"/>
          </w:tcPr>
          <w:p>
            <w:pPr>
              <w:spacing w:after="0"/>
              <w:rPr>
                <w:sz w:val="24"/>
                <w:szCs w:val="24"/>
                <w:color w:val="auto"/>
              </w:rPr>
            </w:pPr>
          </w:p>
        </w:tc>
        <w:tc>
          <w:tcPr>
            <w:tcW w:w="960" w:type="dxa"/>
            <w:vAlign w:val="bottom"/>
            <w:tcBorders>
              <w:top w:val="single" w:sz="8" w:color="231F20"/>
            </w:tcBorders>
            <w:shd w:val="clear" w:color="auto" w:fill="E3E4E5"/>
          </w:tcPr>
          <w:p>
            <w:pPr>
              <w:jc w:val="right"/>
              <w:ind w:right="760"/>
              <w:spacing w:after="0"/>
              <w:rPr>
                <w:sz w:val="20"/>
                <w:szCs w:val="20"/>
                <w:color w:val="auto"/>
              </w:rPr>
            </w:pPr>
            <w:r>
              <w:rPr>
                <w:rFonts w:ascii="Times New Roman" w:cs="Times New Roman" w:eastAsia="Times New Roman" w:hAnsi="Times New Roman"/>
                <w:sz w:val="20"/>
                <w:szCs w:val="20"/>
                <w:color w:val="414142"/>
                <w:w w:val="79"/>
              </w:rPr>
              <w:t>$</w:t>
            </w:r>
          </w:p>
        </w:tc>
        <w:tc>
          <w:tcPr>
            <w:tcW w:w="56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1,037</w:t>
            </w:r>
          </w:p>
        </w:tc>
        <w:tc>
          <w:tcPr>
            <w:tcW w:w="80" w:type="dxa"/>
            <w:vAlign w:val="bottom"/>
            <w:tcBorders>
              <w:top w:val="single" w:sz="8" w:color="E3E4E5"/>
            </w:tcBorders>
            <w:shd w:val="clear" w:color="auto" w:fill="E3E4E5"/>
          </w:tcPr>
          <w:p>
            <w:pPr>
              <w:spacing w:after="0"/>
              <w:rPr>
                <w:sz w:val="24"/>
                <w:szCs w:val="24"/>
                <w:color w:val="auto"/>
              </w:rPr>
            </w:pPr>
          </w:p>
        </w:tc>
      </w:tr>
      <w:tr>
        <w:trPr>
          <w:trHeight w:val="283"/>
        </w:trPr>
        <w:tc>
          <w:tcPr>
            <w:tcW w:w="5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Additions for tax positions related to the current year</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95</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48</w:t>
            </w:r>
          </w:p>
        </w:tc>
        <w:tc>
          <w:tcPr>
            <w:tcW w:w="80" w:type="dxa"/>
            <w:vAlign w:val="bottom"/>
          </w:tcPr>
          <w:p>
            <w:pPr>
              <w:spacing w:after="0"/>
              <w:rPr>
                <w:sz w:val="24"/>
                <w:szCs w:val="24"/>
                <w:color w:val="auto"/>
              </w:rPr>
            </w:pPr>
          </w:p>
        </w:tc>
      </w:tr>
      <w:tr>
        <w:trPr>
          <w:trHeight w:val="283"/>
        </w:trPr>
        <w:tc>
          <w:tcPr>
            <w:tcW w:w="586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Additions for tax positions related to prior years</w:t>
            </w:r>
          </w:p>
        </w:tc>
        <w:tc>
          <w:tcPr>
            <w:tcW w:w="14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64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83"/>
        </w:trPr>
        <w:tc>
          <w:tcPr>
            <w:tcW w:w="5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Reductions for tax positions related to prior years</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231F20"/>
              </w:rPr>
              <w:t>(1,037)</w:t>
            </w:r>
          </w:p>
        </w:tc>
      </w:tr>
      <w:tr>
        <w:trPr>
          <w:trHeight w:val="283"/>
        </w:trPr>
        <w:tc>
          <w:tcPr>
            <w:tcW w:w="586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Reductions related to settlements</w:t>
            </w:r>
          </w:p>
        </w:tc>
        <w:tc>
          <w:tcPr>
            <w:tcW w:w="1400" w:type="dxa"/>
            <w:vAlign w:val="bottom"/>
            <w:shd w:val="clear" w:color="auto" w:fill="E3E4E5"/>
          </w:tcPr>
          <w:p>
            <w:pPr>
              <w:spacing w:after="0"/>
              <w:rPr>
                <w:sz w:val="24"/>
                <w:szCs w:val="24"/>
                <w:color w:val="auto"/>
              </w:rPr>
            </w:pPr>
          </w:p>
        </w:tc>
        <w:tc>
          <w:tcPr>
            <w:tcW w:w="1200" w:type="dxa"/>
            <w:vAlign w:val="bottom"/>
            <w:shd w:val="clear" w:color="auto" w:fill="E3E4E5"/>
          </w:tcPr>
          <w:p>
            <w:pPr>
              <w:spacing w:after="0"/>
              <w:rPr>
                <w:sz w:val="24"/>
                <w:szCs w:val="24"/>
                <w:color w:val="auto"/>
              </w:rPr>
            </w:pPr>
          </w:p>
        </w:tc>
        <w:tc>
          <w:tcPr>
            <w:tcW w:w="48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w:t>
            </w:r>
          </w:p>
        </w:tc>
        <w:tc>
          <w:tcPr>
            <w:tcW w:w="260" w:type="dxa"/>
            <w:vAlign w:val="bottom"/>
            <w:shd w:val="clear" w:color="auto" w:fill="E3E4E5"/>
          </w:tcPr>
          <w:p>
            <w:pPr>
              <w:spacing w:after="0"/>
              <w:rPr>
                <w:sz w:val="24"/>
                <w:szCs w:val="24"/>
                <w:color w:val="auto"/>
              </w:rPr>
            </w:pPr>
          </w:p>
        </w:tc>
        <w:tc>
          <w:tcPr>
            <w:tcW w:w="960" w:type="dxa"/>
            <w:vAlign w:val="bottom"/>
            <w:shd w:val="clear" w:color="auto" w:fill="E3E4E5"/>
          </w:tcPr>
          <w:p>
            <w:pPr>
              <w:spacing w:after="0"/>
              <w:rPr>
                <w:sz w:val="24"/>
                <w:szCs w:val="24"/>
                <w:color w:val="auto"/>
              </w:rPr>
            </w:pPr>
          </w:p>
        </w:tc>
        <w:tc>
          <w:tcPr>
            <w:tcW w:w="640" w:type="dxa"/>
            <w:vAlign w:val="bottom"/>
            <w:gridSpan w:val="2"/>
            <w:shd w:val="clear" w:color="auto" w:fill="E3E4E5"/>
          </w:tcPr>
          <w:p>
            <w:pPr>
              <w:jc w:val="right"/>
              <w:ind w:right="100"/>
              <w:spacing w:after="0"/>
              <w:rPr>
                <w:sz w:val="20"/>
                <w:szCs w:val="20"/>
                <w:color w:val="auto"/>
              </w:rPr>
            </w:pPr>
            <w:r>
              <w:rPr>
                <w:rFonts w:ascii="Times New Roman" w:cs="Times New Roman" w:eastAsia="Times New Roman" w:hAnsi="Times New Roman"/>
                <w:sz w:val="20"/>
                <w:szCs w:val="20"/>
                <w:color w:val="414142"/>
              </w:rPr>
              <w:t>—</w:t>
            </w:r>
          </w:p>
        </w:tc>
      </w:tr>
      <w:tr>
        <w:trPr>
          <w:trHeight w:val="283"/>
        </w:trPr>
        <w:tc>
          <w:tcPr>
            <w:tcW w:w="586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Reductions related to a lapse of statute</w:t>
            </w:r>
          </w:p>
        </w:tc>
        <w:tc>
          <w:tcPr>
            <w:tcW w:w="1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78"/>
        </w:trPr>
        <w:tc>
          <w:tcPr>
            <w:tcW w:w="586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Balance at December 31</w:t>
            </w:r>
          </w:p>
        </w:tc>
        <w:tc>
          <w:tcPr>
            <w:tcW w:w="1400" w:type="dxa"/>
            <w:vAlign w:val="bottom"/>
            <w:tcBorders>
              <w:top w:val="single" w:sz="8" w:color="E3E4E5"/>
            </w:tcBorders>
            <w:shd w:val="clear" w:color="auto" w:fill="E3E4E5"/>
          </w:tcPr>
          <w:p>
            <w:pPr>
              <w:spacing w:after="0"/>
              <w:rPr>
                <w:sz w:val="24"/>
                <w:szCs w:val="24"/>
                <w:color w:val="auto"/>
              </w:rPr>
            </w:pPr>
          </w:p>
        </w:tc>
        <w:tc>
          <w:tcPr>
            <w:tcW w:w="1200" w:type="dxa"/>
            <w:vAlign w:val="bottom"/>
            <w:tcBorders>
              <w:top w:val="single" w:sz="8" w:color="231F20"/>
              <w:bottom w:val="single" w:sz="8" w:color="231F20"/>
            </w:tcBorders>
            <w:shd w:val="clear" w:color="auto" w:fill="E3E4E5"/>
          </w:tcPr>
          <w:p>
            <w:pPr>
              <w:jc w:val="right"/>
              <w:ind w:right="1000"/>
              <w:spacing w:after="0"/>
              <w:rPr>
                <w:sz w:val="20"/>
                <w:szCs w:val="20"/>
                <w:color w:val="auto"/>
              </w:rPr>
            </w:pPr>
            <w:r>
              <w:rPr>
                <w:rFonts w:ascii="Times New Roman" w:cs="Times New Roman" w:eastAsia="Times New Roman" w:hAnsi="Times New Roman"/>
                <w:sz w:val="20"/>
                <w:szCs w:val="20"/>
                <w:color w:val="414142"/>
                <w:w w:val="79"/>
              </w:rPr>
              <w:t>$</w:t>
            </w:r>
          </w:p>
        </w:tc>
        <w:tc>
          <w:tcPr>
            <w:tcW w:w="48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143</w:t>
            </w:r>
          </w:p>
        </w:tc>
        <w:tc>
          <w:tcPr>
            <w:tcW w:w="260" w:type="dxa"/>
            <w:vAlign w:val="bottom"/>
            <w:tcBorders>
              <w:top w:val="single" w:sz="8" w:color="E3E4E5"/>
            </w:tcBorders>
            <w:shd w:val="clear" w:color="auto" w:fill="E3E4E5"/>
          </w:tcPr>
          <w:p>
            <w:pPr>
              <w:spacing w:after="0"/>
              <w:rPr>
                <w:sz w:val="24"/>
                <w:szCs w:val="24"/>
                <w:color w:val="auto"/>
              </w:rPr>
            </w:pPr>
          </w:p>
        </w:tc>
        <w:tc>
          <w:tcPr>
            <w:tcW w:w="960" w:type="dxa"/>
            <w:vAlign w:val="bottom"/>
            <w:tcBorders>
              <w:top w:val="single" w:sz="8" w:color="231F20"/>
              <w:bottom w:val="single" w:sz="8" w:color="231F20"/>
            </w:tcBorders>
            <w:shd w:val="clear" w:color="auto" w:fill="E3E4E5"/>
          </w:tcPr>
          <w:p>
            <w:pPr>
              <w:jc w:val="right"/>
              <w:ind w:right="760"/>
              <w:spacing w:after="0"/>
              <w:rPr>
                <w:sz w:val="20"/>
                <w:szCs w:val="20"/>
                <w:color w:val="auto"/>
              </w:rPr>
            </w:pPr>
            <w:r>
              <w:rPr>
                <w:rFonts w:ascii="Times New Roman" w:cs="Times New Roman" w:eastAsia="Times New Roman" w:hAnsi="Times New Roman"/>
                <w:sz w:val="20"/>
                <w:szCs w:val="20"/>
                <w:color w:val="414142"/>
                <w:w w:val="79"/>
              </w:rPr>
              <w:t>$</w:t>
            </w:r>
          </w:p>
        </w:tc>
        <w:tc>
          <w:tcPr>
            <w:tcW w:w="560" w:type="dxa"/>
            <w:vAlign w:val="bottom"/>
            <w:tcBorders>
              <w:top w:val="single" w:sz="8" w:color="231F20"/>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48</w:t>
            </w:r>
          </w:p>
        </w:tc>
        <w:tc>
          <w:tcPr>
            <w:tcW w:w="80" w:type="dxa"/>
            <w:vAlign w:val="bottom"/>
            <w:tcBorders>
              <w:top w:val="single" w:sz="8" w:color="E3E4E5"/>
            </w:tcBorders>
            <w:shd w:val="clear" w:color="auto" w:fill="E3E4E5"/>
          </w:tcPr>
          <w:p>
            <w:pPr>
              <w:spacing w:after="0"/>
              <w:rPr>
                <w:sz w:val="24"/>
                <w:szCs w:val="24"/>
                <w:color w:val="auto"/>
              </w:rPr>
            </w:pPr>
          </w:p>
        </w:tc>
      </w:tr>
      <w:tr>
        <w:trPr>
          <w:trHeight w:val="20"/>
        </w:trPr>
        <w:tc>
          <w:tcPr>
            <w:tcW w:w="5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0" w:type="dxa"/>
            <w:vAlign w:val="bottom"/>
            <w:tcBorders>
              <w:bottom w:val="single" w:sz="8" w:color="231F20"/>
            </w:tcBorders>
          </w:tcPr>
          <w:p>
            <w:pPr>
              <w:spacing w:after="0" w:line="20" w:lineRule="exact"/>
              <w:rPr>
                <w:sz w:val="1"/>
                <w:szCs w:val="1"/>
                <w:color w:val="auto"/>
              </w:rPr>
            </w:pPr>
          </w:p>
        </w:tc>
        <w:tc>
          <w:tcPr>
            <w:tcW w:w="480" w:type="dxa"/>
            <w:vAlign w:val="bottom"/>
            <w:tcBorders>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231F20"/>
            </w:tcBorders>
          </w:tcPr>
          <w:p>
            <w:pPr>
              <w:spacing w:after="0" w:line="20" w:lineRule="exact"/>
              <w:rPr>
                <w:sz w:val="1"/>
                <w:szCs w:val="1"/>
                <w:color w:val="auto"/>
              </w:rPr>
            </w:pPr>
          </w:p>
        </w:tc>
        <w:tc>
          <w:tcPr>
            <w:tcW w:w="56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4596765</wp:posOffset>
            </wp:positionH>
            <wp:positionV relativeFrom="paragraph">
              <wp:posOffset>-1480185</wp:posOffset>
            </wp:positionV>
            <wp:extent cx="2219325" cy="3492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65">
                      <a:extLst>
                        <a:ext uri="{28A0092B-C50C-407E-A947-70E740481C1C}"/>
                      </a:extLst>
                    </a:blip>
                    <a:srcRect/>
                    <a:stretch>
                      <a:fillRect/>
                    </a:stretch>
                  </pic:blipFill>
                  <pic:spPr bwMode="auto">
                    <a:xfrm>
                      <a:off x="0" y="0"/>
                      <a:ext cx="2219325" cy="34925"/>
                    </a:xfrm>
                    <a:prstGeom prst="rect">
                      <a:avLst/>
                    </a:prstGeom>
                    <a:noFill/>
                  </pic:spPr>
                </pic:pic>
              </a:graphicData>
            </a:graphic>
          </wp:anchor>
        </w:drawing>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The Company monitors proposed and issued tax law, regulations, and cases to determine the potential impact of uncertain income tax positions. As of December 31, 2025, the Company had not identified any potential subsequent events that would have a material impact on unrecognized income tax benefits within the next twelve months.</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F-28</w:t>
      </w:r>
    </w:p>
    <w:p>
      <w:pPr>
        <w:sectPr>
          <w:pgSz w:w="11880" w:h="15480" w:orient="portrait"/>
          <w:cols w:equalWidth="0" w:num="1">
            <w:col w:w="10800"/>
          </w:cols>
          <w:pgMar w:left="540" w:top="750" w:right="540" w:bottom="6" w:gutter="0" w:footer="0" w:header="0"/>
          <w:type w:val="continuous"/>
        </w:sectPr>
      </w:pPr>
    </w:p>
    <w:bookmarkStart w:id="117" w:name="page118"/>
    <w:bookmarkEnd w:id="117"/>
    <w:p>
      <w:pPr>
        <w:jc w:val="both"/>
        <w:spacing w:after="0" w:line="258" w:lineRule="auto"/>
        <w:rPr>
          <w:sz w:val="20"/>
          <w:szCs w:val="20"/>
          <w:color w:val="auto"/>
        </w:rPr>
      </w:pPr>
      <w:r>
        <w:rPr>
          <w:rFonts w:ascii="Times New Roman" w:cs="Times New Roman" w:eastAsia="Times New Roman" w:hAnsi="Times New Roman"/>
          <w:sz w:val="20"/>
          <w:szCs w:val="20"/>
          <w:color w:val="231F20"/>
        </w:rPr>
        <w:t>Income tax expense differed from the amount computed by applying the federal statutory income tax rate of 21% to pretax income after the adoption of ASU 2023-09 for the years ended December 31, 2025 and 2024 as a result of the following (in thousands, except percentages):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5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0" w:type="dxa"/>
            <w:vAlign w:val="bottom"/>
            <w:gridSpan w:val="8"/>
          </w:tcPr>
          <w:p>
            <w:pPr>
              <w:jc w:val="right"/>
              <w:ind w:right="560"/>
              <w:spacing w:after="0"/>
              <w:rPr>
                <w:sz w:val="20"/>
                <w:szCs w:val="20"/>
                <w:color w:val="auto"/>
              </w:rPr>
            </w:pPr>
            <w:r>
              <w:rPr>
                <w:rFonts w:ascii="Times New Roman" w:cs="Times New Roman" w:eastAsia="Times New Roman" w:hAnsi="Times New Roman"/>
                <w:sz w:val="20"/>
                <w:szCs w:val="20"/>
                <w:b w:val="1"/>
                <w:bCs w:val="1"/>
                <w:color w:val="231F20"/>
                <w:w w:val="98"/>
              </w:rPr>
              <w:t>Year Ended December 31,</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5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gridSpan w:val="4"/>
          </w:tcPr>
          <w:p>
            <w:pPr>
              <w:jc w:val="right"/>
              <w:ind w:right="60"/>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440" w:type="dxa"/>
            <w:vAlign w:val="bottom"/>
            <w:tcBorders>
              <w:bottom w:val="single" w:sz="8" w:color="E5E6E7"/>
            </w:tcBorders>
          </w:tcPr>
          <w:p>
            <w:pPr>
              <w:spacing w:after="0"/>
              <w:rPr>
                <w:sz w:val="22"/>
                <w:szCs w:val="22"/>
                <w:color w:val="auto"/>
              </w:rPr>
            </w:pPr>
          </w:p>
        </w:tc>
        <w:tc>
          <w:tcPr>
            <w:tcW w:w="18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161"/>
              <w:spacing w:after="0"/>
              <w:rPr>
                <w:sz w:val="20"/>
                <w:szCs w:val="20"/>
                <w:color w:val="auto"/>
              </w:rPr>
            </w:pPr>
            <w:r>
              <w:rPr>
                <w:rFonts w:ascii="Times New Roman" w:cs="Times New Roman" w:eastAsia="Times New Roman" w:hAnsi="Times New Roman"/>
                <w:sz w:val="20"/>
                <w:szCs w:val="20"/>
                <w:b w:val="1"/>
                <w:bCs w:val="1"/>
                <w:color w:val="231F20"/>
              </w:rPr>
              <w:t>Amount</w:t>
            </w:r>
          </w:p>
        </w:tc>
        <w:tc>
          <w:tcPr>
            <w:tcW w:w="220" w:type="dxa"/>
            <w:vAlign w:val="bottom"/>
            <w:tcBorders>
              <w:bottom w:val="single" w:sz="8" w:color="E5E6E7"/>
            </w:tcBorders>
            <w:gridSpan w:val="2"/>
          </w:tcPr>
          <w:p>
            <w:pPr>
              <w:spacing w:after="0"/>
              <w:rPr>
                <w:sz w:val="22"/>
                <w:szCs w:val="22"/>
                <w:color w:val="auto"/>
              </w:rPr>
            </w:pPr>
          </w:p>
        </w:tc>
        <w:tc>
          <w:tcPr>
            <w:tcW w:w="104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231F20"/>
              </w:rPr>
              <w:t>Percent</w:t>
            </w: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231F20"/>
                <w:w w:val="99"/>
              </w:rPr>
              <w:t>Amount</w:t>
            </w:r>
          </w:p>
        </w:tc>
        <w:tc>
          <w:tcPr>
            <w:tcW w:w="240" w:type="dxa"/>
            <w:vAlign w:val="bottom"/>
            <w:tcBorders>
              <w:bottom w:val="single" w:sz="8" w:color="E5E6E7"/>
            </w:tcBorders>
            <w:gridSpan w:val="2"/>
          </w:tcPr>
          <w:p>
            <w:pPr>
              <w:spacing w:after="0"/>
              <w:rPr>
                <w:sz w:val="22"/>
                <w:szCs w:val="22"/>
                <w:color w:val="auto"/>
              </w:rPr>
            </w:pPr>
          </w:p>
        </w:tc>
        <w:tc>
          <w:tcPr>
            <w:tcW w:w="14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231F20"/>
              </w:rPr>
              <w:t>Percent</w:t>
            </w: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54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Federal statutory income tax rate</w:t>
            </w:r>
          </w:p>
        </w:tc>
        <w:tc>
          <w:tcPr>
            <w:tcW w:w="18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(7,406)</w:t>
            </w:r>
          </w:p>
        </w:tc>
        <w:tc>
          <w:tcPr>
            <w:tcW w:w="120" w:type="dxa"/>
            <w:vAlign w:val="bottom"/>
            <w:shd w:val="clear" w:color="auto" w:fill="E5E6E7"/>
          </w:tcPr>
          <w:p>
            <w:pPr>
              <w:spacing w:after="0"/>
              <w:rPr>
                <w:sz w:val="20"/>
                <w:szCs w:val="20"/>
                <w:color w:val="auto"/>
              </w:rPr>
            </w:pPr>
          </w:p>
        </w:tc>
        <w:tc>
          <w:tcPr>
            <w:tcW w:w="100" w:type="dxa"/>
            <w:vAlign w:val="bottom"/>
            <w:shd w:val="clear" w:color="auto" w:fill="E5E6E7"/>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414142"/>
              </w:rPr>
              <w:t>21.0%</w:t>
            </w:r>
          </w:p>
        </w:tc>
        <w:tc>
          <w:tcPr>
            <w:tcW w:w="80" w:type="dxa"/>
            <w:vAlign w:val="bottom"/>
          </w:tcPr>
          <w:p>
            <w:pPr>
              <w:spacing w:after="0"/>
              <w:rPr>
                <w:sz w:val="20"/>
                <w:szCs w:val="20"/>
                <w:color w:val="auto"/>
              </w:rPr>
            </w:pPr>
          </w:p>
        </w:tc>
        <w:tc>
          <w:tcPr>
            <w:tcW w:w="1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w:t>
            </w: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(9,015)</w:t>
            </w:r>
          </w:p>
        </w:tc>
        <w:tc>
          <w:tcPr>
            <w:tcW w:w="120" w:type="dxa"/>
            <w:vAlign w:val="bottom"/>
            <w:shd w:val="clear" w:color="auto" w:fill="E5E6E7"/>
          </w:tcPr>
          <w:p>
            <w:pPr>
              <w:spacing w:after="0"/>
              <w:rPr>
                <w:sz w:val="20"/>
                <w:szCs w:val="20"/>
                <w:color w:val="auto"/>
              </w:rPr>
            </w:pPr>
          </w:p>
        </w:tc>
        <w:tc>
          <w:tcPr>
            <w:tcW w:w="120" w:type="dxa"/>
            <w:vAlign w:val="bottom"/>
            <w:shd w:val="clear" w:color="auto" w:fill="E5E6E7"/>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414142"/>
              </w:rPr>
              <w:t>21.0%</w:t>
            </w: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231F20"/>
              </w:rPr>
              <w:t>State income taxes, net of federal benefit</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(1,505)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4.3</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(1,568)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3.7</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Tax credits</w:t>
            </w:r>
          </w:p>
        </w:tc>
        <w:tc>
          <w:tcPr>
            <w:tcW w:w="180" w:type="dxa"/>
            <w:vAlign w:val="bottom"/>
            <w:shd w:val="clear" w:color="auto" w:fill="E5E6E7"/>
          </w:tcPr>
          <w:p>
            <w:pPr>
              <w:spacing w:after="0"/>
              <w:rPr>
                <w:sz w:val="21"/>
                <w:szCs w:val="21"/>
                <w:color w:val="auto"/>
              </w:rPr>
            </w:pPr>
          </w:p>
        </w:tc>
        <w:tc>
          <w:tcPr>
            <w:tcW w:w="10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04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90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90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Research and developments credits</w:t>
            </w: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(473)</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1.3</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(240)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0.6</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Change in unrecognized tax benefits</w:t>
            </w:r>
          </w:p>
        </w:tc>
        <w:tc>
          <w:tcPr>
            <w:tcW w:w="18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95</w:t>
            </w: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30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14142"/>
              </w:rPr>
              <w:t>(0.3)</w:t>
            </w: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48</w:t>
            </w:r>
          </w:p>
        </w:tc>
        <w:tc>
          <w:tcPr>
            <w:tcW w:w="1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12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rPr>
              <w:t>(0.1)</w:t>
            </w: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231F20"/>
              </w:rPr>
              <w:t>Valuation allowance</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(21.4)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5,970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(13.9)</w:t>
            </w:r>
          </w:p>
        </w:tc>
        <w:tc>
          <w:tcPr>
            <w:tcW w:w="0" w:type="dxa"/>
            <w:vAlign w:val="bottom"/>
          </w:tcPr>
          <w:p>
            <w:pPr>
              <w:spacing w:after="0"/>
              <w:rPr>
                <w:sz w:val="1"/>
                <w:szCs w:val="1"/>
                <w:color w:val="auto"/>
              </w:rPr>
            </w:pPr>
          </w:p>
        </w:tc>
      </w:tr>
      <w:tr>
        <w:trPr>
          <w:trHeight w:val="244"/>
        </w:trPr>
        <w:tc>
          <w:tcPr>
            <w:tcW w:w="5440" w:type="dxa"/>
            <w:vAlign w:val="bottom"/>
            <w:shd w:val="clear" w:color="auto" w:fill="E5E6E7"/>
          </w:tcPr>
          <w:p>
            <w:pPr>
              <w:spacing w:after="0"/>
              <w:rPr>
                <w:sz w:val="20"/>
                <w:szCs w:val="20"/>
                <w:color w:val="auto"/>
              </w:rPr>
            </w:pPr>
            <w:r>
              <w:rPr>
                <w:rFonts w:ascii="Times New Roman" w:cs="Times New Roman" w:eastAsia="Times New Roman" w:hAnsi="Times New Roman"/>
                <w:sz w:val="20"/>
                <w:szCs w:val="20"/>
                <w:color w:val="414142"/>
              </w:rPr>
              <w:t>Nondeductible items</w:t>
            </w:r>
          </w:p>
        </w:tc>
        <w:tc>
          <w:tcPr>
            <w:tcW w:w="180" w:type="dxa"/>
            <w:vAlign w:val="bottom"/>
            <w:shd w:val="clear" w:color="auto" w:fill="E5E6E7"/>
          </w:tcPr>
          <w:p>
            <w:pPr>
              <w:spacing w:after="0"/>
              <w:rPr>
                <w:sz w:val="21"/>
                <w:szCs w:val="21"/>
                <w:color w:val="auto"/>
              </w:rPr>
            </w:pPr>
          </w:p>
        </w:tc>
        <w:tc>
          <w:tcPr>
            <w:tcW w:w="104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040" w:type="dxa"/>
            <w:vAlign w:val="bottom"/>
            <w:shd w:val="clear" w:color="auto" w:fill="E5E6E7"/>
          </w:tcPr>
          <w:p>
            <w:pPr>
              <w:spacing w:after="0"/>
              <w:rPr>
                <w:sz w:val="21"/>
                <w:szCs w:val="21"/>
                <w:color w:val="auto"/>
              </w:rPr>
            </w:pPr>
          </w:p>
        </w:tc>
        <w:tc>
          <w:tcPr>
            <w:tcW w:w="260" w:type="dxa"/>
            <w:vAlign w:val="bottom"/>
            <w:shd w:val="clear" w:color="auto" w:fill="E5E6E7"/>
          </w:tcPr>
          <w:p>
            <w:pPr>
              <w:spacing w:after="0"/>
              <w:rPr>
                <w:sz w:val="21"/>
                <w:szCs w:val="21"/>
                <w:color w:val="auto"/>
              </w:rPr>
            </w:pP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90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900" w:type="dxa"/>
            <w:vAlign w:val="bottom"/>
            <w:shd w:val="clear" w:color="auto" w:fill="E5E6E7"/>
          </w:tcPr>
          <w:p>
            <w:pPr>
              <w:spacing w:after="0"/>
              <w:rPr>
                <w:sz w:val="21"/>
                <w:szCs w:val="21"/>
                <w:color w:val="auto"/>
              </w:rPr>
            </w:pPr>
          </w:p>
        </w:tc>
        <w:tc>
          <w:tcPr>
            <w:tcW w:w="220" w:type="dxa"/>
            <w:vAlign w:val="bottom"/>
            <w:shd w:val="clear" w:color="auto" w:fill="E5E6E7"/>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4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Changes in ownership limitation</w:t>
            </w:r>
          </w:p>
        </w:tc>
        <w:tc>
          <w:tcPr>
            <w:tcW w:w="180" w:type="dxa"/>
            <w:vAlign w:val="bottom"/>
          </w:tcPr>
          <w:p>
            <w:pPr>
              <w:spacing w:after="0"/>
              <w:rPr>
                <w:sz w:val="21"/>
                <w:szCs w:val="21"/>
                <w:color w:val="auto"/>
              </w:rPr>
            </w:pPr>
          </w:p>
        </w:tc>
        <w:tc>
          <w:tcPr>
            <w:tcW w:w="126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231F20"/>
              </w:rPr>
              <w: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color w:val="231F20"/>
              </w:rPr>
              <w:t>—</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4,149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(9.7)</w:t>
            </w:r>
          </w:p>
        </w:tc>
        <w:tc>
          <w:tcPr>
            <w:tcW w:w="0" w:type="dxa"/>
            <w:vAlign w:val="bottom"/>
          </w:tcPr>
          <w:p>
            <w:pPr>
              <w:spacing w:after="0"/>
              <w:rPr>
                <w:sz w:val="1"/>
                <w:szCs w:val="1"/>
                <w:color w:val="auto"/>
              </w:rPr>
            </w:pPr>
          </w:p>
        </w:tc>
      </w:tr>
      <w:tr>
        <w:trPr>
          <w:trHeight w:val="244"/>
        </w:trPr>
        <w:tc>
          <w:tcPr>
            <w:tcW w:w="54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Meals &amp; entertainment</w:t>
            </w:r>
          </w:p>
        </w:tc>
        <w:tc>
          <w:tcPr>
            <w:tcW w:w="18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677</w:t>
            </w: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30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14142"/>
              </w:rPr>
              <w:t>(1.9)</w:t>
            </w: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589</w:t>
            </w:r>
          </w:p>
        </w:tc>
        <w:tc>
          <w:tcPr>
            <w:tcW w:w="1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12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rPr>
              <w:t>(1.4)</w:t>
            </w:r>
          </w:p>
        </w:tc>
        <w:tc>
          <w:tcPr>
            <w:tcW w:w="0" w:type="dxa"/>
            <w:vAlign w:val="bottom"/>
          </w:tcPr>
          <w:p>
            <w:pPr>
              <w:spacing w:after="0"/>
              <w:rPr>
                <w:sz w:val="1"/>
                <w:szCs w:val="1"/>
                <w:color w:val="auto"/>
              </w:rPr>
            </w:pPr>
          </w:p>
        </w:tc>
      </w:tr>
      <w:tr>
        <w:trPr>
          <w:trHeight w:val="244"/>
        </w:trPr>
        <w:tc>
          <w:tcPr>
            <w:tcW w:w="54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Share-based compensation</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815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(2.3)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231F20"/>
              </w:rPr>
              <w:t>(1.5)</w:t>
            </w:r>
          </w:p>
        </w:tc>
        <w:tc>
          <w:tcPr>
            <w:tcW w:w="0" w:type="dxa"/>
            <w:vAlign w:val="bottom"/>
          </w:tcPr>
          <w:p>
            <w:pPr>
              <w:spacing w:after="0"/>
              <w:rPr>
                <w:sz w:val="1"/>
                <w:szCs w:val="1"/>
                <w:color w:val="auto"/>
              </w:rPr>
            </w:pPr>
          </w:p>
        </w:tc>
      </w:tr>
      <w:tr>
        <w:trPr>
          <w:trHeight w:val="244"/>
        </w:trPr>
        <w:tc>
          <w:tcPr>
            <w:tcW w:w="5440" w:type="dxa"/>
            <w:vAlign w:val="bottom"/>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Other</w:t>
            </w:r>
          </w:p>
        </w:tc>
        <w:tc>
          <w:tcPr>
            <w:tcW w:w="180" w:type="dxa"/>
            <w:vAlign w:val="bottom"/>
            <w:shd w:val="clear" w:color="auto" w:fill="E5E6E7"/>
          </w:tcPr>
          <w:p>
            <w:pPr>
              <w:spacing w:after="0"/>
              <w:rPr>
                <w:sz w:val="21"/>
                <w:szCs w:val="21"/>
                <w:color w:val="auto"/>
              </w:rPr>
            </w:pP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154</w:t>
            </w:r>
          </w:p>
        </w:tc>
        <w:tc>
          <w:tcPr>
            <w:tcW w:w="120" w:type="dxa"/>
            <w:vAlign w:val="bottom"/>
            <w:shd w:val="clear" w:color="auto" w:fill="E5E6E7"/>
          </w:tcPr>
          <w:p>
            <w:pPr>
              <w:spacing w:after="0"/>
              <w:rPr>
                <w:sz w:val="21"/>
                <w:szCs w:val="21"/>
                <w:color w:val="auto"/>
              </w:rPr>
            </w:pPr>
          </w:p>
        </w:tc>
        <w:tc>
          <w:tcPr>
            <w:tcW w:w="100" w:type="dxa"/>
            <w:vAlign w:val="bottom"/>
            <w:shd w:val="clear" w:color="auto" w:fill="E5E6E7"/>
          </w:tcPr>
          <w:p>
            <w:pPr>
              <w:spacing w:after="0"/>
              <w:rPr>
                <w:sz w:val="21"/>
                <w:szCs w:val="21"/>
                <w:color w:val="auto"/>
              </w:rPr>
            </w:pPr>
          </w:p>
        </w:tc>
        <w:tc>
          <w:tcPr>
            <w:tcW w:w="1300" w:type="dxa"/>
            <w:vAlign w:val="bottom"/>
            <w:gridSpan w:val="2"/>
            <w:shd w:val="clear" w:color="auto" w:fill="E5E6E7"/>
          </w:tcPr>
          <w:p>
            <w:pPr>
              <w:jc w:val="right"/>
              <w:ind w:right="180"/>
              <w:spacing w:after="0"/>
              <w:rPr>
                <w:sz w:val="20"/>
                <w:szCs w:val="20"/>
                <w:color w:val="auto"/>
              </w:rPr>
            </w:pPr>
            <w:r>
              <w:rPr>
                <w:rFonts w:ascii="Times New Roman" w:cs="Times New Roman" w:eastAsia="Times New Roman" w:hAnsi="Times New Roman"/>
                <w:sz w:val="20"/>
                <w:szCs w:val="20"/>
                <w:color w:val="414142"/>
              </w:rPr>
              <w:t>(0.4)</w:t>
            </w:r>
          </w:p>
        </w:tc>
        <w:tc>
          <w:tcPr>
            <w:tcW w:w="8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20"/>
                <w:szCs w:val="20"/>
                <w:color w:val="414142"/>
              </w:rPr>
              <w:t>64</w:t>
            </w:r>
          </w:p>
        </w:tc>
        <w:tc>
          <w:tcPr>
            <w:tcW w:w="120" w:type="dxa"/>
            <w:vAlign w:val="bottom"/>
            <w:shd w:val="clear" w:color="auto" w:fill="E5E6E7"/>
          </w:tcPr>
          <w:p>
            <w:pPr>
              <w:spacing w:after="0"/>
              <w:rPr>
                <w:sz w:val="21"/>
                <w:szCs w:val="21"/>
                <w:color w:val="auto"/>
              </w:rPr>
            </w:pPr>
          </w:p>
        </w:tc>
        <w:tc>
          <w:tcPr>
            <w:tcW w:w="120" w:type="dxa"/>
            <w:vAlign w:val="bottom"/>
            <w:shd w:val="clear" w:color="auto" w:fill="E5E6E7"/>
          </w:tcPr>
          <w:p>
            <w:pPr>
              <w:spacing w:after="0"/>
              <w:rPr>
                <w:sz w:val="21"/>
                <w:szCs w:val="21"/>
                <w:color w:val="auto"/>
              </w:rPr>
            </w:pPr>
          </w:p>
        </w:tc>
        <w:tc>
          <w:tcPr>
            <w:tcW w:w="140" w:type="dxa"/>
            <w:vAlign w:val="bottom"/>
            <w:shd w:val="clear" w:color="auto" w:fill="E5E6E7"/>
          </w:tcPr>
          <w:p>
            <w:pPr>
              <w:spacing w:after="0"/>
              <w:rPr>
                <w:sz w:val="21"/>
                <w:szCs w:val="21"/>
                <w:color w:val="auto"/>
              </w:rPr>
            </w:pPr>
          </w:p>
        </w:tc>
        <w:tc>
          <w:tcPr>
            <w:tcW w:w="1120" w:type="dxa"/>
            <w:vAlign w:val="bottom"/>
            <w:gridSpan w:val="2"/>
            <w:shd w:val="clear" w:color="auto" w:fill="E5E6E7"/>
          </w:tcPr>
          <w:p>
            <w:pPr>
              <w:jc w:val="right"/>
              <w:ind w:right="140"/>
              <w:spacing w:after="0"/>
              <w:rPr>
                <w:sz w:val="20"/>
                <w:szCs w:val="20"/>
                <w:color w:val="auto"/>
              </w:rPr>
            </w:pPr>
            <w:r>
              <w:rPr>
                <w:rFonts w:ascii="Times New Roman" w:cs="Times New Roman" w:eastAsia="Times New Roman" w:hAnsi="Times New Roman"/>
                <w:sz w:val="20"/>
                <w:szCs w:val="20"/>
                <w:color w:val="414142"/>
              </w:rPr>
              <w:t>(0.1)</w:t>
            </w:r>
          </w:p>
        </w:tc>
        <w:tc>
          <w:tcPr>
            <w:tcW w:w="0" w:type="dxa"/>
            <w:vAlign w:val="bottom"/>
          </w:tcPr>
          <w:p>
            <w:pPr>
              <w:spacing w:after="0"/>
              <w:rPr>
                <w:sz w:val="1"/>
                <w:szCs w:val="1"/>
                <w:color w:val="auto"/>
              </w:rPr>
            </w:pPr>
          </w:p>
        </w:tc>
      </w:tr>
      <w:tr>
        <w:trPr>
          <w:trHeight w:val="244"/>
        </w:trPr>
        <w:tc>
          <w:tcPr>
            <w:tcW w:w="5440" w:type="dxa"/>
            <w:vAlign w:val="bottom"/>
          </w:tcPr>
          <w:p>
            <w:pPr>
              <w:spacing w:after="0"/>
              <w:rPr>
                <w:sz w:val="20"/>
                <w:szCs w:val="20"/>
                <w:color w:val="auto"/>
              </w:rPr>
            </w:pPr>
            <w:r>
              <w:rPr>
                <w:rFonts w:ascii="Times New Roman" w:cs="Times New Roman" w:eastAsia="Times New Roman" w:hAnsi="Times New Roman"/>
                <w:sz w:val="20"/>
                <w:szCs w:val="20"/>
                <w:color w:val="231F20"/>
              </w:rPr>
              <w:t>Other items</w:t>
            </w: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231F20"/>
              </w:rPr>
              <w:t>(0.3)</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231F20"/>
              </w:rPr>
              <w:t>(654)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1.4</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shd w:val="clear" w:color="auto" w:fill="E5E6E7"/>
          </w:tcPr>
          <w:p>
            <w:pPr>
              <w:ind w:left="200"/>
              <w:spacing w:after="0"/>
              <w:rPr>
                <w:sz w:val="20"/>
                <w:szCs w:val="20"/>
                <w:color w:val="auto"/>
              </w:rPr>
            </w:pPr>
            <w:r>
              <w:rPr>
                <w:rFonts w:ascii="Times New Roman" w:cs="Times New Roman" w:eastAsia="Times New Roman" w:hAnsi="Times New Roman"/>
                <w:sz w:val="20"/>
                <w:szCs w:val="20"/>
                <w:color w:val="414142"/>
              </w:rPr>
              <w:t>Total</w:t>
            </w:r>
          </w:p>
        </w:tc>
        <w:tc>
          <w:tcPr>
            <w:tcW w:w="180" w:type="dxa"/>
            <w:vAlign w:val="bottom"/>
            <w:shd w:val="clear" w:color="auto" w:fill="231F20"/>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120" w:type="dxa"/>
            <w:vAlign w:val="bottom"/>
            <w:shd w:val="clear" w:color="auto" w:fill="E5E6E7"/>
          </w:tcPr>
          <w:p>
            <w:pPr>
              <w:spacing w:after="0" w:line="20" w:lineRule="exact"/>
              <w:rPr>
                <w:sz w:val="1"/>
                <w:szCs w:val="1"/>
                <w:color w:val="auto"/>
              </w:rPr>
            </w:pPr>
          </w:p>
        </w:tc>
        <w:tc>
          <w:tcPr>
            <w:tcW w:w="100" w:type="dxa"/>
            <w:vAlign w:val="bottom"/>
            <w:shd w:val="clear" w:color="auto" w:fill="E3E4E5"/>
          </w:tcPr>
          <w:p>
            <w:pPr>
              <w:spacing w:after="0" w:line="20" w:lineRule="exact"/>
              <w:rPr>
                <w:sz w:val="1"/>
                <w:szCs w:val="1"/>
                <w:color w:val="auto"/>
              </w:rPr>
            </w:pPr>
          </w:p>
        </w:tc>
        <w:tc>
          <w:tcPr>
            <w:tcW w:w="1040" w:type="dxa"/>
            <w:vAlign w:val="bottom"/>
            <w:shd w:val="clear" w:color="auto" w:fill="231F2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120" w:type="dxa"/>
            <w:vAlign w:val="bottom"/>
            <w:shd w:val="clear" w:color="auto" w:fill="E5E6E7"/>
          </w:tcPr>
          <w:p>
            <w:pPr>
              <w:spacing w:after="0" w:line="20" w:lineRule="exact"/>
              <w:rPr>
                <w:sz w:val="1"/>
                <w:szCs w:val="1"/>
                <w:color w:val="auto"/>
              </w:rPr>
            </w:pPr>
          </w:p>
        </w:tc>
        <w:tc>
          <w:tcPr>
            <w:tcW w:w="120" w:type="dxa"/>
            <w:vAlign w:val="bottom"/>
            <w:shd w:val="clear" w:color="auto" w:fill="E3E4E5"/>
          </w:tcPr>
          <w:p>
            <w:pPr>
              <w:spacing w:after="0" w:line="20" w:lineRule="exact"/>
              <w:rPr>
                <w:sz w:val="1"/>
                <w:szCs w:val="1"/>
                <w:color w:val="auto"/>
              </w:rPr>
            </w:pPr>
          </w:p>
        </w:tc>
        <w:tc>
          <w:tcPr>
            <w:tcW w:w="140" w:type="dxa"/>
            <w:vAlign w:val="bottom"/>
            <w:shd w:val="clear" w:color="auto" w:fill="231F20"/>
          </w:tcPr>
          <w:p>
            <w:pPr>
              <w:spacing w:after="0" w:line="20" w:lineRule="exact"/>
              <w:rPr>
                <w:sz w:val="1"/>
                <w:szCs w:val="1"/>
                <w:color w:val="auto"/>
              </w:rPr>
            </w:pPr>
          </w:p>
        </w:tc>
        <w:tc>
          <w:tcPr>
            <w:tcW w:w="900" w:type="dxa"/>
            <w:vAlign w:val="bottom"/>
            <w:shd w:val="clear" w:color="auto" w:fill="231F2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440" w:type="dxa"/>
            <w:vAlign w:val="bottom"/>
            <w:vMerge w:val="continue"/>
            <w:shd w:val="clear" w:color="auto" w:fill="E5E6E7"/>
          </w:tcPr>
          <w:p>
            <w:pPr>
              <w:spacing w:after="0"/>
              <w:rPr>
                <w:sz w:val="20"/>
                <w:szCs w:val="20"/>
                <w:color w:val="auto"/>
              </w:rPr>
            </w:pPr>
          </w:p>
        </w:tc>
        <w:tc>
          <w:tcPr>
            <w:tcW w:w="18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w:t>
            </w:r>
          </w:p>
        </w:tc>
        <w:tc>
          <w:tcPr>
            <w:tcW w:w="104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w:t>
            </w:r>
          </w:p>
        </w:tc>
        <w:tc>
          <w:tcPr>
            <w:tcW w:w="120" w:type="dxa"/>
            <w:vAlign w:val="bottom"/>
            <w:shd w:val="clear" w:color="auto" w:fill="E5E6E7"/>
          </w:tcPr>
          <w:p>
            <w:pPr>
              <w:spacing w:after="0"/>
              <w:rPr>
                <w:sz w:val="20"/>
                <w:szCs w:val="20"/>
                <w:color w:val="auto"/>
              </w:rPr>
            </w:pPr>
          </w:p>
        </w:tc>
        <w:tc>
          <w:tcPr>
            <w:tcW w:w="100" w:type="dxa"/>
            <w:vAlign w:val="bottom"/>
            <w:shd w:val="clear" w:color="auto" w:fill="E3E4E5"/>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414142"/>
              </w:rPr>
              <w:t>—%</w:t>
            </w:r>
          </w:p>
        </w:tc>
        <w:tc>
          <w:tcPr>
            <w:tcW w:w="80" w:type="dxa"/>
            <w:vAlign w:val="bottom"/>
          </w:tcPr>
          <w:p>
            <w:pPr>
              <w:spacing w:after="0"/>
              <w:rPr>
                <w:sz w:val="20"/>
                <w:szCs w:val="20"/>
                <w:color w:val="auto"/>
              </w:rPr>
            </w:pPr>
          </w:p>
        </w:tc>
        <w:tc>
          <w:tcPr>
            <w:tcW w:w="140" w:type="dxa"/>
            <w:vAlign w:val="bottom"/>
            <w:shd w:val="clear" w:color="auto" w:fill="E5E6E7"/>
          </w:tcPr>
          <w:p>
            <w:pPr>
              <w:spacing w:after="0"/>
              <w:rPr>
                <w:sz w:val="20"/>
                <w:szCs w:val="20"/>
                <w:color w:val="auto"/>
              </w:rPr>
            </w:pPr>
            <w:r>
              <w:rPr>
                <w:rFonts w:ascii="Times New Roman" w:cs="Times New Roman" w:eastAsia="Times New Roman" w:hAnsi="Times New Roman"/>
                <w:sz w:val="18"/>
                <w:szCs w:val="18"/>
                <w:color w:val="414142"/>
              </w:rPr>
              <w:t>$</w:t>
            </w:r>
          </w:p>
        </w:tc>
        <w:tc>
          <w:tcPr>
            <w:tcW w:w="900" w:type="dxa"/>
            <w:vAlign w:val="bottom"/>
            <w:shd w:val="clear" w:color="auto" w:fill="E5E6E7"/>
          </w:tcPr>
          <w:p>
            <w:pPr>
              <w:jc w:val="right"/>
              <w:spacing w:after="0"/>
              <w:rPr>
                <w:sz w:val="20"/>
                <w:szCs w:val="20"/>
                <w:color w:val="auto"/>
              </w:rPr>
            </w:pPr>
            <w:r>
              <w:rPr>
                <w:rFonts w:ascii="Times New Roman" w:cs="Times New Roman" w:eastAsia="Times New Roman" w:hAnsi="Times New Roman"/>
                <w:sz w:val="18"/>
                <w:szCs w:val="18"/>
                <w:color w:val="414142"/>
              </w:rPr>
              <w:t>—</w:t>
            </w:r>
          </w:p>
        </w:tc>
        <w:tc>
          <w:tcPr>
            <w:tcW w:w="120" w:type="dxa"/>
            <w:vAlign w:val="bottom"/>
            <w:shd w:val="clear" w:color="auto" w:fill="E5E6E7"/>
          </w:tcPr>
          <w:p>
            <w:pPr>
              <w:spacing w:after="0"/>
              <w:rPr>
                <w:sz w:val="20"/>
                <w:szCs w:val="20"/>
                <w:color w:val="auto"/>
              </w:rPr>
            </w:pPr>
          </w:p>
        </w:tc>
        <w:tc>
          <w:tcPr>
            <w:tcW w:w="120" w:type="dxa"/>
            <w:vAlign w:val="bottom"/>
            <w:shd w:val="clear" w:color="auto" w:fill="E3E4E5"/>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414142"/>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80" w:type="dxa"/>
            <w:vAlign w:val="bottom"/>
            <w:tcBorders>
              <w:top w:val="single" w:sz="8" w:color="231F20"/>
              <w:bottom w:val="single" w:sz="8" w:color="231F20"/>
            </w:tcBorders>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231F20"/>
              <w:bottom w:val="single" w:sz="8" w:color="231F2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231F20"/>
              <w:bottom w:val="single" w:sz="8" w:color="231F20"/>
            </w:tcBorders>
          </w:tcPr>
          <w:p>
            <w:pPr>
              <w:spacing w:after="0" w:line="20" w:lineRule="exact"/>
              <w:rPr>
                <w:sz w:val="1"/>
                <w:szCs w:val="1"/>
                <w:color w:val="auto"/>
              </w:rPr>
            </w:pPr>
          </w:p>
        </w:tc>
        <w:tc>
          <w:tcPr>
            <w:tcW w:w="900" w:type="dxa"/>
            <w:vAlign w:val="bottom"/>
            <w:tcBorders>
              <w:top w:val="single" w:sz="8" w:color="231F20"/>
              <w:bottom w:val="single" w:sz="8" w:color="231F2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4375150</wp:posOffset>
                </wp:positionH>
                <wp:positionV relativeFrom="paragraph">
                  <wp:posOffset>-2051685</wp:posOffset>
                </wp:positionV>
                <wp:extent cx="657225" cy="15494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154940"/>
                        </a:xfrm>
                        <a:prstGeom prst="rect">
                          <a:avLst/>
                        </a:prstGeom>
                        <a:solidFill>
                          <a:srgbClr val="E5E6E7"/>
                        </a:solidFill>
                      </wps:spPr>
                      <wps:bodyPr/>
                    </wps:wsp>
                  </a:graphicData>
                </a:graphic>
              </wp:anchor>
            </w:drawing>
          </mc:Choice>
          <mc:Fallback>
            <w:pict>
              <v:rect id="Shape 118" o:spid="_x0000_s1143" style="position:absolute;margin-left:344.5pt;margin-top:-161.5499pt;width:51.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5032375</wp:posOffset>
                </wp:positionH>
                <wp:positionV relativeFrom="paragraph">
                  <wp:posOffset>-2061210</wp:posOffset>
                </wp:positionV>
                <wp:extent cx="217170" cy="164465"/>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4465"/>
                        </a:xfrm>
                        <a:prstGeom prst="rect">
                          <a:avLst/>
                        </a:prstGeom>
                        <a:solidFill>
                          <a:srgbClr val="E5E6E7"/>
                        </a:solidFill>
                      </wps:spPr>
                      <wps:bodyPr/>
                    </wps:wsp>
                  </a:graphicData>
                </a:graphic>
              </wp:anchor>
            </w:drawing>
          </mc:Choice>
          <mc:Fallback>
            <w:pict>
              <v:rect id="Shape 119" o:spid="_x0000_s1144" style="position:absolute;margin-left:396.25pt;margin-top:-162.2999pt;width:17.1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6058535</wp:posOffset>
                </wp:positionH>
                <wp:positionV relativeFrom="paragraph">
                  <wp:posOffset>-2051685</wp:posOffset>
                </wp:positionV>
                <wp:extent cx="664210" cy="15494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210" cy="154940"/>
                        </a:xfrm>
                        <a:prstGeom prst="rect">
                          <a:avLst/>
                        </a:prstGeom>
                        <a:solidFill>
                          <a:srgbClr val="E5E6E7"/>
                        </a:solidFill>
                      </wps:spPr>
                      <wps:bodyPr/>
                    </wps:wsp>
                  </a:graphicData>
                </a:graphic>
              </wp:anchor>
            </w:drawing>
          </mc:Choice>
          <mc:Fallback>
            <w:pict>
              <v:rect id="Shape 120" o:spid="_x0000_s1145" style="position:absolute;margin-left:477.05pt;margin-top:-161.5499pt;width:52.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4375150</wp:posOffset>
                </wp:positionH>
                <wp:positionV relativeFrom="paragraph">
                  <wp:posOffset>-182880</wp:posOffset>
                </wp:positionV>
                <wp:extent cx="657225" cy="15494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57225" cy="154940"/>
                        </a:xfrm>
                        <a:prstGeom prst="rect">
                          <a:avLst/>
                        </a:prstGeom>
                        <a:solidFill>
                          <a:srgbClr val="E5E6E7"/>
                        </a:solidFill>
                      </wps:spPr>
                      <wps:bodyPr/>
                    </wps:wsp>
                  </a:graphicData>
                </a:graphic>
              </wp:anchor>
            </w:drawing>
          </mc:Choice>
          <mc:Fallback>
            <w:pict>
              <v:rect id="Shape 121" o:spid="_x0000_s1146" style="position:absolute;margin-left:344.5pt;margin-top:-14.3999pt;width:51.75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5032375</wp:posOffset>
                </wp:positionH>
                <wp:positionV relativeFrom="paragraph">
                  <wp:posOffset>-192405</wp:posOffset>
                </wp:positionV>
                <wp:extent cx="217170" cy="164465"/>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17170" cy="164465"/>
                        </a:xfrm>
                        <a:prstGeom prst="rect">
                          <a:avLst/>
                        </a:prstGeom>
                        <a:solidFill>
                          <a:srgbClr val="E5E6E7"/>
                        </a:solidFill>
                      </wps:spPr>
                      <wps:bodyPr/>
                    </wps:wsp>
                  </a:graphicData>
                </a:graphic>
              </wp:anchor>
            </w:drawing>
          </mc:Choice>
          <mc:Fallback>
            <w:pict>
              <v:rect id="Shape 122" o:spid="_x0000_s1147" style="position:absolute;margin-left:396.25pt;margin-top:-15.1499pt;width:17.1pt;height:12.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mc:AlternateContent>
          <mc:Choice Requires="wps">
            <w:drawing>
              <wp:anchor simplePos="0" relativeHeight="251657728" behindDoc="1" locked="0" layoutInCell="0" allowOverlap="1">
                <wp:simplePos x="0" y="0"/>
                <wp:positionH relativeFrom="column">
                  <wp:posOffset>6058535</wp:posOffset>
                </wp:positionH>
                <wp:positionV relativeFrom="paragraph">
                  <wp:posOffset>-182880</wp:posOffset>
                </wp:positionV>
                <wp:extent cx="664210" cy="154940"/>
                <wp:wrapNone/>
                <wp:docPr id="123" name="Shape 12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4210" cy="154940"/>
                        </a:xfrm>
                        <a:prstGeom prst="rect">
                          <a:avLst/>
                        </a:prstGeom>
                        <a:solidFill>
                          <a:srgbClr val="E5E6E7"/>
                        </a:solidFill>
                      </wps:spPr>
                      <wps:bodyPr/>
                    </wps:wsp>
                  </a:graphicData>
                </a:graphic>
              </wp:anchor>
            </w:drawing>
          </mc:Choice>
          <mc:Fallback>
            <w:pict>
              <v:rect id="Shape 123" o:spid="_x0000_s1148" style="position:absolute;margin-left:477.05pt;margin-top:-14.3999pt;width:52.3pt;height:12.2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E5E6E7" stroked="f"/>
            </w:pict>
          </mc:Fallback>
        </mc:AlternateContent>
        <w:drawing>
          <wp:anchor simplePos="0" relativeHeight="251657728" behindDoc="1" locked="0" layoutInCell="0" allowOverlap="1">
            <wp:simplePos x="0" y="0"/>
            <wp:positionH relativeFrom="column">
              <wp:posOffset>3431540</wp:posOffset>
            </wp:positionH>
            <wp:positionV relativeFrom="paragraph">
              <wp:posOffset>-2404745</wp:posOffset>
            </wp:positionV>
            <wp:extent cx="331025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66">
                      <a:extLst>
                        <a:ext uri="{28A0092B-C50C-407E-A947-70E740481C1C}"/>
                      </a:extLst>
                    </a:blip>
                    <a:srcRect/>
                    <a:stretch>
                      <a:fillRect/>
                    </a:stretch>
                  </pic:blipFill>
                  <pic:spPr bwMode="auto">
                    <a:xfrm>
                      <a:off x="0" y="0"/>
                      <a:ext cx="3310255" cy="38100"/>
                    </a:xfrm>
                    <a:prstGeom prst="rect">
                      <a:avLst/>
                    </a:prstGeom>
                    <a:noFill/>
                  </pic:spPr>
                </pic:pic>
              </a:graphicData>
            </a:graphic>
          </wp:anchor>
        </w:drawing>
        <w:drawing>
          <wp:anchor simplePos="0" relativeHeight="251657728" behindDoc="1" locked="0" layoutInCell="0" allowOverlap="1">
            <wp:simplePos x="0" y="0"/>
            <wp:positionH relativeFrom="column">
              <wp:posOffset>3431540</wp:posOffset>
            </wp:positionH>
            <wp:positionV relativeFrom="paragraph">
              <wp:posOffset>-2244725</wp:posOffset>
            </wp:positionV>
            <wp:extent cx="3310255" cy="476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67">
                      <a:extLst>
                        <a:ext uri="{28A0092B-C50C-407E-A947-70E740481C1C}"/>
                      </a:extLst>
                    </a:blip>
                    <a:srcRect/>
                    <a:stretch>
                      <a:fillRect/>
                    </a:stretch>
                  </pic:blipFill>
                  <pic:spPr bwMode="auto">
                    <a:xfrm>
                      <a:off x="0" y="0"/>
                      <a:ext cx="3310255" cy="47625"/>
                    </a:xfrm>
                    <a:prstGeom prst="rect">
                      <a:avLst/>
                    </a:prstGeom>
                    <a:noFill/>
                  </pic:spPr>
                </pic:pic>
              </a:graphicData>
            </a:graphic>
          </wp:anchor>
        </w:drawing>
      </w:r>
    </w:p>
    <w:p>
      <w:pPr>
        <w:spacing w:after="0" w:line="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The Company files income tax returns in the U.S. federal and various state jurisdictions with varying statutes of limitations. In both 2025 and 2024, state and local income taxes in California, Florida, Illinois, New Jersey, and New York comprise the majority of the ‘State and local income taxes, net of federal benefit’ category, although no income taxes were paid to any jurisdiction. The Company’s federal and state returns for all years will remain open to examination by federal and state tax authorities for three and four years, respectively, from the date of utilization of any net operating loss carryforwards.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15 – Segment Reporting</w:t>
      </w:r>
    </w:p>
    <w:p>
      <w:pPr>
        <w:spacing w:after="0" w:line="12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 xml:space="preserve">Operating segments are defined as components of an enterprise about which separate discrete information is available for evaluation by the chief operating decision-maker (CODM) in deciding how to allocate resources and assess performance. The Company's chief executive officer and chief financial officer, as a group, represents the entity's chief operating decision makers. The Company’s CODM views the Company’s operations and manages its business as a single operating segment focused on diagnostic testing in the clinical setting and providing services to biopharmaceutical companies (see Note 11 – </w:t>
      </w:r>
      <w:r>
        <w:rPr>
          <w:rFonts w:ascii="Times New Roman" w:cs="Times New Roman" w:eastAsia="Times New Roman" w:hAnsi="Times New Roman"/>
          <w:sz w:val="20"/>
          <w:szCs w:val="20"/>
          <w:i w:val="1"/>
          <w:iCs w:val="1"/>
          <w:color w:val="231F20"/>
        </w:rPr>
        <w:t>Revenue and Accounts Receivable Credit</w:t>
      </w:r>
      <w:r>
        <w:rPr>
          <w:rFonts w:ascii="Times New Roman" w:cs="Times New Roman" w:eastAsia="Times New Roman" w:hAnsi="Times New Roman"/>
          <w:sz w:val="20"/>
          <w:szCs w:val="20"/>
          <w:color w:val="231F20"/>
        </w:rPr>
        <w:t xml:space="preserve"> </w:t>
      </w:r>
      <w:r>
        <w:rPr>
          <w:rFonts w:ascii="Times New Roman" w:cs="Times New Roman" w:eastAsia="Times New Roman" w:hAnsi="Times New Roman"/>
          <w:sz w:val="20"/>
          <w:szCs w:val="20"/>
          <w:i w:val="1"/>
          <w:iCs w:val="1"/>
          <w:color w:val="231F20"/>
        </w:rPr>
        <w:t>Concentration</w:t>
      </w:r>
      <w:r>
        <w:rPr>
          <w:rFonts w:ascii="Times New Roman" w:cs="Times New Roman" w:eastAsia="Times New Roman" w:hAnsi="Times New Roman"/>
          <w:sz w:val="20"/>
          <w:szCs w:val="20"/>
          <w:color w:val="231F20"/>
        </w:rPr>
        <w:t>). The CODM views the Company's operations as a single operating segment as each revenue stream utilizes the same</w:t>
      </w:r>
      <w:r>
        <w:rPr>
          <w:rFonts w:ascii="Times New Roman" w:cs="Times New Roman" w:eastAsia="Times New Roman" w:hAnsi="Times New Roman"/>
          <w:sz w:val="20"/>
          <w:szCs w:val="20"/>
          <w:i w:val="1"/>
          <w:iCs w:val="1"/>
          <w:color w:val="231F20"/>
        </w:rPr>
        <w:t xml:space="preserve"> </w:t>
      </w:r>
      <w:r>
        <w:rPr>
          <w:rFonts w:ascii="Times New Roman" w:cs="Times New Roman" w:eastAsia="Times New Roman" w:hAnsi="Times New Roman"/>
          <w:sz w:val="20"/>
          <w:szCs w:val="20"/>
          <w:color w:val="231F20"/>
        </w:rPr>
        <w:t xml:space="preserve">equipment and resources. In addition, discrete financial information is not available for each revenue stream other than gross margin. The accounting policies of the segment are the same as those described in Note 2 – </w:t>
      </w:r>
      <w:r>
        <w:rPr>
          <w:rFonts w:ascii="Times New Roman" w:cs="Times New Roman" w:eastAsia="Times New Roman" w:hAnsi="Times New Roman"/>
          <w:sz w:val="20"/>
          <w:szCs w:val="20"/>
          <w:i w:val="1"/>
          <w:iCs w:val="1"/>
          <w:color w:val="231F20"/>
        </w:rPr>
        <w:t>Summary of Significant Accounting Policies</w:t>
      </w:r>
      <w:r>
        <w:rPr>
          <w:rFonts w:ascii="Times New Roman" w:cs="Times New Roman" w:eastAsia="Times New Roman" w:hAnsi="Times New Roman"/>
          <w:sz w:val="20"/>
          <w:szCs w:val="20"/>
          <w:color w:val="231F20"/>
        </w:rPr>
        <w:t>.</w:t>
      </w:r>
    </w:p>
    <w:p>
      <w:pPr>
        <w:spacing w:after="0" w:line="8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color w:val="231F20"/>
        </w:rPr>
        <w:t>Substantially all of the Company’s revenue and all long-lived assets were derived or are located in the United States for the years ended December 31, 2025 and 2024. The measure of segment assets is reported on the balance sheet as total assets.</w:t>
      </w:r>
    </w:p>
    <w:p>
      <w:pPr>
        <w:spacing w:after="0" w:line="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231F20"/>
        </w:rPr>
        <w:t>As a single operating segment, the CODM assesses how to allocate resources and measures the Company's performance based on net income or loss that is reported on the statement of operations as net loss. The CODM uses net income or loss to evaluate the return generated from segment assets in deciding whether to reinvest into the segment or into other parts of the entity, such as acquisitions. Net income or loss is used to monitor budget versus actual results, which are used in assessing performance of the segment and in establishing management's compensation.</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F-29</w:t>
      </w:r>
    </w:p>
    <w:p>
      <w:pPr>
        <w:sectPr>
          <w:pgSz w:w="11880" w:h="15480" w:orient="portrait"/>
          <w:cols w:equalWidth="0" w:num="1">
            <w:col w:w="10800"/>
          </w:cols>
          <w:pgMar w:left="540" w:top="750" w:right="540" w:bottom="6" w:gutter="0" w:footer="0" w:header="0"/>
          <w:type w:val="continuous"/>
        </w:sectPr>
      </w:pPr>
    </w:p>
    <w:bookmarkStart w:id="118" w:name="page119"/>
    <w:bookmarkEnd w:id="118"/>
    <w:p>
      <w:pPr>
        <w:spacing w:after="0" w:line="277" w:lineRule="auto"/>
        <w:rPr>
          <w:sz w:val="20"/>
          <w:szCs w:val="20"/>
          <w:color w:val="auto"/>
        </w:rPr>
      </w:pPr>
      <w:r>
        <w:rPr>
          <w:rFonts w:ascii="Times New Roman" w:cs="Times New Roman" w:eastAsia="Times New Roman" w:hAnsi="Times New Roman"/>
          <w:sz w:val="20"/>
          <w:szCs w:val="20"/>
          <w:color w:val="231F20"/>
        </w:rPr>
        <w:t>The CODM regularly reviews the following significant expenses and other segment items. A summary of the significant expenses and other segment items reported in the Company’s statements of operations as of the dates indicated is as follows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6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80" w:type="dxa"/>
            <w:vAlign w:val="bottom"/>
            <w:tcBorders>
              <w:bottom w:val="single" w:sz="8" w:color="231F20"/>
            </w:tcBorders>
            <w:gridSpan w:val="5"/>
          </w:tcPr>
          <w:p>
            <w:pPr>
              <w:jc w:val="right"/>
              <w:spacing w:after="0"/>
              <w:rPr>
                <w:sz w:val="20"/>
                <w:szCs w:val="20"/>
                <w:color w:val="auto"/>
              </w:rPr>
            </w:pPr>
            <w:r>
              <w:rPr>
                <w:rFonts w:ascii="Times New Roman" w:cs="Times New Roman" w:eastAsia="Times New Roman" w:hAnsi="Times New Roman"/>
                <w:sz w:val="20"/>
                <w:szCs w:val="20"/>
                <w:b w:val="1"/>
                <w:bCs w:val="1"/>
                <w:color w:val="231F20"/>
              </w:rPr>
              <w:t>Year Ended December 31,</w:t>
            </w:r>
          </w:p>
        </w:tc>
        <w:tc>
          <w:tcPr>
            <w:tcW w:w="640" w:type="dxa"/>
            <w:vAlign w:val="bottom"/>
            <w:tcBorders>
              <w:bottom w:val="single" w:sz="8" w:color="231F20"/>
            </w:tcBorders>
          </w:tcPr>
          <w:p>
            <w:pPr>
              <w:spacing w:after="0"/>
              <w:rPr>
                <w:sz w:val="22"/>
                <w:szCs w:val="22"/>
                <w:color w:val="auto"/>
              </w:rPr>
            </w:pPr>
          </w:p>
        </w:tc>
        <w:tc>
          <w:tcPr>
            <w:tcW w:w="80" w:type="dxa"/>
            <w:vAlign w:val="bottom"/>
          </w:tcPr>
          <w:p>
            <w:pPr>
              <w:spacing w:after="0"/>
              <w:rPr>
                <w:sz w:val="22"/>
                <w:szCs w:val="22"/>
                <w:color w:val="auto"/>
              </w:rPr>
            </w:pPr>
          </w:p>
        </w:tc>
      </w:tr>
      <w:tr>
        <w:trPr>
          <w:trHeight w:val="239"/>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231F20"/>
              </w:rPr>
              <w:t>2025</w:t>
            </w: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231F20"/>
              </w:rPr>
              <w:t>2024</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9"/>
        </w:trPr>
        <w:tc>
          <w:tcPr>
            <w:tcW w:w="6840" w:type="dxa"/>
            <w:vAlign w:val="bottom"/>
            <w:tcBorders>
              <w:top w:val="single" w:sz="8" w:color="E3E4E5"/>
            </w:tcBorders>
            <w:shd w:val="clear" w:color="auto" w:fill="E3E4E5"/>
          </w:tcPr>
          <w:p>
            <w:pPr>
              <w:spacing w:after="0"/>
              <w:rPr>
                <w:sz w:val="20"/>
                <w:szCs w:val="20"/>
                <w:color w:val="auto"/>
              </w:rPr>
            </w:pPr>
            <w:r>
              <w:rPr>
                <w:rFonts w:ascii="Times New Roman" w:cs="Times New Roman" w:eastAsia="Times New Roman" w:hAnsi="Times New Roman"/>
                <w:sz w:val="20"/>
                <w:szCs w:val="20"/>
                <w:color w:val="414142"/>
              </w:rPr>
              <w:t>Revenues</w:t>
            </w:r>
          </w:p>
        </w:tc>
        <w:tc>
          <w:tcPr>
            <w:tcW w:w="260" w:type="dxa"/>
            <w:vAlign w:val="bottom"/>
            <w:tcBorders>
              <w:top w:val="single" w:sz="8" w:color="E3E4E5"/>
            </w:tcBorders>
            <w:shd w:val="clear" w:color="auto" w:fill="E3E4E5"/>
          </w:tcPr>
          <w:p>
            <w:pPr>
              <w:spacing w:after="0"/>
              <w:rPr>
                <w:sz w:val="20"/>
                <w:szCs w:val="20"/>
                <w:color w:val="auto"/>
              </w:rPr>
            </w:pPr>
          </w:p>
        </w:tc>
        <w:tc>
          <w:tcPr>
            <w:tcW w:w="1040" w:type="dxa"/>
            <w:vAlign w:val="bottom"/>
            <w:tcBorders>
              <w:top w:val="single" w:sz="8" w:color="231F20"/>
            </w:tcBorders>
            <w:shd w:val="clear" w:color="auto" w:fill="E3E4E5"/>
          </w:tcPr>
          <w:p>
            <w:pPr>
              <w:jc w:val="right"/>
              <w:ind w:right="840"/>
              <w:spacing w:after="0"/>
              <w:rPr>
                <w:sz w:val="20"/>
                <w:szCs w:val="20"/>
                <w:color w:val="auto"/>
              </w:rPr>
            </w:pPr>
            <w:r>
              <w:rPr>
                <w:rFonts w:ascii="Times New Roman" w:cs="Times New Roman" w:eastAsia="Times New Roman" w:hAnsi="Times New Roman"/>
                <w:sz w:val="20"/>
                <w:szCs w:val="20"/>
                <w:color w:val="414142"/>
                <w:w w:val="79"/>
              </w:rPr>
              <w:t>$</w:t>
            </w:r>
          </w:p>
        </w:tc>
        <w:tc>
          <w:tcPr>
            <w:tcW w:w="64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88,499</w:t>
            </w:r>
          </w:p>
        </w:tc>
        <w:tc>
          <w:tcPr>
            <w:tcW w:w="160" w:type="dxa"/>
            <w:vAlign w:val="bottom"/>
            <w:tcBorders>
              <w:top w:val="single" w:sz="8" w:color="E3E4E5"/>
            </w:tcBorders>
            <w:shd w:val="clear" w:color="auto" w:fill="E3E4E5"/>
          </w:tcPr>
          <w:p>
            <w:pPr>
              <w:spacing w:after="0"/>
              <w:rPr>
                <w:sz w:val="20"/>
                <w:szCs w:val="20"/>
                <w:color w:val="auto"/>
              </w:rPr>
            </w:pPr>
          </w:p>
        </w:tc>
        <w:tc>
          <w:tcPr>
            <w:tcW w:w="100" w:type="dxa"/>
            <w:vAlign w:val="bottom"/>
            <w:tcBorders>
              <w:top w:val="single" w:sz="8" w:color="E3E4E5"/>
            </w:tcBorders>
            <w:shd w:val="clear" w:color="auto" w:fill="E3E4E5"/>
          </w:tcPr>
          <w:p>
            <w:pPr>
              <w:spacing w:after="0"/>
              <w:rPr>
                <w:sz w:val="20"/>
                <w:szCs w:val="20"/>
                <w:color w:val="auto"/>
              </w:rPr>
            </w:pPr>
          </w:p>
        </w:tc>
        <w:tc>
          <w:tcPr>
            <w:tcW w:w="1040" w:type="dxa"/>
            <w:vAlign w:val="bottom"/>
            <w:tcBorders>
              <w:top w:val="single" w:sz="8" w:color="231F20"/>
            </w:tcBorders>
            <w:shd w:val="clear" w:color="auto" w:fill="E3E4E5"/>
          </w:tcPr>
          <w:p>
            <w:pPr>
              <w:jc w:val="right"/>
              <w:ind w:right="840"/>
              <w:spacing w:after="0"/>
              <w:rPr>
                <w:sz w:val="20"/>
                <w:szCs w:val="20"/>
                <w:color w:val="auto"/>
              </w:rPr>
            </w:pPr>
            <w:r>
              <w:rPr>
                <w:rFonts w:ascii="Times New Roman" w:cs="Times New Roman" w:eastAsia="Times New Roman" w:hAnsi="Times New Roman"/>
                <w:sz w:val="20"/>
                <w:szCs w:val="20"/>
                <w:color w:val="414142"/>
                <w:w w:val="79"/>
              </w:rPr>
              <w:t>$</w:t>
            </w:r>
          </w:p>
        </w:tc>
        <w:tc>
          <w:tcPr>
            <w:tcW w:w="640" w:type="dxa"/>
            <w:vAlign w:val="bottom"/>
            <w:tcBorders>
              <w:top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71,323</w:t>
            </w:r>
          </w:p>
        </w:tc>
        <w:tc>
          <w:tcPr>
            <w:tcW w:w="80" w:type="dxa"/>
            <w:vAlign w:val="bottom"/>
            <w:tcBorders>
              <w:top w:val="single" w:sz="8" w:color="E3E4E5"/>
            </w:tcBorders>
            <w:shd w:val="clear" w:color="auto" w:fill="E3E4E5"/>
          </w:tcPr>
          <w:p>
            <w:pPr>
              <w:spacing w:after="0"/>
              <w:rPr>
                <w:sz w:val="20"/>
                <w:szCs w:val="20"/>
                <w:color w:val="auto"/>
              </w:rPr>
            </w:pPr>
          </w:p>
        </w:tc>
      </w:tr>
      <w:tr>
        <w:trPr>
          <w:trHeight w:val="244"/>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231F20"/>
              </w:rPr>
              <w:t>Less: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5"/>
        </w:trPr>
        <w:tc>
          <w:tcPr>
            <w:tcW w:w="6840" w:type="dxa"/>
            <w:vAlign w:val="bottom"/>
            <w:shd w:val="clear" w:color="auto" w:fill="E3E4E5"/>
          </w:tcPr>
          <w:p>
            <w:pPr>
              <w:ind w:left="200"/>
              <w:spacing w:after="0" w:line="225" w:lineRule="exact"/>
              <w:rPr>
                <w:sz w:val="20"/>
                <w:szCs w:val="20"/>
                <w:color w:val="auto"/>
              </w:rPr>
            </w:pPr>
            <w:r>
              <w:rPr>
                <w:rFonts w:ascii="Times New Roman" w:cs="Times New Roman" w:eastAsia="Times New Roman" w:hAnsi="Times New Roman"/>
                <w:sz w:val="20"/>
                <w:szCs w:val="20"/>
                <w:color w:val="414142"/>
              </w:rPr>
              <w:t>Direct costs and expenses (less employee related expenses and depreciation and</w:t>
            </w:r>
          </w:p>
        </w:tc>
        <w:tc>
          <w:tcPr>
            <w:tcW w:w="260" w:type="dxa"/>
            <w:vAlign w:val="bottom"/>
            <w:shd w:val="clear" w:color="auto" w:fill="E3E4E5"/>
          </w:tcPr>
          <w:p>
            <w:pPr>
              <w:spacing w:after="0"/>
              <w:rPr>
                <w:sz w:val="19"/>
                <w:szCs w:val="19"/>
                <w:color w:val="auto"/>
              </w:rPr>
            </w:pPr>
          </w:p>
        </w:tc>
        <w:tc>
          <w:tcPr>
            <w:tcW w:w="1040" w:type="dxa"/>
            <w:vAlign w:val="bottom"/>
            <w:shd w:val="clear" w:color="auto" w:fill="E3E4E5"/>
          </w:tcPr>
          <w:p>
            <w:pPr>
              <w:spacing w:after="0"/>
              <w:rPr>
                <w:sz w:val="19"/>
                <w:szCs w:val="19"/>
                <w:color w:val="auto"/>
              </w:rPr>
            </w:pPr>
          </w:p>
        </w:tc>
        <w:tc>
          <w:tcPr>
            <w:tcW w:w="640" w:type="dxa"/>
            <w:vAlign w:val="bottom"/>
            <w:shd w:val="clear" w:color="auto" w:fill="E3E4E5"/>
          </w:tcPr>
          <w:p>
            <w:pPr>
              <w:spacing w:after="0"/>
              <w:rPr>
                <w:sz w:val="19"/>
                <w:szCs w:val="19"/>
                <w:color w:val="auto"/>
              </w:rPr>
            </w:pPr>
          </w:p>
        </w:tc>
        <w:tc>
          <w:tcPr>
            <w:tcW w:w="160" w:type="dxa"/>
            <w:vAlign w:val="bottom"/>
            <w:shd w:val="clear" w:color="auto" w:fill="E3E4E5"/>
          </w:tcPr>
          <w:p>
            <w:pPr>
              <w:spacing w:after="0"/>
              <w:rPr>
                <w:sz w:val="19"/>
                <w:szCs w:val="19"/>
                <w:color w:val="auto"/>
              </w:rPr>
            </w:pPr>
          </w:p>
        </w:tc>
        <w:tc>
          <w:tcPr>
            <w:tcW w:w="100" w:type="dxa"/>
            <w:vAlign w:val="bottom"/>
            <w:shd w:val="clear" w:color="auto" w:fill="E3E4E5"/>
          </w:tcPr>
          <w:p>
            <w:pPr>
              <w:spacing w:after="0"/>
              <w:rPr>
                <w:sz w:val="19"/>
                <w:szCs w:val="19"/>
                <w:color w:val="auto"/>
              </w:rPr>
            </w:pPr>
          </w:p>
        </w:tc>
        <w:tc>
          <w:tcPr>
            <w:tcW w:w="1040" w:type="dxa"/>
            <w:vAlign w:val="bottom"/>
            <w:shd w:val="clear" w:color="auto" w:fill="E3E4E5"/>
          </w:tcPr>
          <w:p>
            <w:pPr>
              <w:spacing w:after="0"/>
              <w:rPr>
                <w:sz w:val="19"/>
                <w:szCs w:val="19"/>
                <w:color w:val="auto"/>
              </w:rPr>
            </w:pPr>
          </w:p>
        </w:tc>
        <w:tc>
          <w:tcPr>
            <w:tcW w:w="640" w:type="dxa"/>
            <w:vAlign w:val="bottom"/>
            <w:shd w:val="clear" w:color="auto" w:fill="E3E4E5"/>
          </w:tcPr>
          <w:p>
            <w:pPr>
              <w:spacing w:after="0"/>
              <w:rPr>
                <w:sz w:val="19"/>
                <w:szCs w:val="19"/>
                <w:color w:val="auto"/>
              </w:rPr>
            </w:pPr>
          </w:p>
        </w:tc>
        <w:tc>
          <w:tcPr>
            <w:tcW w:w="80" w:type="dxa"/>
            <w:vAlign w:val="bottom"/>
            <w:shd w:val="clear" w:color="auto" w:fill="E3E4E5"/>
          </w:tcPr>
          <w:p>
            <w:pPr>
              <w:spacing w:after="0"/>
              <w:rPr>
                <w:sz w:val="19"/>
                <w:szCs w:val="19"/>
                <w:color w:val="auto"/>
              </w:rPr>
            </w:pPr>
          </w:p>
        </w:tc>
      </w:tr>
      <w:tr>
        <w:trPr>
          <w:trHeight w:val="249"/>
        </w:trPr>
        <w:tc>
          <w:tcPr>
            <w:tcW w:w="68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amortization)</w:t>
            </w:r>
          </w:p>
        </w:tc>
        <w:tc>
          <w:tcPr>
            <w:tcW w:w="26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12,072</w:t>
            </w:r>
          </w:p>
        </w:tc>
        <w:tc>
          <w:tcPr>
            <w:tcW w:w="16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11,476</w:t>
            </w:r>
          </w:p>
        </w:tc>
        <w:tc>
          <w:tcPr>
            <w:tcW w:w="80" w:type="dxa"/>
            <w:vAlign w:val="bottom"/>
            <w:shd w:val="clear" w:color="auto" w:fill="E3E4E5"/>
          </w:tcPr>
          <w:p>
            <w:pPr>
              <w:spacing w:after="0"/>
              <w:rPr>
                <w:sz w:val="21"/>
                <w:szCs w:val="21"/>
                <w:color w:val="auto"/>
              </w:rPr>
            </w:pPr>
          </w:p>
        </w:tc>
      </w:tr>
      <w:tr>
        <w:trPr>
          <w:trHeight w:val="244"/>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Employee related expenses (less share-based compensation expenses)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66,824</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55,606</w:t>
            </w:r>
          </w:p>
        </w:tc>
        <w:tc>
          <w:tcPr>
            <w:tcW w:w="80" w:type="dxa"/>
            <w:vAlign w:val="bottom"/>
          </w:tcPr>
          <w:p>
            <w:pPr>
              <w:spacing w:after="0"/>
              <w:rPr>
                <w:sz w:val="21"/>
                <w:szCs w:val="21"/>
                <w:color w:val="auto"/>
              </w:rPr>
            </w:pPr>
          </w:p>
        </w:tc>
      </w:tr>
      <w:tr>
        <w:trPr>
          <w:trHeight w:val="244"/>
        </w:trPr>
        <w:tc>
          <w:tcPr>
            <w:tcW w:w="68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Contracted services expenses</w:t>
            </w:r>
          </w:p>
        </w:tc>
        <w:tc>
          <w:tcPr>
            <w:tcW w:w="26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7,012</w:t>
            </w:r>
          </w:p>
        </w:tc>
        <w:tc>
          <w:tcPr>
            <w:tcW w:w="16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6,616</w:t>
            </w:r>
          </w:p>
        </w:tc>
        <w:tc>
          <w:tcPr>
            <w:tcW w:w="80" w:type="dxa"/>
            <w:vAlign w:val="bottom"/>
            <w:shd w:val="clear" w:color="auto" w:fill="E3E4E5"/>
          </w:tcPr>
          <w:p>
            <w:pPr>
              <w:spacing w:after="0"/>
              <w:rPr>
                <w:sz w:val="21"/>
                <w:szCs w:val="21"/>
                <w:color w:val="auto"/>
              </w:rPr>
            </w:pPr>
          </w:p>
        </w:tc>
      </w:tr>
      <w:tr>
        <w:trPr>
          <w:trHeight w:val="244"/>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Sales and marketing education and event expenses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7,562</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7,574</w:t>
            </w:r>
          </w:p>
        </w:tc>
        <w:tc>
          <w:tcPr>
            <w:tcW w:w="80" w:type="dxa"/>
            <w:vAlign w:val="bottom"/>
          </w:tcPr>
          <w:p>
            <w:pPr>
              <w:spacing w:after="0"/>
              <w:rPr>
                <w:sz w:val="21"/>
                <w:szCs w:val="21"/>
                <w:color w:val="auto"/>
              </w:rPr>
            </w:pPr>
          </w:p>
        </w:tc>
      </w:tr>
      <w:tr>
        <w:trPr>
          <w:trHeight w:val="244"/>
        </w:trPr>
        <w:tc>
          <w:tcPr>
            <w:tcW w:w="68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Occupancy and equipment service expenses</w:t>
            </w:r>
          </w:p>
        </w:tc>
        <w:tc>
          <w:tcPr>
            <w:tcW w:w="26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4,077</w:t>
            </w:r>
          </w:p>
        </w:tc>
        <w:tc>
          <w:tcPr>
            <w:tcW w:w="16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4,055</w:t>
            </w:r>
          </w:p>
        </w:tc>
        <w:tc>
          <w:tcPr>
            <w:tcW w:w="80" w:type="dxa"/>
            <w:vAlign w:val="bottom"/>
            <w:shd w:val="clear" w:color="auto" w:fill="E3E4E5"/>
          </w:tcPr>
          <w:p>
            <w:pPr>
              <w:spacing w:after="0"/>
              <w:rPr>
                <w:sz w:val="21"/>
                <w:szCs w:val="21"/>
                <w:color w:val="auto"/>
              </w:rPr>
            </w:pPr>
          </w:p>
        </w:tc>
      </w:tr>
      <w:tr>
        <w:trPr>
          <w:trHeight w:val="244"/>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Clinical trials and associated costs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1,730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1,180</w:t>
            </w:r>
          </w:p>
        </w:tc>
        <w:tc>
          <w:tcPr>
            <w:tcW w:w="80" w:type="dxa"/>
            <w:vAlign w:val="bottom"/>
          </w:tcPr>
          <w:p>
            <w:pPr>
              <w:spacing w:after="0"/>
              <w:rPr>
                <w:sz w:val="21"/>
                <w:szCs w:val="21"/>
                <w:color w:val="auto"/>
              </w:rPr>
            </w:pPr>
          </w:p>
        </w:tc>
      </w:tr>
      <w:tr>
        <w:trPr>
          <w:trHeight w:val="244"/>
        </w:trPr>
        <w:tc>
          <w:tcPr>
            <w:tcW w:w="68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Depreciation and amortization expense</w:t>
            </w:r>
          </w:p>
        </w:tc>
        <w:tc>
          <w:tcPr>
            <w:tcW w:w="26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5,670</w:t>
            </w:r>
          </w:p>
        </w:tc>
        <w:tc>
          <w:tcPr>
            <w:tcW w:w="16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5,773</w:t>
            </w:r>
          </w:p>
        </w:tc>
        <w:tc>
          <w:tcPr>
            <w:tcW w:w="80" w:type="dxa"/>
            <w:vAlign w:val="bottom"/>
            <w:shd w:val="clear" w:color="auto" w:fill="E3E4E5"/>
          </w:tcPr>
          <w:p>
            <w:pPr>
              <w:spacing w:after="0"/>
              <w:rPr>
                <w:sz w:val="21"/>
                <w:szCs w:val="21"/>
                <w:color w:val="auto"/>
              </w:rPr>
            </w:pPr>
          </w:p>
        </w:tc>
      </w:tr>
      <w:tr>
        <w:trPr>
          <w:trHeight w:val="244"/>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Share-based compensation expenses</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4,139</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6,638</w:t>
            </w:r>
          </w:p>
        </w:tc>
        <w:tc>
          <w:tcPr>
            <w:tcW w:w="80" w:type="dxa"/>
            <w:vAlign w:val="bottom"/>
          </w:tcPr>
          <w:p>
            <w:pPr>
              <w:spacing w:after="0"/>
              <w:rPr>
                <w:sz w:val="21"/>
                <w:szCs w:val="21"/>
                <w:color w:val="auto"/>
              </w:rPr>
            </w:pPr>
          </w:p>
        </w:tc>
      </w:tr>
      <w:tr>
        <w:trPr>
          <w:trHeight w:val="244"/>
        </w:trPr>
        <w:tc>
          <w:tcPr>
            <w:tcW w:w="6840" w:type="dxa"/>
            <w:vAlign w:val="bottom"/>
            <w:shd w:val="clear" w:color="auto" w:fill="E3E4E5"/>
          </w:tcPr>
          <w:p>
            <w:pPr>
              <w:ind w:left="200"/>
              <w:spacing w:after="0"/>
              <w:rPr>
                <w:sz w:val="20"/>
                <w:szCs w:val="20"/>
                <w:color w:val="auto"/>
              </w:rPr>
            </w:pPr>
            <w:r>
              <w:rPr>
                <w:rFonts w:ascii="Times New Roman" w:cs="Times New Roman" w:eastAsia="Times New Roman" w:hAnsi="Times New Roman"/>
                <w:sz w:val="20"/>
                <w:szCs w:val="20"/>
                <w:color w:val="414142"/>
              </w:rPr>
              <w:t>Interest expense</w:t>
            </w:r>
          </w:p>
        </w:tc>
        <w:tc>
          <w:tcPr>
            <w:tcW w:w="26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7,716</w:t>
            </w:r>
          </w:p>
        </w:tc>
        <w:tc>
          <w:tcPr>
            <w:tcW w:w="16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shd w:val="clear" w:color="auto" w:fill="E3E4E5"/>
          </w:tcPr>
          <w:p>
            <w:pPr>
              <w:spacing w:after="0"/>
              <w:rPr>
                <w:sz w:val="21"/>
                <w:szCs w:val="21"/>
                <w:color w:val="auto"/>
              </w:rPr>
            </w:pPr>
          </w:p>
        </w:tc>
        <w:tc>
          <w:tcPr>
            <w:tcW w:w="640" w:type="dxa"/>
            <w:vAlign w:val="bottom"/>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8,258</w:t>
            </w:r>
          </w:p>
        </w:tc>
        <w:tc>
          <w:tcPr>
            <w:tcW w:w="80" w:type="dxa"/>
            <w:vAlign w:val="bottom"/>
            <w:shd w:val="clear" w:color="auto" w:fill="E3E4E5"/>
          </w:tcPr>
          <w:p>
            <w:pPr>
              <w:spacing w:after="0"/>
              <w:rPr>
                <w:sz w:val="21"/>
                <w:szCs w:val="21"/>
                <w:color w:val="auto"/>
              </w:rPr>
            </w:pPr>
          </w:p>
        </w:tc>
      </w:tr>
      <w:tr>
        <w:trPr>
          <w:trHeight w:val="244"/>
        </w:trPr>
        <w:tc>
          <w:tcPr>
            <w:tcW w:w="6840" w:type="dxa"/>
            <w:vAlign w:val="bottom"/>
          </w:tcPr>
          <w:p>
            <w:pPr>
              <w:ind w:left="200"/>
              <w:spacing w:after="0"/>
              <w:rPr>
                <w:sz w:val="20"/>
                <w:szCs w:val="20"/>
                <w:color w:val="auto"/>
              </w:rPr>
            </w:pPr>
            <w:r>
              <w:rPr>
                <w:rFonts w:ascii="Times New Roman" w:cs="Times New Roman" w:eastAsia="Times New Roman" w:hAnsi="Times New Roman"/>
                <w:sz w:val="20"/>
                <w:szCs w:val="20"/>
                <w:color w:val="231F20"/>
              </w:rPr>
              <w:t>Change in fair value of warrant liability, net</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231F20"/>
              </w:rPr>
              <w:t>280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231F20"/>
              </w:rPr>
              <w:t>—</w:t>
            </w:r>
          </w:p>
        </w:tc>
      </w:tr>
      <w:tr>
        <w:trPr>
          <w:trHeight w:val="244"/>
        </w:trPr>
        <w:tc>
          <w:tcPr>
            <w:tcW w:w="6840" w:type="dxa"/>
            <w:vAlign w:val="bottom"/>
            <w:shd w:val="clear" w:color="auto" w:fill="E3E4E5"/>
          </w:tcPr>
          <w:p>
            <w:pPr>
              <w:ind w:left="200"/>
              <w:spacing w:after="0" w:line="243" w:lineRule="exact"/>
              <w:rPr>
                <w:sz w:val="20"/>
                <w:szCs w:val="20"/>
                <w:color w:val="auto"/>
              </w:rPr>
            </w:pPr>
            <w:r>
              <w:rPr>
                <w:rFonts w:ascii="Times New Roman" w:cs="Times New Roman" w:eastAsia="Times New Roman" w:hAnsi="Times New Roman"/>
                <w:sz w:val="20"/>
                <w:szCs w:val="20"/>
                <w:color w:val="414142"/>
              </w:rPr>
              <w:t xml:space="preserve">Other segment items </w:t>
            </w:r>
            <w:r>
              <w:rPr>
                <w:rFonts w:ascii="Times New Roman" w:cs="Times New Roman" w:eastAsia="Times New Roman" w:hAnsi="Times New Roman"/>
                <w:sz w:val="26"/>
                <w:szCs w:val="26"/>
                <w:color w:val="414142"/>
                <w:vertAlign w:val="superscript"/>
              </w:rPr>
              <w:t>(1)</w:t>
            </w:r>
          </w:p>
        </w:tc>
        <w:tc>
          <w:tcPr>
            <w:tcW w:w="260" w:type="dxa"/>
            <w:vAlign w:val="bottom"/>
            <w:shd w:val="clear" w:color="auto" w:fill="E3E4E5"/>
          </w:tcPr>
          <w:p>
            <w:pPr>
              <w:spacing w:after="0"/>
              <w:rPr>
                <w:sz w:val="21"/>
                <w:szCs w:val="21"/>
                <w:color w:val="auto"/>
              </w:rPr>
            </w:pPr>
          </w:p>
        </w:tc>
        <w:tc>
          <w:tcPr>
            <w:tcW w:w="1040" w:type="dxa"/>
            <w:vAlign w:val="bottom"/>
            <w:tcBorders>
              <w:bottom w:val="single" w:sz="8" w:color="231F20"/>
            </w:tcBorders>
            <w:shd w:val="clear" w:color="auto" w:fill="E3E4E5"/>
          </w:tcPr>
          <w:p>
            <w:pPr>
              <w:spacing w:after="0"/>
              <w:rPr>
                <w:sz w:val="21"/>
                <w:szCs w:val="21"/>
                <w:color w:val="auto"/>
              </w:rPr>
            </w:pPr>
          </w:p>
        </w:tc>
        <w:tc>
          <w:tcPr>
            <w:tcW w:w="6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6,682</w:t>
            </w:r>
          </w:p>
        </w:tc>
        <w:tc>
          <w:tcPr>
            <w:tcW w:w="160" w:type="dxa"/>
            <w:vAlign w:val="bottom"/>
            <w:shd w:val="clear" w:color="auto" w:fill="E3E4E5"/>
          </w:tcPr>
          <w:p>
            <w:pPr>
              <w:spacing w:after="0"/>
              <w:rPr>
                <w:sz w:val="21"/>
                <w:szCs w:val="21"/>
                <w:color w:val="auto"/>
              </w:rPr>
            </w:pPr>
          </w:p>
        </w:tc>
        <w:tc>
          <w:tcPr>
            <w:tcW w:w="100" w:type="dxa"/>
            <w:vAlign w:val="bottom"/>
            <w:shd w:val="clear" w:color="auto" w:fill="E3E4E5"/>
          </w:tcPr>
          <w:p>
            <w:pPr>
              <w:spacing w:after="0"/>
              <w:rPr>
                <w:sz w:val="21"/>
                <w:szCs w:val="21"/>
                <w:color w:val="auto"/>
              </w:rPr>
            </w:pPr>
          </w:p>
        </w:tc>
        <w:tc>
          <w:tcPr>
            <w:tcW w:w="1040" w:type="dxa"/>
            <w:vAlign w:val="bottom"/>
            <w:tcBorders>
              <w:bottom w:val="single" w:sz="8" w:color="231F20"/>
            </w:tcBorders>
            <w:shd w:val="clear" w:color="auto" w:fill="E3E4E5"/>
          </w:tcPr>
          <w:p>
            <w:pPr>
              <w:spacing w:after="0"/>
              <w:rPr>
                <w:sz w:val="21"/>
                <w:szCs w:val="21"/>
                <w:color w:val="auto"/>
              </w:rPr>
            </w:pPr>
          </w:p>
        </w:tc>
        <w:tc>
          <w:tcPr>
            <w:tcW w:w="640" w:type="dxa"/>
            <w:vAlign w:val="bottom"/>
            <w:tcBorders>
              <w:bottom w:val="single" w:sz="8" w:color="231F20"/>
            </w:tcBorders>
            <w:shd w:val="clear" w:color="auto" w:fill="E3E4E5"/>
          </w:tcPr>
          <w:p>
            <w:pPr>
              <w:jc w:val="right"/>
              <w:spacing w:after="0"/>
              <w:rPr>
                <w:sz w:val="20"/>
                <w:szCs w:val="20"/>
                <w:color w:val="auto"/>
              </w:rPr>
            </w:pPr>
            <w:r>
              <w:rPr>
                <w:rFonts w:ascii="Times New Roman" w:cs="Times New Roman" w:eastAsia="Times New Roman" w:hAnsi="Times New Roman"/>
                <w:sz w:val="20"/>
                <w:szCs w:val="20"/>
                <w:color w:val="414142"/>
              </w:rPr>
              <w:t>7,078</w:t>
            </w:r>
          </w:p>
        </w:tc>
        <w:tc>
          <w:tcPr>
            <w:tcW w:w="80" w:type="dxa"/>
            <w:vAlign w:val="bottom"/>
            <w:shd w:val="clear" w:color="auto" w:fill="E3E4E5"/>
          </w:tcPr>
          <w:p>
            <w:pPr>
              <w:spacing w:after="0"/>
              <w:rPr>
                <w:sz w:val="21"/>
                <w:szCs w:val="21"/>
                <w:color w:val="auto"/>
              </w:rPr>
            </w:pPr>
          </w:p>
        </w:tc>
      </w:tr>
      <w:tr>
        <w:trPr>
          <w:trHeight w:val="239"/>
        </w:trPr>
        <w:tc>
          <w:tcPr>
            <w:tcW w:w="6840" w:type="dxa"/>
            <w:vAlign w:val="bottom"/>
          </w:tcPr>
          <w:p>
            <w:pPr>
              <w:spacing w:after="0"/>
              <w:rPr>
                <w:sz w:val="20"/>
                <w:szCs w:val="20"/>
                <w:color w:val="auto"/>
              </w:rPr>
            </w:pPr>
            <w:r>
              <w:rPr>
                <w:rFonts w:ascii="Times New Roman" w:cs="Times New Roman" w:eastAsia="Times New Roman" w:hAnsi="Times New Roman"/>
                <w:sz w:val="20"/>
                <w:szCs w:val="20"/>
                <w:color w:val="231F20"/>
              </w:rPr>
              <w:t>Net loss</w:t>
            </w:r>
          </w:p>
        </w:tc>
        <w:tc>
          <w:tcPr>
            <w:tcW w:w="260" w:type="dxa"/>
            <w:vAlign w:val="bottom"/>
          </w:tcPr>
          <w:p>
            <w:pPr>
              <w:spacing w:after="0"/>
              <w:rPr>
                <w:sz w:val="20"/>
                <w:szCs w:val="20"/>
                <w:color w:val="auto"/>
              </w:rPr>
            </w:pPr>
          </w:p>
        </w:tc>
        <w:tc>
          <w:tcPr>
            <w:tcW w:w="1040" w:type="dxa"/>
            <w:vAlign w:val="bottom"/>
            <w:tcBorders>
              <w:bottom w:val="single" w:sz="8" w:color="231F20"/>
            </w:tcBorders>
          </w:tcPr>
          <w:p>
            <w:pPr>
              <w:jc w:val="right"/>
              <w:ind w:right="84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0"/>
              </w:rPr>
              <w:t>(35,265)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Borders>
              <w:bottom w:val="single" w:sz="8" w:color="231F20"/>
            </w:tcBorders>
          </w:tcPr>
          <w:p>
            <w:pPr>
              <w:jc w:val="right"/>
              <w:ind w:right="840"/>
              <w:spacing w:after="0"/>
              <w:rPr>
                <w:sz w:val="20"/>
                <w:szCs w:val="20"/>
                <w:color w:val="auto"/>
              </w:rPr>
            </w:pPr>
            <w:r>
              <w:rPr>
                <w:rFonts w:ascii="Times New Roman" w:cs="Times New Roman" w:eastAsia="Times New Roman" w:hAnsi="Times New Roman"/>
                <w:sz w:val="20"/>
                <w:szCs w:val="20"/>
                <w:color w:val="231F20"/>
                <w:w w:val="79"/>
              </w:rPr>
              <w:t>$</w:t>
            </w:r>
          </w:p>
        </w:tc>
        <w:tc>
          <w:tcPr>
            <w:tcW w:w="640" w:type="dxa"/>
            <w:vAlign w:val="bottom"/>
            <w:tcBorders>
              <w:bottom w:val="single" w:sz="8" w:color="231F20"/>
            </w:tcBorders>
          </w:tcPr>
          <w:p>
            <w:pPr>
              <w:jc w:val="right"/>
              <w:spacing w:after="0"/>
              <w:rPr>
                <w:sz w:val="20"/>
                <w:szCs w:val="20"/>
                <w:color w:val="auto"/>
              </w:rPr>
            </w:pPr>
            <w:r>
              <w:rPr>
                <w:rFonts w:ascii="Times New Roman" w:cs="Times New Roman" w:eastAsia="Times New Roman" w:hAnsi="Times New Roman"/>
                <w:sz w:val="20"/>
                <w:szCs w:val="20"/>
                <w:color w:val="231F20"/>
                <w:w w:val="90"/>
              </w:rPr>
              <w:t>(42,931)</w:t>
            </w:r>
          </w:p>
        </w:tc>
        <w:tc>
          <w:tcPr>
            <w:tcW w:w="80" w:type="dxa"/>
            <w:vAlign w:val="bottom"/>
          </w:tcPr>
          <w:p>
            <w:pPr>
              <w:spacing w:after="0"/>
              <w:rPr>
                <w:sz w:val="20"/>
                <w:szCs w:val="20"/>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231F20"/>
            </w:tcBorders>
          </w:tcPr>
          <w:p>
            <w:pPr>
              <w:spacing w:after="0" w:line="20" w:lineRule="exact"/>
              <w:rPr>
                <w:sz w:val="1"/>
                <w:szCs w:val="1"/>
                <w:color w:val="auto"/>
              </w:rPr>
            </w:pPr>
          </w:p>
        </w:tc>
        <w:tc>
          <w:tcPr>
            <w:tcW w:w="640" w:type="dxa"/>
            <w:vAlign w:val="bottom"/>
            <w:tcBorders>
              <w:bottom w:val="single" w:sz="8" w:color="231F2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4491990</wp:posOffset>
            </wp:positionH>
            <wp:positionV relativeFrom="paragraph">
              <wp:posOffset>-2371725</wp:posOffset>
            </wp:positionV>
            <wp:extent cx="233108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68">
                      <a:extLst>
                        <a:ext uri="{28A0092B-C50C-407E-A947-70E740481C1C}"/>
                      </a:extLst>
                    </a:blip>
                    <a:srcRect/>
                    <a:stretch>
                      <a:fillRect/>
                    </a:stretch>
                  </pic:blipFill>
                  <pic:spPr bwMode="auto">
                    <a:xfrm>
                      <a:off x="0" y="0"/>
                      <a:ext cx="2331085" cy="38100"/>
                    </a:xfrm>
                    <a:prstGeom prst="rect">
                      <a:avLst/>
                    </a:prstGeom>
                    <a:noFill/>
                  </pic:spPr>
                </pic:pic>
              </a:graphicData>
            </a:graphic>
          </wp:anchor>
        </w:drawing>
      </w:r>
    </w:p>
    <w:p>
      <w:pPr>
        <w:spacing w:after="0" w:line="100" w:lineRule="exact"/>
        <w:rPr>
          <w:sz w:val="20"/>
          <w:szCs w:val="20"/>
          <w:color w:val="auto"/>
        </w:rPr>
      </w:pPr>
    </w:p>
    <w:p>
      <w:pPr>
        <w:ind w:left="360" w:hanging="360"/>
        <w:spacing w:after="0" w:line="212" w:lineRule="auto"/>
        <w:tabs>
          <w:tab w:leader="none" w:pos="360" w:val="left"/>
        </w:tabs>
        <w:numPr>
          <w:ilvl w:val="0"/>
          <w:numId w:val="61"/>
        </w:numPr>
        <w:rPr>
          <w:rFonts w:ascii="Times New Roman" w:cs="Times New Roman" w:eastAsia="Times New Roman" w:hAnsi="Times New Roman"/>
          <w:sz w:val="26"/>
          <w:szCs w:val="26"/>
          <w:color w:val="231F20"/>
          <w:vertAlign w:val="superscript"/>
        </w:rPr>
      </w:pPr>
      <w:r>
        <w:rPr>
          <w:rFonts w:ascii="Times New Roman" w:cs="Times New Roman" w:eastAsia="Times New Roman" w:hAnsi="Times New Roman"/>
          <w:sz w:val="18"/>
          <w:szCs w:val="18"/>
          <w:color w:val="231F20"/>
        </w:rPr>
        <w:t>Other segment items in segment net loss primarily include software and IT related expenses, administrative and professional development expenses, risk management and insurance expenses, other non-cash expenses, and allocated overhead expenses.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16 – Commitments and Contingencies</w:t>
      </w:r>
    </w:p>
    <w:p>
      <w:pPr>
        <w:spacing w:after="0" w:line="139" w:lineRule="exact"/>
        <w:rPr>
          <w:sz w:val="20"/>
          <w:szCs w:val="20"/>
          <w:color w:val="auto"/>
        </w:rPr>
      </w:pPr>
    </w:p>
    <w:p>
      <w:pPr>
        <w:spacing w:after="0" w:line="230" w:lineRule="exact"/>
        <w:rPr>
          <w:sz w:val="20"/>
          <w:szCs w:val="20"/>
          <w:color w:val="auto"/>
        </w:rPr>
      </w:pPr>
      <w:r>
        <w:rPr>
          <w:rFonts w:ascii="Times New Roman" w:cs="Times New Roman" w:eastAsia="Times New Roman" w:hAnsi="Times New Roman"/>
          <w:sz w:val="20"/>
          <w:szCs w:val="20"/>
          <w:b w:val="1"/>
          <w:bCs w:val="1"/>
          <w:i w:val="1"/>
          <w:iCs w:val="1"/>
          <w:color w:val="231F20"/>
        </w:rPr>
        <w:t>Co</w:t>
      </w:r>
      <w:r>
        <w:rPr>
          <w:rFonts w:ascii="MS Gothic" w:cs="MS Gothic" w:eastAsia="MS Gothic" w:hAnsi="MS Gothic"/>
          <w:sz w:val="20"/>
          <w:szCs w:val="20"/>
          <w:b w:val="1"/>
          <w:bCs w:val="1"/>
          <w:i w:val="1"/>
          <w:iCs w:val="1"/>
          <w:color w:val="231F20"/>
        </w:rPr>
        <w:t>̻</w:t>
      </w:r>
      <w:r>
        <w:rPr>
          <w:rFonts w:ascii="Times New Roman" w:cs="Times New Roman" w:eastAsia="Times New Roman" w:hAnsi="Times New Roman"/>
          <w:sz w:val="20"/>
          <w:szCs w:val="20"/>
          <w:b w:val="1"/>
          <w:bCs w:val="1"/>
          <w:i w:val="1"/>
          <w:iCs w:val="1"/>
          <w:color w:val="231F20"/>
        </w:rPr>
        <w:t>Development Agreement</w:t>
      </w:r>
    </w:p>
    <w:p>
      <w:pPr>
        <w:spacing w:after="0" w:line="1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In April 2014 and amended in October 2016, the Company entered into a worldwide agreement with AVEO to develop and commercialize AVEO's hepatocyte growth factor inhibitory antibody ficlatuzumab with the Company's proprietary companion diagnostic test, BDX004, a version of the Company’s serum protein test that is commercially available to help physicians guide treatment decisions for patients with advanced non-small cell lung cancer (NSCLC). Under the terms of the agreement, AVEO conducted a proof of concept (POC) clinical study of ficlatuzumab for NSCLC in which BDX004 was used to select clinical trial subjects (the NSCLC POC Trial). Under the agreement, the Company and AVEO shared equally in the costs of the NSCLC POC Trial, and each were responsible for 50% of development and regulatory costs associated with all future clinical trials agreed upon by the Company and AVEO.</w:t>
      </w:r>
    </w:p>
    <w:p>
      <w:pPr>
        <w:spacing w:after="0" w:line="8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In September 2020, the Company exercised its opt-out right with AVEO for the payment of 50% of development and regulatory costs for ficlatuzumab effective December 2, 2020 (the AVEO Effective Date). Following the AVEO Effective Date, the Company is entitled to a 10% royalty of net sales of ficlatuzumab and 25% of license income generated from the licensing of ficlatuzumab from AVEO. In September 2021, AVEO announced that the FDA has granted Fast Track Designation (FTD) to ficlatuzumab for the treatment of patients with relapsed or recurrent head and neck squamous cell carcinoma. In November 2021 AVEO also announced plans to initiate a registrational Phase 3 clinical trial for ficlatuzumab. On January 19, 2023, LG Chem, Ltd. (LG Chem) announced the acquisition of AVEO which would become the US foundation for LG Chem Life Sciences' Oncology Division. In January 2024, LG Chem announced the initiation of the Phase 3 clinical trial for ficlatuzumab and, if approved by the FDA, LG Chem plans to launch the ficlatuzumab product in the global market, including the United States, by 2028. There were no royalties received related to this agreement for the years ended December 31, 2025 and 2024.</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License Agreements</w:t>
      </w:r>
    </w:p>
    <w:p>
      <w:pPr>
        <w:spacing w:after="0" w:line="12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231F20"/>
        </w:rPr>
        <w:t>In August 2019, the Company entered into a non-exclusive license agreement with Bio-Rad (the Bio-Rad License). Under the terms of the Bio-Rad License, the Company received a non-exclusive license, without the right to grant sublicenses, to utilize certain of Bio-Rad’s intellectual property, machinery, materials, reagents, supplies and know-how necessary for the performance of Droplet Digital PCR™ (ddPCR) in cancer detection testing for third parties in the United States. There are no license fees related to this agreement. In May 2024, the Company amended the agreement to extend the Bio-Rad License from August 2024 to August 2026. In August 2019, the Company also agreed to purchase all of the necessary supplies and reagents for such testing exclusively from Bio- Rad, pursuant to a separately executed supply agreement (the Supply Agreement) with Bio-Rad. Either party may terminate for the other’s uncured material breach or bankruptcy events. Bio-Rad may terminate the Bio- Rad License if the Company does not purchase licensed products under the Supply Agreement for a consecutive twelve-month period or for any material breach by us of the Supply Agreement.</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F-30</w:t>
      </w:r>
    </w:p>
    <w:p>
      <w:pPr>
        <w:sectPr>
          <w:pgSz w:w="11880" w:h="15480" w:orient="portrait"/>
          <w:cols w:equalWidth="0" w:num="1">
            <w:col w:w="10800"/>
          </w:cols>
          <w:pgMar w:left="540" w:top="750" w:right="540" w:bottom="6" w:gutter="0" w:footer="0" w:header="0"/>
          <w:type w:val="continuous"/>
        </w:sectPr>
      </w:pPr>
    </w:p>
    <w:bookmarkStart w:id="119" w:name="page120"/>
    <w:bookmarkEnd w:id="119"/>
    <w:p>
      <w:pPr>
        <w:jc w:val="both"/>
        <w:spacing w:after="0" w:line="246" w:lineRule="auto"/>
        <w:rPr>
          <w:sz w:val="20"/>
          <w:szCs w:val="20"/>
          <w:color w:val="auto"/>
        </w:rPr>
      </w:pPr>
      <w:r>
        <w:rPr>
          <w:rFonts w:ascii="Times New Roman" w:cs="Times New Roman" w:eastAsia="Times New Roman" w:hAnsi="Times New Roman"/>
          <w:sz w:val="20"/>
          <w:szCs w:val="20"/>
          <w:color w:val="231F20"/>
        </w:rPr>
        <w:t>On May 13, 2021 (the CellCarta Effective Date), we reached agreement with CellCarta Biosciences Inc. (formerly “Caprion Biosciences, Inc.”) (the CellCarta License) on a new royalty bearing license agreement for the Nodify XL2 test. The parties agreed to terminate all prior agreements and replace with this new arrangement, which has a 1% fee on net sales made from the first commercial sale of the Nodify XL2 test to the CellCarta Effective Date as an upfront make-good payment covering past royalties due and a royalty rate of 0.675% on future Nodify XL2 test net sales worldwide for 15 years from the first commercial sale, ending in 2034. Royalty expense under the CellCarta License for each of the years ended December 31, 2025 and 2024 was $0.4 million and $0.3 million, respectively.</w:t>
      </w:r>
    </w:p>
    <w:p>
      <w:pPr>
        <w:spacing w:after="0" w:line="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231F20"/>
        </w:rPr>
        <w:t>On October 31, 2019, we completed an acquisition of Freenome's United States operations (formerly "Oncimmune USA" or "Oncimmune") including its COLA/CLIA lab in De Soto, Kansas and its pulmonary nodule malignancy test, then marketed in the United States as the EarlyCDT Lung® test. We renamed and relaunched the test on February 28, 2020 as the Nodify CDT test. As part of the acquisition of the assets of Oncimmune, the Company entered into several agreements to govern the relationship between the parties. The Company agreed to a license agreement and royalty payment related to the Nodify CDT test of 8% of recognized revenue for non-screening tests up to an annual minimum volume and 5% thereafter. Royalty expenses were $1.7 million and $1.5 million for the years ended December 31,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231F20"/>
        </w:rPr>
        <w:t>Litigation, Claims and Assessments</w:t>
      </w:r>
    </w:p>
    <w:p>
      <w:pPr>
        <w:spacing w:after="0" w:line="1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231F20"/>
        </w:rPr>
        <w:t>From time to time, we may become involved in legal proceedings or investigations which could have an adverse impact on our reputation, business and financial condition and divert the attention of our management from the operation of our business. We are not presently a party to any legal proceedings that, if determined adversely to us, would individually or taken together have a material adverse effect on our business, results of operations, financial condition, or cash flows.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231F20"/>
        </w:rPr>
        <w:t>Note 17 – Subsequent Events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At-the-Market Sales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Subsequent to December 31, 2025, the Company raised an additional $14.7 million ($ 14.4 million after deducting underwriting discounts and commissions and offering expenses payable), in gross proceeds from the sale of 1,615,003 common shares at a weighted average price per share of $9.12.</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231F20"/>
        </w:rPr>
        <w:t>Perceptive Term Loan Facility Extension</w:t>
      </w:r>
    </w:p>
    <w:p>
      <w:pPr>
        <w:spacing w:after="0" w:line="11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231F20"/>
        </w:rPr>
        <w:t>On February 25, 2026 (the Sixth Amendment Effective Date), the Company entered into the Sixth Amendment to the Credit Agreement (the Sixth Amendment) with Perceptive, whereby subject to the terms and conditions of the Sixth Amendment, the Perceptive Term Loan Facility Maturity Date was extended to November 21, 2028 (the Extended Maturity Date). Consistent with the existing financial covenants, the Company must continue to, at all times prior to the Extended Maturity Date, (i) maintain a minimum cash balance of $2.5 million and (ii) meet certain minimum net revenue threshold amounts agreed to between the Company and Perceptive through and including the fiscal quarter ended December 31, 2028. The Perceptive Term Loan Facility continues to provide for an interest- only period through the Extended Maturity Date at an annual rate equal to the greater of (a) forward-looking one-month term SOFR as posted by CME Group Inc. and (b) 3.0% per annum, plus an applicable margin of 9.0%.</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231F20"/>
        </w:rPr>
        <w:t>As consideration for the Sixth Amendment, the Company agreed to issue to Perceptive a warrant to purchase up to 100,000 shares of the Company’s common stock, which were immediately vested and exercisable at a per share exercise price equal to $12.93, the Company’s closing stock price on the Sixth Amendment Effective Date.</w:t>
      </w:r>
    </w:p>
    <w:p>
      <w:pPr>
        <w:sectPr>
          <w:pgSz w:w="11880" w:h="15480" w:orient="portrait"/>
          <w:cols w:equalWidth="0" w:num="1">
            <w:col w:w="10800"/>
          </w:cols>
          <w:pgMar w:left="540" w:top="750" w:right="540" w:bottom="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231F20"/>
        </w:rPr>
        <w:t>F-31</w:t>
      </w:r>
    </w:p>
    <w:sectPr>
      <w:pgSz w:w="11880" w:h="15480" w:orient="portrait"/>
      <w:cols w:equalWidth="0" w:num="1">
        <w:col w:w="10800"/>
      </w:cols>
      <w:pgMar w:left="540" w:top="750" w:right="540" w:bottom="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200001FF" w:csb1="00000000"/>
  </w:font>
  <w:font w:name="Arial">
    <w:panose1 w:val="020B0604020202020204"/>
    <w:charset w:val="00"/>
    <w:family w:val="swiss"/>
    <w:pitch w:val="variable"/>
    <w:sig w:usb0="E0002EFF" w:usb1="C0007843" w:usb2="00000009" w:usb3="00000000" w:csb0="400001FF" w:csb1="FFFF0000"/>
  </w:font>
  <w:font w:name="MS Gothic">
    <w:panose1 w:val="020B0609070205080204"/>
    <w:charset w:val="80"/>
    <w:family w:val="auto"/>
    <w:pitch w:val="fixed"/>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շ"/>
      <w:numFmt w:val="bullet"/>
      <w:start w:val="1"/>
    </w:lvl>
  </w:abstractNum>
  <w:abstractNum w:abstractNumId="1">
    <w:nsid w:val="737B8DDC"/>
    <w:multiLevelType w:val="hybridMultilevel"/>
    <w:lvl w:ilvl="0">
      <w:lvlJc w:val="left"/>
      <w:lvlText w:val="ն"/>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decimal"/>
      <w:start w:val="1"/>
    </w:lvl>
    <w:lvl w:ilvl="1">
      <w:lvlJc w:val="left"/>
      <w:lvlText w:val="•"/>
      <w:numFmt w:val="bullet"/>
      <w:start w:val="1"/>
    </w:lvl>
  </w:abstractNum>
  <w:abstractNum w:abstractNumId="6">
    <w:nsid w:val="614FD4A1"/>
    <w:multiLevelType w:val="hybridMultilevel"/>
    <w:lvl w:ilvl="0">
      <w:lvlJc w:val="left"/>
      <w:lvlText w:val="%1."/>
      <w:numFmt w:val="decimal"/>
      <w:start w:val="1"/>
    </w:lvl>
    <w:lvl w:ilvl="1">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decimal"/>
      <w:start w:val="1"/>
    </w:lvl>
  </w:abstractNum>
  <w:abstractNum w:abstractNumId="11">
    <w:nsid w:val="3804823E"/>
    <w:multiLevelType w:val="hybridMultilevel"/>
    <w:lvl w:ilvl="0">
      <w:lvlJc w:val="left"/>
      <w:lvlText w:val="•"/>
      <w:numFmt w:val="bullet"/>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
      <w:numFmt w:val="bullet"/>
      <w:start w:val="1"/>
    </w:lvl>
  </w:abstractNum>
  <w:abstractNum w:abstractNumId="14">
    <w:nsid w:val="5C482A97"/>
    <w:multiLevelType w:val="hybridMultilevel"/>
    <w:lvl w:ilvl="0">
      <w:lvlJc w:val="left"/>
      <w:lvlText w:val="•"/>
      <w:numFmt w:val="bullet"/>
      <w:start w:val="1"/>
    </w:lvl>
  </w:abstractNum>
  <w:abstractNum w:abstractNumId="15">
    <w:nsid w:val="2463B9EA"/>
    <w:multiLevelType w:val="hybridMultilevel"/>
    <w:lvl w:ilvl="0">
      <w:lvlJc w:val="left"/>
      <w:lvlText w:val="•"/>
      <w:numFmt w:val="bullet"/>
      <w:start w:val="1"/>
    </w:lvl>
  </w:abstractNum>
  <w:abstractNum w:abstractNumId="16">
    <w:nsid w:val="5E884ADC"/>
    <w:multiLevelType w:val="hybridMultilevel"/>
    <w:lvl w:ilvl="0">
      <w:lvlJc w:val="left"/>
      <w:lvlText w:val="•"/>
      <w:numFmt w:val="bullet"/>
      <w:start w:val="1"/>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
      <w:numFmt w:val="bullet"/>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
      <w:numFmt w:val="bullet"/>
      <w:start w:val="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
      <w:numFmt w:val="bullet"/>
      <w:start w:val="1"/>
    </w:lvl>
  </w:abstractNum>
  <w:abstractNum w:abstractNumId="32">
    <w:nsid w:val="6DE91B18"/>
    <w:multiLevelType w:val="hybridMultilevel"/>
    <w:lvl w:ilvl="0">
      <w:lvlJc w:val="left"/>
      <w:lvlText w:val="•"/>
      <w:numFmt w:val="bullet"/>
      <w:start w:val="1"/>
    </w:lvl>
  </w:abstractNum>
  <w:abstractNum w:abstractNumId="33">
    <w:nsid w:val="38437FDB"/>
    <w:multiLevelType w:val="hybridMultilevel"/>
    <w:lvl w:ilvl="0">
      <w:lvlJc w:val="left"/>
      <w:lvlText w:val="•"/>
      <w:numFmt w:val="bullet"/>
      <w:start w:val="1"/>
    </w:lvl>
  </w:abstractNum>
  <w:abstractNum w:abstractNumId="34">
    <w:nsid w:val="7644A45C"/>
    <w:multiLevelType w:val="hybridMultilevel"/>
    <w:lvl w:ilvl="0">
      <w:lvlJc w:val="left"/>
      <w:lvlText w:val="•"/>
      <w:numFmt w:val="bullet"/>
      <w:start w:val="1"/>
    </w:lvl>
  </w:abstractNum>
  <w:abstractNum w:abstractNumId="35">
    <w:nsid w:val="32FFF902"/>
    <w:multiLevelType w:val="hybridMultilevel"/>
    <w:lvl w:ilvl="0">
      <w:lvlJc w:val="left"/>
      <w:lvlText w:val="•"/>
      <w:numFmt w:val="bullet"/>
      <w:start w:val="1"/>
    </w:lvl>
  </w:abstractNum>
  <w:abstractNum w:abstractNumId="36">
    <w:nsid w:val="684A481A"/>
    <w:multiLevelType w:val="hybridMultilevel"/>
    <w:lvl w:ilvl="0">
      <w:lvlJc w:val="left"/>
      <w:lvlText w:val="•"/>
      <w:numFmt w:val="bullet"/>
      <w:start w:val="1"/>
    </w:lvl>
  </w:abstractNum>
  <w:abstractNum w:abstractNumId="37">
    <w:nsid w:val="579478FE"/>
    <w:multiLevelType w:val="hybridMultilevel"/>
    <w:lvl w:ilvl="0">
      <w:lvlJc w:val="left"/>
      <w:lvlText w:val="•"/>
      <w:numFmt w:val="bullet"/>
      <w:start w:val="1"/>
    </w:lvl>
  </w:abstractNum>
  <w:abstractNum w:abstractNumId="38">
    <w:nsid w:val="749ABB43"/>
    <w:multiLevelType w:val="hybridMultilevel"/>
    <w:lvl w:ilvl="0">
      <w:lvlJc w:val="left"/>
      <w:lvlText w:val="•"/>
      <w:numFmt w:val="bullet"/>
      <w:start w:val="1"/>
    </w:lvl>
  </w:abstractNum>
  <w:abstractNum w:abstractNumId="39">
    <w:nsid w:val="3DC240FB"/>
    <w:multiLevelType w:val="hybridMultilevel"/>
    <w:lvl w:ilvl="0">
      <w:lvlJc w:val="left"/>
      <w:lvlText w:val="R"/>
      <w:numFmt w:val="bullet"/>
      <w:start w:val="1"/>
    </w:lvl>
  </w:abstractNum>
  <w:abstractNum w:abstractNumId="40">
    <w:nsid w:val="1BA026FA"/>
    <w:multiLevelType w:val="hybridMultilevel"/>
    <w:lvl w:ilvl="0">
      <w:lvlJc w:val="left"/>
      <w:lvlText w:val="•"/>
      <w:numFmt w:val="bullet"/>
      <w:start w:val="1"/>
    </w:lvl>
  </w:abstractNum>
  <w:abstractNum w:abstractNumId="41">
    <w:nsid w:val="79A1DEAA"/>
    <w:multiLevelType w:val="hybridMultilevel"/>
    <w:lvl w:ilvl="0">
      <w:lvlJc w:val="left"/>
      <w:lvlText w:val="•"/>
      <w:numFmt w:val="bullet"/>
      <w:start w:val="1"/>
    </w:lvl>
  </w:abstractNum>
  <w:abstractNum w:abstractNumId="42">
    <w:nsid w:val="75C6C33A"/>
    <w:multiLevelType w:val="hybridMultilevel"/>
    <w:lvl w:ilvl="0">
      <w:lvlJc w:val="left"/>
      <w:lvlText w:val="•"/>
      <w:numFmt w:val="bullet"/>
      <w:start w:val="1"/>
    </w:lvl>
  </w:abstractNum>
  <w:abstractNum w:abstractNumId="43">
    <w:nsid w:val="12E685FB"/>
    <w:multiLevelType w:val="hybridMultilevel"/>
    <w:lvl w:ilvl="0">
      <w:lvlJc w:val="left"/>
      <w:lvlText w:val="•"/>
      <w:numFmt w:val="bullet"/>
      <w:start w:val="1"/>
    </w:lvl>
    <w:lvl w:ilvl="1">
      <w:lvlJc w:val="left"/>
      <w:lvlText w:val="%2"/>
      <w:numFmt w:val="lowerLetter"/>
      <w:start w:val="15"/>
    </w:lvl>
  </w:abstractNum>
  <w:abstractNum w:abstractNumId="44">
    <w:nsid w:val="70C6A529"/>
    <w:multiLevelType w:val="hybridMultilevel"/>
    <w:lvl w:ilvl="0">
      <w:lvlJc w:val="left"/>
      <w:lvlText w:val="•"/>
      <w:numFmt w:val="bullet"/>
      <w:start w:val="1"/>
    </w:lvl>
    <w:lvl w:ilvl="1">
      <w:lvlJc w:val="left"/>
      <w:lvlText w:val="R"/>
      <w:numFmt w:val="bullet"/>
      <w:start w:val="1"/>
    </w:lvl>
  </w:abstractNum>
  <w:abstractNum w:abstractNumId="45">
    <w:nsid w:val="520EEDD1"/>
    <w:multiLevelType w:val="hybridMultilevel"/>
    <w:lvl w:ilvl="0">
      <w:lvlJc w:val="left"/>
      <w:lvlText w:val="(%1)"/>
      <w:numFmt w:val="decimal"/>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lowerLetter"/>
      <w:start w:val="1"/>
    </w:lvl>
  </w:abstractNum>
  <w:abstractNum w:abstractNumId="48">
    <w:nsid w:val="23F9C13C"/>
    <w:multiLevelType w:val="hybridMultilevel"/>
    <w:lvl w:ilvl="0">
      <w:lvlJc w:val="left"/>
      <w:lvlText w:val="%1."/>
      <w:numFmt w:val="decimal"/>
      <w:start w:val="2"/>
    </w:lvl>
  </w:abstractNum>
  <w:abstractNum w:abstractNumId="49">
    <w:nsid w:val="649BB77C"/>
    <w:multiLevelType w:val="hybridMultilevel"/>
    <w:lvl w:ilvl="0">
      <w:lvlJc w:val="left"/>
      <w:lvlText w:val="%1"/>
      <w:numFmt w:val="lowerLetter"/>
      <w:start w:val="1"/>
    </w:lvl>
    <w:lvl w:ilvl="1">
      <w:lvlJc w:val="left"/>
      <w:lvlText w:val="%2."/>
      <w:numFmt w:val="decimal"/>
      <w:start w:val="3"/>
    </w:lvl>
  </w:abstractNum>
  <w:abstractNum w:abstractNumId="50">
    <w:nsid w:val="275AC794"/>
    <w:multiLevelType w:val="hybridMultilevel"/>
    <w:lvl w:ilvl="0">
      <w:lvlJc w:val="left"/>
      <w:lvlText w:val="(%1)"/>
      <w:numFmt w:val="lowerLetter"/>
      <w:start w:val="2"/>
    </w:lvl>
    <w:lvl w:ilvl="1">
      <w:lvlJc w:val="left"/>
      <w:lvlText w:val="%2"/>
      <w:numFmt w:val="decimal"/>
      <w:start w:val="1"/>
    </w:lvl>
  </w:abstractNum>
  <w:abstractNum w:abstractNumId="51">
    <w:nsid w:val="39386575"/>
    <w:multiLevelType w:val="hybridMultilevel"/>
    <w:lvl w:ilvl="0">
      <w:lvlJc w:val="left"/>
      <w:lvlText w:val="†"/>
      <w:numFmt w:val="bullet"/>
      <w:start w:val="1"/>
    </w:lvl>
    <w:lvl w:ilvl="1">
      <w:lvlJc w:val="left"/>
      <w:lvlText w:val="%2"/>
      <w:numFmt w:val="decimal"/>
      <w:start w:val="104"/>
    </w:lvl>
  </w:abstractNum>
  <w:abstractNum w:abstractNumId="52">
    <w:nsid w:val="1CF10FD8"/>
    <w:multiLevelType w:val="hybridMultilevel"/>
    <w:lvl w:ilvl="0">
      <w:lvlJc w:val="left"/>
      <w:lvlText w:val="(%1)"/>
      <w:numFmt w:val="lowerLetter"/>
      <w:start w:val="1"/>
    </w:lvl>
  </w:abstractNum>
  <w:abstractNum w:abstractNumId="53">
    <w:nsid w:val="180115BE"/>
    <w:multiLevelType w:val="hybridMultilevel"/>
    <w:lvl w:ilvl="0">
      <w:lvlJc w:val="left"/>
      <w:lvlText w:val="(%1)"/>
      <w:numFmt w:val="lowerLetter"/>
      <w:start w:val="1"/>
    </w:lvl>
  </w:abstractNum>
  <w:abstractNum w:abstractNumId="54">
    <w:nsid w:val="235BA861"/>
    <w:multiLevelType w:val="hybridMultilevel"/>
    <w:lvl w:ilvl="0">
      <w:lvlJc w:val="left"/>
      <w:lvlText w:val="(%1)"/>
      <w:numFmt w:val="lowerLetter"/>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
      <w:numFmt w:val="bullet"/>
      <w:start w:val="1"/>
    </w:lvl>
  </w:abstractNum>
  <w:abstractNum w:abstractNumId="59">
    <w:nsid w:val="D34B6A8"/>
    <w:multiLevelType w:val="hybridMultilevel"/>
    <w:lvl w:ilvl="0">
      <w:lvlJc w:val="left"/>
      <w:lvlText w:val="•"/>
      <w:numFmt w:val="bullet"/>
      <w:start w:val="1"/>
    </w:lvl>
  </w:abstractNum>
  <w:abstractNum w:abstractNumId="60">
    <w:nsid w:val="10233C9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2026-04-09T15:29:34Z</dcterms:created>
  <dcterms:modified xsi:type="dcterms:W3CDTF">2026-04-09T15:29:34Z</dcterms:modified>
</cp:coreProperties>
</file>