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Confidential submission No. 2.</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September 21, 2020. This draft registration statement has not been publicly filed with the Securities and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Exchange Commission and all information herein remains strictly confidential.</w:t>
      </w:r>
    </w:p>
    <w:p>
      <w:pPr>
        <w:spacing w:after="0" w:line="1"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color w:val="auto"/>
        </w:rPr>
        <w:t>UNDER</w:t>
      </w:r>
    </w:p>
    <w:p>
      <w:pPr>
        <w:jc w:val="center"/>
        <w:spacing w:after="0"/>
        <w:rPr>
          <w:sz w:val="20"/>
          <w:szCs w:val="20"/>
          <w:color w:val="auto"/>
        </w:rPr>
      </w:pPr>
      <w:r>
        <w:rPr>
          <w:rFonts w:ascii="Times New Roman" w:cs="Times New Roman" w:eastAsia="Times New Roman" w:hAnsi="Times New Roman"/>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6"/>
          <w:szCs w:val="26"/>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6"/>
          <w:szCs w:val="26"/>
          <w:b w:val="1"/>
          <w:bCs w:val="1"/>
          <w:color w:val="auto"/>
        </w:rPr>
        <w:t>NC</w:t>
      </w:r>
      <w:r>
        <w:rPr>
          <w:rFonts w:ascii="Times New Roman" w:cs="Times New Roman" w:eastAsia="Times New Roman" w:hAnsi="Times New Roman"/>
          <w:sz w:val="32"/>
          <w:szCs w:val="32"/>
          <w:b w:val="1"/>
          <w:bCs w:val="1"/>
          <w:color w:val="auto"/>
        </w:rPr>
        <w: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6"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8071</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20-3986492</w:t>
            </w:r>
          </w:p>
        </w:tc>
      </w:tr>
      <w:tr>
        <w:trPr>
          <w:trHeight w:val="148"/>
        </w:trPr>
        <w:tc>
          <w:tcPr>
            <w:tcW w:w="2840" w:type="dxa"/>
            <w:vAlign w:val="bottom"/>
          </w:tcPr>
          <w:p>
            <w:pPr>
              <w:jc w:val="center"/>
              <w:ind w:right="10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4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4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Scott Hutton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4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Frank F. Rahmani, Esq.</w:t>
            </w:r>
          </w:p>
        </w:tc>
        <w:tc>
          <w:tcPr>
            <w:tcW w:w="486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Richard D. Truesdell, Jr., Esq.</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Samir A. Gandhi, Esq.</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Sidley Austin LLP</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 Suite 2000</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450 Lexington Avenue</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(415) 772-1200</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450-4000</w:t>
            </w:r>
          </w:p>
        </w:tc>
      </w:tr>
      <w:tr>
        <w:trPr>
          <w:trHeight w:val="190"/>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Facsimile: (415) 772-7400</w:t>
            </w:r>
          </w:p>
        </w:tc>
        <w:tc>
          <w:tcPr>
            <w:tcW w:w="486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6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7900" w:type="dxa"/>
            <w:vAlign w:val="bottom"/>
            <w:tcBorders>
              <w:right w:val="single" w:sz="8" w:color="auto"/>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680" w:type="dxa"/>
            <w:vAlign w:val="bottom"/>
            <w:tcBorders>
              <w:right w:val="single" w:sz="8" w:color="auto"/>
            </w:tcBorders>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900" w:type="dxa"/>
            <w:vAlign w:val="bottom"/>
            <w:tcBorders>
              <w:bottom w:val="single" w:sz="8" w:color="auto"/>
              <w:right w:val="single" w:sz="8" w:color="auto"/>
            </w:tcBorders>
            <w:vMerge w:val="continue"/>
          </w:tcPr>
          <w:p>
            <w:pPr>
              <w:spacing w:after="0"/>
              <w:rPr>
                <w:sz w:val="15"/>
                <w:szCs w:val="15"/>
                <w:color w:val="auto"/>
              </w:rPr>
            </w:pP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2"/>
                <w:szCs w:val="12"/>
                <w:b w:val="1"/>
                <w:bCs w:val="1"/>
                <w:color w:val="auto"/>
              </w:rPr>
              <w:t>(1)(2)</w:t>
            </w:r>
          </w:p>
        </w:tc>
        <w:tc>
          <w:tcPr>
            <w:tcW w:w="16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1680" w:type="dxa"/>
            <w:vAlign w:val="bottom"/>
            <w:tcBorders>
              <w:bottom w:val="single" w:sz="8" w:color="auto"/>
              <w:right w:val="single" w:sz="8" w:color="auto"/>
            </w:tcBorders>
          </w:tcPr>
          <w:p>
            <w:pPr>
              <w:jc w:val="right"/>
              <w:ind w:right="9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additional common stock that the underwriters have an option to purchase. See “Underwriters.”</w:t>
      </w:r>
    </w:p>
    <w:p>
      <w:pPr>
        <w:ind w:left="460" w:right="500" w:hanging="452"/>
        <w:spacing w:after="0" w:line="239" w:lineRule="auto"/>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457(o) of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5" w:lineRule="exact"/>
        <w:rPr>
          <w:sz w:val="24"/>
          <w:szCs w:val="24"/>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CC062A"/>
        </w:rPr>
        <w:t>PRELIMINARY PROSPECTUS (Subject to Completion)</w:t>
      </w:r>
    </w:p>
    <w:p>
      <w:pPr>
        <w:spacing w:after="0" w:line="1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i w:val="1"/>
          <w:iCs w:val="1"/>
          <w:color w:val="CC062A"/>
        </w:rPr>
        <w:t>Issued</w:t>
      </w:r>
      <w:r>
        <w:rPr>
          <w:sz w:val="20"/>
          <w:szCs w:val="20"/>
          <w:color w:val="auto"/>
        </w:rPr>
        <w:tab/>
      </w:r>
      <w:r>
        <w:rPr>
          <w:rFonts w:ascii="Times New Roman" w:cs="Times New Roman" w:eastAsia="Times New Roman" w:hAnsi="Times New Roman"/>
          <w:sz w:val="22"/>
          <w:szCs w:val="22"/>
          <w:i w:val="1"/>
          <w:iCs w:val="1"/>
          <w:color w:val="CC062A"/>
        </w:rPr>
        <w:t>, 2020</w:t>
      </w:r>
    </w:p>
    <w:p>
      <w:pPr>
        <w:spacing w:after="0" w:line="1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182245</wp:posOffset>
            </wp:positionV>
            <wp:extent cx="199707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Biodesix, Inc. is offering shares of its common stock. This is our initial public offering and no public market currently exists for our shares of common stock. We anticipate that the initial public offering price will be between $ and $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apply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242570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160"/>
        <w:spacing w:after="0" w:line="264" w:lineRule="auto"/>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We are an “emerging growth company” as defined under the federal securities laws. Investing in our common stock involves risks. See “</w:t>
      </w:r>
      <w:hyperlink w:anchor="page17">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auto"/>
        </w:rPr>
        <w:t>”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199390</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44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21"/>
                <w:szCs w:val="21"/>
                <w:i w:val="1"/>
                <w:iCs w:val="1"/>
                <w:color w:val="auto"/>
              </w:rPr>
              <w:t>$</w:t>
            </w:r>
          </w:p>
        </w:tc>
        <w:tc>
          <w:tcPr>
            <w:tcW w:w="1960" w:type="dxa"/>
            <w:vAlign w:val="bottom"/>
            <w:gridSpan w:val="3"/>
          </w:tcPr>
          <w:p>
            <w:pPr>
              <w:jc w:val="right"/>
              <w:ind w:right="722"/>
              <w:spacing w:after="0"/>
              <w:rPr>
                <w:sz w:val="20"/>
                <w:szCs w:val="20"/>
                <w:color w:val="auto"/>
              </w:rPr>
            </w:pPr>
            <w:r>
              <w:rPr>
                <w:rFonts w:ascii="Times New Roman" w:cs="Times New Roman" w:eastAsia="Times New Roman" w:hAnsi="Times New Roman"/>
                <w:sz w:val="18"/>
                <w:szCs w:val="18"/>
                <w:i w:val="1"/>
                <w:iCs w:val="1"/>
                <w:color w:val="auto"/>
              </w:rPr>
              <w:t>A SHARE</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Discounts</w:t>
            </w:r>
          </w:p>
        </w:tc>
        <w:tc>
          <w:tcPr>
            <w:tcW w:w="9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Proceeds to</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and</w:t>
            </w:r>
          </w:p>
        </w:tc>
        <w:tc>
          <w:tcPr>
            <w:tcW w:w="9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10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Commissions</w:t>
            </w:r>
            <w:r>
              <w:rPr>
                <w:rFonts w:ascii="Times New Roman" w:cs="Times New Roman" w:eastAsia="Times New Roman" w:hAnsi="Times New Roman"/>
                <w:sz w:val="12"/>
                <w:szCs w:val="12"/>
                <w:b w:val="1"/>
                <w:bCs w:val="1"/>
                <w:i w:val="1"/>
                <w:iCs w:val="1"/>
                <w:color w:val="auto"/>
              </w:rPr>
              <w:t>(1)</w:t>
            </w:r>
          </w:p>
        </w:tc>
        <w:tc>
          <w:tcPr>
            <w:tcW w:w="9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Biodesix</w:t>
            </w:r>
          </w:p>
        </w:tc>
        <w:tc>
          <w:tcPr>
            <w:tcW w:w="0" w:type="dxa"/>
            <w:vAlign w:val="bottom"/>
          </w:tcPr>
          <w:p>
            <w:pPr>
              <w:spacing w:after="0"/>
              <w:rPr>
                <w:sz w:val="1"/>
                <w:szCs w:val="1"/>
                <w:color w:val="auto"/>
              </w:rPr>
            </w:pPr>
          </w:p>
        </w:tc>
      </w:tr>
      <w:tr>
        <w:trPr>
          <w:trHeight w:val="189"/>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0"/>
          <w:szCs w:val="20"/>
          <w:color w:val="auto"/>
        </w:rPr>
      </w:pPr>
    </w:p>
    <w:p>
      <w:pPr>
        <w:ind w:left="460" w:right="980" w:hanging="452"/>
        <w:spacing w:after="0" w:line="284"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agreed to reimburse the underwriters for certain FINRA-related expenses. See “Underwriters” for a detailed description of the compensation payable to the underwriters.</w:t>
      </w:r>
    </w:p>
    <w:p>
      <w:pPr>
        <w:sectPr>
          <w:pgSz w:w="11900" w:h="16838" w:orient="portrait"/>
          <w:cols w:equalWidth="0" w:num="1">
            <w:col w:w="11240"/>
          </w:cols>
          <w:pgMar w:left="320" w:top="455" w:right="339" w:bottom="1440" w:gutter="0" w:footer="0" w:header="0"/>
        </w:sectPr>
      </w:pP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to purchase up to an additional offering price less underwriting discounts and commissions.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of common stock to cover over-allotments at the initial public</w:t>
      </w:r>
    </w:p>
    <w:p>
      <w:pPr>
        <w:spacing w:after="0" w:line="452" w:lineRule="exact"/>
        <w:rPr>
          <w:sz w:val="20"/>
          <w:szCs w:val="20"/>
          <w:color w:val="auto"/>
        </w:rPr>
      </w:pPr>
    </w:p>
    <w:p>
      <w:pPr>
        <w:sectPr>
          <w:pgSz w:w="11900" w:h="16838" w:orient="portrait"/>
          <w:cols w:equalWidth="0" w:num="2">
            <w:col w:w="5480" w:space="720"/>
            <w:col w:w="5040"/>
          </w:cols>
          <w:pgMar w:left="320" w:top="455" w:right="339" w:bottom="1440" w:gutter="0" w:footer="0" w:header="0"/>
          <w:type w:val="continuous"/>
        </w:sect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to purchasers 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i w:val="1"/>
          <w:iCs w:val="1"/>
          <w:color w:val="auto"/>
        </w:rPr>
        <w:t>William Blair</w:t>
      </w:r>
    </w:p>
    <w:p>
      <w:pPr>
        <w:spacing w:after="0" w:line="200" w:lineRule="exact"/>
        <w:rPr>
          <w:sz w:val="20"/>
          <w:szCs w:val="20"/>
          <w:color w:val="auto"/>
        </w:rPr>
      </w:pPr>
    </w:p>
    <w:p>
      <w:pPr>
        <w:sectPr>
          <w:pgSz w:w="11900" w:h="16838" w:orient="portrait"/>
          <w:cols w:equalWidth="0" w:num="2">
            <w:col w:w="7000" w:space="720"/>
            <w:col w:w="3520"/>
          </w:cols>
          <w:pgMar w:left="320" w:top="455" w:right="339" w:bottom="1440" w:gutter="0" w:footer="0" w:header="0"/>
          <w:type w:val="continuous"/>
        </w:sectPr>
      </w:pPr>
    </w:p>
    <w:p>
      <w:pPr>
        <w:spacing w:after="0" w:line="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8"/>
          <w:szCs w:val="28"/>
          <w:i w:val="1"/>
          <w:iCs w:val="1"/>
          <w:color w:val="auto"/>
        </w:rPr>
        <w:t>Canaccord Genuity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5" w:right="339" w:bottom="1440" w:gutter="0" w:footer="0" w:header="0"/>
          <w:type w:val="continuous"/>
        </w:sectPr>
      </w:pPr>
    </w:p>
    <w:p>
      <w:pPr>
        <w:spacing w:after="0" w:line="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2020</w:t>
      </w:r>
    </w:p>
    <w:p>
      <w:pPr>
        <w:sectPr>
          <w:pgSz w:w="11900" w:h="16838" w:orient="portrait"/>
          <w:cols w:equalWidth="0" w:num="1">
            <w:col w:w="11240"/>
          </w:cols>
          <w:pgMar w:left="320" w:top="455"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00"/>
          </w:cols>
          <w:pgMar w:left="320" w:top="455" w:right="379" w:bottom="1440" w:gutter="0" w:footer="0" w:header="0"/>
        </w:sect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80" w:type="dxa"/>
            <w:vAlign w:val="bottom"/>
            <w:gridSpan w:val="8"/>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4"/>
        </w:trPr>
        <w:tc>
          <w:tcPr>
            <w:tcW w:w="4980" w:type="dxa"/>
            <w:vAlign w:val="bottom"/>
            <w:gridSpan w:val="8"/>
          </w:tcPr>
          <w:p>
            <w:pPr>
              <w:spacing w:after="0" w:line="194"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w:anchor="page86">
              <w:r>
                <w:rPr>
                  <w:rFonts w:ascii="Times New Roman" w:cs="Times New Roman" w:eastAsia="Times New Roman" w:hAnsi="Times New Roman"/>
                  <w:sz w:val="18"/>
                  <w:szCs w:val="18"/>
                  <w:color w:val="0000EE"/>
                  <w:w w:val="87"/>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4"/>
        </w:trPr>
        <w:tc>
          <w:tcPr>
            <w:tcW w:w="4980" w:type="dxa"/>
            <w:vAlign w:val="bottom"/>
            <w:gridSpan w:val="8"/>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7"/>
            <w:vMerge w:val="restart"/>
          </w:tcPr>
          <w:p>
            <w:pPr>
              <w:spacing w:after="0"/>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94"/>
        </w:trPr>
        <w:tc>
          <w:tcPr>
            <w:tcW w:w="5100" w:type="dxa"/>
            <w:vAlign w:val="bottom"/>
            <w:gridSpan w:val="7"/>
          </w:tcPr>
          <w:p>
            <w:pPr>
              <w:spacing w:after="0" w:line="194" w:lineRule="exact"/>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99">
              <w:r>
                <w:rPr>
                  <w:rFonts w:ascii="Times New Roman" w:cs="Times New Roman" w:eastAsia="Times New Roman" w:hAnsi="Times New Roman"/>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5100" w:type="dxa"/>
            <w:vAlign w:val="bottom"/>
            <w:gridSpan w:val="7"/>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5" w:right="37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72" w:lineRule="exact"/>
        <w:rPr>
          <w:sz w:val="20"/>
          <w:szCs w:val="20"/>
          <w:color w:val="auto"/>
        </w:rPr>
      </w:pPr>
    </w:p>
    <w:p>
      <w:pPr>
        <w:jc w:val="both"/>
        <w:ind w:right="180"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200"/>
          </w:cols>
          <w:pgMar w:left="320" w:top="455" w:right="37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87"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0"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the number and percentages of shares of our common stock outstanding following the completion of this offering:</w:t>
      </w:r>
    </w:p>
    <w:p>
      <w:pPr>
        <w:sectPr>
          <w:pgSz w:w="11900" w:h="16838" w:orient="portrait"/>
          <w:cols w:equalWidth="0" w:num="1">
            <w:col w:w="11200"/>
          </w:cols>
          <w:pgMar w:left="320" w:top="455" w:right="379" w:bottom="1440" w:gutter="0" w:footer="0" w:header="0"/>
        </w:sectPr>
      </w:pPr>
    </w:p>
    <w:p>
      <w:pPr>
        <w:spacing w:after="0" w:line="6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reflects the initial public offering price of $ set forth on the cover of this prospectus;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of common stock, which is the midpoint of the estimated offering price range</w:t>
      </w:r>
    </w:p>
    <w:p>
      <w:pPr>
        <w:spacing w:after="0" w:line="346" w:lineRule="exact"/>
        <w:rPr>
          <w:sz w:val="20"/>
          <w:szCs w:val="20"/>
          <w:color w:val="auto"/>
        </w:rPr>
      </w:pPr>
    </w:p>
    <w:p>
      <w:pPr>
        <w:sectPr>
          <w:pgSz w:w="11900" w:h="16838" w:orient="portrait"/>
          <w:cols w:equalWidth="0" w:num="3">
            <w:col w:w="520" w:space="480"/>
            <w:col w:w="3200" w:space="720"/>
            <w:col w:w="6280"/>
          </w:cols>
          <w:pgMar w:left="320" w:top="455" w:right="379" w:bottom="1440" w:gutter="0" w:footer="0" w:header="0"/>
          <w:type w:val="continuous"/>
        </w:sectPr>
      </w:pPr>
    </w:p>
    <w:p>
      <w:pPr>
        <w:ind w:left="1000" w:right="60" w:hanging="54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1200"/>
          </w:cols>
          <w:pgMar w:left="320" w:top="455" w:right="379" w:bottom="1440" w:gutter="0" w:footer="0" w:header="0"/>
          <w:type w:val="continuous"/>
        </w:sectPr>
      </w:pPr>
    </w:p>
    <w:p>
      <w:pPr>
        <w:spacing w:after="0" w:line="6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assumes 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357" w:lineRule="exact"/>
        <w:rPr>
          <w:sz w:val="20"/>
          <w:szCs w:val="20"/>
          <w:color w:val="auto"/>
        </w:rPr>
      </w:pPr>
    </w:p>
    <w:p>
      <w:pPr>
        <w:sectPr>
          <w:pgSz w:w="11900" w:h="16838" w:orient="portrait"/>
          <w:cols w:equalWidth="0" w:num="3">
            <w:col w:w="520" w:space="480"/>
            <w:col w:w="8100" w:space="720"/>
            <w:col w:w="1380"/>
          </w:cols>
          <w:pgMar w:left="320" w:top="455" w:right="379" w:bottom="1440" w:gutter="0" w:footer="0" w:header="0"/>
          <w:type w:val="continuous"/>
        </w:sectPr>
      </w:pPr>
    </w:p>
    <w:p>
      <w:pPr>
        <w:ind w:left="1000" w:hanging="54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options or warrants described in this prospectus;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455" w:right="37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80" w:firstLine="449"/>
        <w:spacing w:after="0" w:line="274" w:lineRule="auto"/>
        <w:rPr>
          <w:sz w:val="20"/>
          <w:szCs w:val="20"/>
          <w:color w:val="auto"/>
        </w:rPr>
      </w:pPr>
      <w:r>
        <w:rPr>
          <w:rFonts w:ascii="Times New Roman" w:cs="Times New Roman" w:eastAsia="Times New Roman" w:hAnsi="Times New Roman"/>
          <w:sz w:val="17"/>
          <w:szCs w:val="17"/>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7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“Biodesix,” the Biodesix logo and other trademarks or service marks of Biodesix appearing in this prospectus such as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Nodify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455"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33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left="200" w:right="240" w:firstLine="434"/>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left="200" w:right="500" w:firstLine="434"/>
        <w:spacing w:after="0" w:line="28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four diagnostic blood-based tests across the lung cancer continuum of care.</w:t>
      </w:r>
    </w:p>
    <w:p>
      <w:pPr>
        <w:spacing w:after="0" w:line="128" w:lineRule="exact"/>
        <w:rPr>
          <w:sz w:val="20"/>
          <w:szCs w:val="20"/>
          <w:color w:val="auto"/>
        </w:rPr>
      </w:pPr>
    </w:p>
    <w:p>
      <w:pPr>
        <w:ind w:left="1160" w:right="20" w:hanging="534"/>
        <w:spacing w:after="0" w:line="26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XL2</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CDT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Nodify Lung</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strategy, assess the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6" w:lineRule="exact"/>
        <w:rPr>
          <w:rFonts w:ascii="Times New Roman" w:cs="Times New Roman" w:eastAsia="Times New Roman" w:hAnsi="Times New Roman"/>
          <w:sz w:val="18"/>
          <w:szCs w:val="18"/>
          <w:color w:val="auto"/>
        </w:rPr>
      </w:pPr>
    </w:p>
    <w:p>
      <w:pPr>
        <w:ind w:left="1160" w:right="200" w:hanging="534"/>
        <w:spacing w:after="0" w:line="285"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tests, marketed as part of our Biodesix Lung Reflex</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measure the presence of mutations in the tumor and the state</w:t>
      </w: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320" w:top="455" w:right="5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12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6" w:lineRule="auto"/>
        <w:rPr>
          <w:sz w:val="20"/>
          <w:szCs w:val="20"/>
          <w:color w:val="auto"/>
        </w:rPr>
      </w:pPr>
      <w:r>
        <w:rPr>
          <w:rFonts w:ascii="Times New Roman" w:cs="Times New Roman" w:eastAsia="Times New Roman" w:hAnsi="Times New Roman"/>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76"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Bio-Rad has granted us permission to utilize the Bio-Rad ddPCR SARS-CoV-2 test for commercial diagnostic services. 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To date, we have not derived significant revenues from the State of Colorado partnership.</w:t>
      </w:r>
    </w:p>
    <w:p>
      <w:pPr>
        <w:spacing w:after="0" w:line="192" w:lineRule="exact"/>
        <w:rPr>
          <w:sz w:val="20"/>
          <w:szCs w:val="20"/>
          <w:color w:val="auto"/>
        </w:rPr>
      </w:pPr>
    </w:p>
    <w:p>
      <w:pPr>
        <w:ind w:left="200" w:firstLine="434"/>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200,000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0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Biomarker Discovery &amp; Companion Diagnostics</w:t>
      </w:r>
    </w:p>
    <w:p>
      <w:pPr>
        <w:spacing w:after="0" w:line="121"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682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(ddPCR), next generation sequencing (NGS), liquid chromatography mass spectrometry (LC-MS), enzyme-linked immunosorbent assay (ELISA), and our proprietary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extensively validated deep learning platform, which is tailored to discover clinical diagnostics that address clinical unmet needs;</w:t>
      </w:r>
    </w:p>
    <w:p>
      <w:pPr>
        <w:spacing w:after="0" w:line="67" w:lineRule="exact"/>
        <w:rPr>
          <w:rFonts w:ascii="Times New Roman" w:cs="Times New Roman" w:eastAsia="Times New Roman" w:hAnsi="Times New Roman"/>
          <w:sz w:val="18"/>
          <w:szCs w:val="18"/>
          <w:color w:val="auto"/>
        </w:rPr>
      </w:pPr>
    </w:p>
    <w:p>
      <w:pPr>
        <w:ind w:left="1160" w:right="20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approach to precision medicine combined with our data biobank, which enables us to accelerate development of new tests;</w:t>
      </w:r>
    </w:p>
    <w:p>
      <w:pPr>
        <w:spacing w:after="0" w:line="67" w:lineRule="exact"/>
        <w:rPr>
          <w:rFonts w:ascii="Times New Roman" w:cs="Times New Roman" w:eastAsia="Times New Roman" w:hAnsi="Times New Roman"/>
          <w:sz w:val="18"/>
          <w:szCs w:val="18"/>
          <w:color w:val="auto"/>
        </w:rPr>
      </w:pPr>
    </w:p>
    <w:p>
      <w:pPr>
        <w:ind w:left="1160" w:right="36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demonstrated research, development, and scientific expertise, combined with our intellectual property portfolio;</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demonstrated success commercializing diagnostic tests across a broad continuum of care in lung disease;</w:t>
      </w:r>
    </w:p>
    <w:p>
      <w:pPr>
        <w:spacing w:after="0" w:line="130" w:lineRule="exact"/>
        <w:rPr>
          <w:rFonts w:ascii="Times New Roman" w:cs="Times New Roman" w:eastAsia="Times New Roman" w:hAnsi="Times New Roman"/>
          <w:sz w:val="18"/>
          <w:szCs w:val="18"/>
          <w:color w:val="auto"/>
        </w:rPr>
      </w:pPr>
    </w:p>
    <w:p>
      <w:pPr>
        <w:ind w:left="1160" w:right="8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depth and breadth of point of care access to physicians allows us to drive adoption of our diagnostic tests while incorporating real-life feedback to inform new product development; and</w:t>
      </w:r>
    </w:p>
    <w:p>
      <w:pPr>
        <w:spacing w:after="0" w:line="67" w:lineRule="exact"/>
        <w:rPr>
          <w:rFonts w:ascii="Times New Roman" w:cs="Times New Roman" w:eastAsia="Times New Roman" w:hAnsi="Times New Roman"/>
          <w:sz w:val="18"/>
          <w:szCs w:val="18"/>
          <w:color w:val="auto"/>
        </w:rPr>
      </w:pPr>
    </w:p>
    <w:p>
      <w:pPr>
        <w:ind w:left="1160" w:right="700" w:hanging="534"/>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infrastructure, which is built on extensive knowledge and experience in sales, marketing, reimbursement, and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right="120" w:firstLine="434"/>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7" w:lineRule="exact"/>
        <w:rPr>
          <w:sz w:val="20"/>
          <w:szCs w:val="20"/>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awareness, adoption, and reimbursement coverage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19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diagnostic tests in lung disease;</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the clinical utility and economic benefits of our diagnostic tests;</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proprietary AI platform and expand our technology portfolio;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COVID-19 diagnostic testing products.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200" w:right="640" w:firstLine="43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67" w:lineRule="exact"/>
        <w:rPr>
          <w:sz w:val="20"/>
          <w:szCs w:val="20"/>
          <w:color w:val="auto"/>
        </w:rPr>
      </w:pPr>
    </w:p>
    <w:p>
      <w:pPr>
        <w:ind w:left="1160" w:right="140" w:hanging="534"/>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682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40" w:hanging="534"/>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160" w:right="40" w:hanging="534"/>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7" w:lineRule="exact"/>
        <w:rPr>
          <w:rFonts w:ascii="Times New Roman" w:cs="Times New Roman" w:eastAsia="Times New Roman" w:hAnsi="Times New Roman"/>
          <w:sz w:val="18"/>
          <w:szCs w:val="18"/>
          <w:color w:val="auto"/>
        </w:rPr>
      </w:pPr>
    </w:p>
    <w:p>
      <w:pPr>
        <w:ind w:left="1160" w:right="600" w:hanging="534"/>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67" w:lineRule="exact"/>
        <w:rPr>
          <w:rFonts w:ascii="Times New Roman" w:cs="Times New Roman" w:eastAsia="Times New Roman" w:hAnsi="Times New Roman"/>
          <w:sz w:val="18"/>
          <w:szCs w:val="18"/>
          <w:color w:val="auto"/>
        </w:rPr>
      </w:pPr>
    </w:p>
    <w:p>
      <w:pPr>
        <w:ind w:left="1160" w:right="180" w:hanging="534"/>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including our COVID-19 tests, which are subject to a number of risks and uncertainty.</w:t>
      </w:r>
    </w:p>
    <w:p>
      <w:pPr>
        <w:spacing w:after="0" w:line="67"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160" w:right="280" w:hanging="534"/>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160" w:right="140" w:hanging="534"/>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160" w:hanging="534"/>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1" w:lineRule="exact"/>
        <w:rPr>
          <w:rFonts w:ascii="Times New Roman" w:cs="Times New Roman" w:eastAsia="Times New Roman" w:hAnsi="Times New Roman"/>
          <w:sz w:val="18"/>
          <w:szCs w:val="18"/>
          <w:color w:val="auto"/>
        </w:rPr>
      </w:pPr>
    </w:p>
    <w:p>
      <w:pPr>
        <w:ind w:left="1160" w:hanging="534"/>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160" w:right="180" w:hanging="534"/>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right="160" w:firstLine="434"/>
        <w:spacing w:after="0" w:line="312" w:lineRule="auto"/>
        <w:rPr>
          <w:sz w:val="20"/>
          <w:szCs w:val="20"/>
          <w:color w:val="auto"/>
        </w:rPr>
      </w:pPr>
      <w:r>
        <w:rPr>
          <w:rFonts w:ascii="Times New Roman" w:cs="Times New Roman" w:eastAsia="Times New Roman" w:hAnsi="Times New Roman"/>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0" w:lineRule="exact"/>
        <w:rPr>
          <w:sz w:val="20"/>
          <w:szCs w:val="20"/>
          <w:color w:val="auto"/>
        </w:rPr>
      </w:pPr>
    </w:p>
    <w:p>
      <w:pPr>
        <w:ind w:left="200" w:right="80" w:firstLine="434"/>
        <w:spacing w:after="0" w:line="282"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100" w:firstLine="43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320" w:top="455" w:right="6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3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4538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89"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7" w:lineRule="exact"/>
        <w:rPr>
          <w:sz w:val="20"/>
          <w:szCs w:val="20"/>
          <w:color w:val="auto"/>
        </w:rPr>
      </w:pPr>
    </w:p>
    <w:p>
      <w:pPr>
        <w:ind w:left="200" w:right="200" w:firstLine="43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8" w:lineRule="exact"/>
        <w:rPr>
          <w:sz w:val="20"/>
          <w:szCs w:val="20"/>
          <w:color w:val="auto"/>
        </w:rPr>
      </w:pPr>
    </w:p>
    <w:p>
      <w:pPr>
        <w:ind w:left="200" w:right="20" w:firstLine="43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5" w:lineRule="exact"/>
        <w:rPr>
          <w:sz w:val="20"/>
          <w:szCs w:val="20"/>
          <w:color w:val="auto"/>
        </w:rPr>
      </w:pPr>
    </w:p>
    <w:p>
      <w:pPr>
        <w:jc w:val="both"/>
        <w:ind w:left="200" w:right="640" w:firstLine="434"/>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30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31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option</w:t>
            </w:r>
          </w:p>
        </w:tc>
        <w:tc>
          <w:tcPr>
            <w:tcW w:w="31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31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common stock that we are selling in this offering will be</w:t>
            </w:r>
          </w:p>
        </w:tc>
        <w:tc>
          <w:tcPr>
            <w:tcW w:w="9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approximately $</w:t>
            </w: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million if</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the underwriters’ over-allotment option is exercised in full), based</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upon an assumed initial public offering price of $</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the midpoint of the estimated offering price range set forth on the</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cover page of this prospectus, after deducting underwriting discounts</w:t>
            </w:r>
          </w:p>
        </w:tc>
      </w:tr>
      <w:tr>
        <w:trPr>
          <w:trHeight w:val="234"/>
        </w:trPr>
        <w:tc>
          <w:tcPr>
            <w:tcW w:w="4200" w:type="dxa"/>
            <w:vAlign w:val="bottom"/>
          </w:tcPr>
          <w:p>
            <w:pPr>
              <w:spacing w:after="0"/>
              <w:rPr>
                <w:sz w:val="20"/>
                <w:szCs w:val="20"/>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and commissions and estimated offering expenses payable by us.</w:t>
            </w:r>
          </w:p>
        </w:tc>
      </w:tr>
      <w:tr>
        <w:trPr>
          <w:trHeight w:val="265"/>
        </w:trPr>
        <w:tc>
          <w:tcPr>
            <w:tcW w:w="4200" w:type="dxa"/>
            <w:vAlign w:val="bottom"/>
          </w:tcPr>
          <w:p>
            <w:pPr>
              <w:spacing w:after="0"/>
              <w:rPr>
                <w:sz w:val="23"/>
                <w:szCs w:val="23"/>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currently expect to use the net proceeds from this offering: (1) to</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support our commercial expansion of sales, marketing,</w:t>
            </w:r>
          </w:p>
        </w:tc>
        <w:tc>
          <w:tcPr>
            <w:tcW w:w="9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reimbursement, customer support and business development; (2) to</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support our product pipeline and research and development; (3) for</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w w:val="99"/>
              </w:rPr>
              <w:t>our Integrated Diagnostics acquisition milestone payment; and (4) for</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working capital and general corporate purposes. See the section titled</w:t>
            </w:r>
          </w:p>
        </w:tc>
      </w:tr>
      <w:tr>
        <w:trPr>
          <w:trHeight w:val="234"/>
        </w:trPr>
        <w:tc>
          <w:tcPr>
            <w:tcW w:w="4200" w:type="dxa"/>
            <w:vAlign w:val="bottom"/>
          </w:tcPr>
          <w:p>
            <w:pPr>
              <w:spacing w:after="0"/>
              <w:rPr>
                <w:sz w:val="20"/>
                <w:szCs w:val="20"/>
                <w:color w:val="auto"/>
              </w:rPr>
            </w:pPr>
          </w:p>
        </w:tc>
        <w:tc>
          <w:tcPr>
            <w:tcW w:w="56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“Use of Proceeds” for additional information.</w:t>
            </w:r>
          </w:p>
        </w:tc>
        <w:tc>
          <w:tcPr>
            <w:tcW w:w="920" w:type="dxa"/>
            <w:vAlign w:val="bottom"/>
          </w:tcPr>
          <w:p>
            <w:pPr>
              <w:spacing w:after="0"/>
              <w:rPr>
                <w:sz w:val="20"/>
                <w:szCs w:val="20"/>
                <w:color w:val="auto"/>
              </w:rPr>
            </w:pP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See “Risk Factors” and the other information included in this</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w:t>
            </w:r>
          </w:p>
        </w:tc>
      </w:tr>
      <w:tr>
        <w:trPr>
          <w:trHeight w:val="234"/>
        </w:trPr>
        <w:tc>
          <w:tcPr>
            <w:tcW w:w="4200" w:type="dxa"/>
            <w:vAlign w:val="bottom"/>
          </w:tcPr>
          <w:p>
            <w:pPr>
              <w:spacing w:after="0"/>
              <w:rPr>
                <w:sz w:val="20"/>
                <w:szCs w:val="20"/>
                <w:color w:val="auto"/>
              </w:rPr>
            </w:pPr>
          </w:p>
        </w:tc>
        <w:tc>
          <w:tcPr>
            <w:tcW w:w="56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before deciding to invest in our common stock.</w:t>
            </w:r>
          </w:p>
        </w:tc>
        <w:tc>
          <w:tcPr>
            <w:tcW w:w="920" w:type="dxa"/>
            <w:vAlign w:val="bottom"/>
          </w:tcPr>
          <w:p>
            <w:pPr>
              <w:spacing w:after="0"/>
              <w:rPr>
                <w:sz w:val="20"/>
                <w:szCs w:val="20"/>
                <w:color w:val="auto"/>
              </w:rPr>
            </w:pPr>
          </w:p>
        </w:tc>
      </w:tr>
      <w:tr>
        <w:trPr>
          <w:trHeight w:val="28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trading symbol</w:t>
            </w:r>
          </w:p>
        </w:tc>
        <w:tc>
          <w:tcPr>
            <w:tcW w:w="3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“BDSX”</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w:t>
            </w:r>
          </w:p>
        </w:tc>
        <w:tc>
          <w:tcPr>
            <w:tcW w:w="3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shares of our common stock (reflecting</w:t>
            </w:r>
          </w:p>
        </w:tc>
      </w:tr>
    </w:tbl>
    <w:p>
      <w:pPr>
        <w:ind w:left="200"/>
        <w:spacing w:after="0"/>
        <w:rPr>
          <w:sz w:val="20"/>
          <w:szCs w:val="20"/>
          <w:color w:val="auto"/>
        </w:rPr>
      </w:pPr>
      <w:r>
        <w:rPr>
          <w:rFonts w:ascii="Times New Roman" w:cs="Times New Roman" w:eastAsia="Times New Roman" w:hAnsi="Times New Roman"/>
          <w:sz w:val="18"/>
          <w:szCs w:val="18"/>
          <w:color w:val="auto"/>
        </w:rPr>
        <w:t>the conversion of all of our shares of preferred stock and convertible debt into shares of our common stock on an as-converted basis) outstanding as</w:t>
      </w: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122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2020, and excludes:</w:t>
      </w:r>
    </w:p>
    <w:p>
      <w:pPr>
        <w:sectPr>
          <w:pgSz w:w="11900" w:h="16838" w:orient="portrait"/>
          <w:cols w:equalWidth="0" w:num="1">
            <w:col w:w="11240"/>
          </w:cols>
          <w:pgMar w:left="320" w:top="455" w:right="3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560" w:firstLine="720"/>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upon the exercise of outstanding stock options as of , 2020, with a weighted-average exercise price of $ per share, plus shares of common stock issuable upon the exercise of stock options granted subsequent to , 2020, with a weighted-average exercise price of $ per share;</w:t>
      </w:r>
    </w:p>
    <w:p>
      <w:pPr>
        <w:spacing w:after="0" w:line="81" w:lineRule="exact"/>
        <w:rPr>
          <w:sz w:val="20"/>
          <w:szCs w:val="20"/>
          <w:color w:val="auto"/>
        </w:rPr>
      </w:pPr>
    </w:p>
    <w:p>
      <w:pPr>
        <w:sectPr>
          <w:pgSz w:w="11900" w:h="16838" w:orient="portrait"/>
          <w:cols w:equalWidth="0" w:num="2">
            <w:col w:w="680" w:space="480"/>
            <w:col w:w="10080"/>
          </w:cols>
          <w:pgMar w:left="320" w:top="455" w:right="339" w:bottom="1440" w:gutter="0" w:footer="0" w:header="0"/>
          <w:type w:val="continuous"/>
        </w:sectPr>
      </w:pPr>
    </w:p>
    <w:p>
      <w:pPr>
        <w:ind w:left="1880" w:hanging="1254"/>
        <w:spacing w:after="0"/>
        <w:tabs>
          <w:tab w:leader="none" w:pos="1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outstanding warrants to purchase shares of Series G Preferred Stock as</w:t>
      </w:r>
    </w:p>
    <w:p>
      <w:pPr>
        <w:spacing w:after="0" w:line="27" w:lineRule="exact"/>
        <w:rPr>
          <w:sz w:val="20"/>
          <w:szCs w:val="20"/>
          <w:color w:val="auto"/>
        </w:rPr>
      </w:pPr>
    </w:p>
    <w:p>
      <w:pPr>
        <w:ind w:left="1160"/>
        <w:spacing w:after="0"/>
        <w:tabs>
          <w:tab w:leader="none" w:pos="2240" w:val="left"/>
          <w:tab w:leader="none" w:pos="62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7"/>
          <w:szCs w:val="17"/>
          <w:color w:val="auto"/>
        </w:rPr>
        <w:t>per share; and</w:t>
      </w:r>
    </w:p>
    <w:p>
      <w:pPr>
        <w:spacing w:after="0" w:line="112" w:lineRule="exact"/>
        <w:rPr>
          <w:sz w:val="20"/>
          <w:szCs w:val="20"/>
          <w:color w:val="auto"/>
        </w:rPr>
      </w:pPr>
    </w:p>
    <w:p>
      <w:pPr>
        <w:ind w:left="1700" w:hanging="1074"/>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common stock reserved for future issuance under our 2016 Equity Incentive Plan (the 2016 Incentive Plan)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as of</w:t>
            </w:r>
          </w:p>
        </w:tc>
        <w:tc>
          <w:tcPr>
            <w:tcW w:w="2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2020, plus an additional</w:t>
            </w:r>
          </w:p>
        </w:tc>
        <w:tc>
          <w:tcPr>
            <w:tcW w:w="6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this plan subsequent</w:t>
            </w:r>
          </w:p>
        </w:tc>
      </w:tr>
      <w:tr>
        <w:trPr>
          <w:trHeight w:val="234"/>
        </w:trPr>
        <w:tc>
          <w:tcPr>
            <w:tcW w:w="18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w:t>
            </w:r>
          </w:p>
        </w:tc>
        <w:tc>
          <w:tcPr>
            <w:tcW w:w="27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 2020.</w:t>
            </w:r>
          </w:p>
        </w:tc>
        <w:tc>
          <w:tcPr>
            <w:tcW w:w="6660" w:type="dxa"/>
            <w:vAlign w:val="bottom"/>
          </w:tcPr>
          <w:p>
            <w:pPr>
              <w:spacing w:after="0"/>
              <w:rPr>
                <w:sz w:val="20"/>
                <w:szCs w:val="20"/>
                <w:color w:val="auto"/>
              </w:rPr>
            </w:pPr>
          </w:p>
        </w:tc>
      </w:tr>
      <w:tr>
        <w:trPr>
          <w:trHeight w:val="240"/>
        </w:trPr>
        <w:tc>
          <w:tcPr>
            <w:tcW w:w="18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p>
        </w:tc>
      </w:tr>
      <w:tr>
        <w:trPr>
          <w:trHeight w:val="604"/>
        </w:trPr>
        <w:tc>
          <w:tcPr>
            <w:tcW w:w="1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455"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1555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555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hanging="534"/>
        <w:spacing w:after="0" w:line="282"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0660"/>
          </w:cols>
          <w:pgMar w:left="320" w:top="455" w:right="919" w:bottom="1440" w:gutter="0" w:footer="0" w:header="0"/>
        </w:sectPr>
      </w:pP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357" w:lineRule="exact"/>
        <w:rPr>
          <w:sz w:val="20"/>
          <w:szCs w:val="20"/>
          <w:color w:val="auto"/>
        </w:rPr>
      </w:pPr>
    </w:p>
    <w:p>
      <w:pPr>
        <w:sectPr>
          <w:pgSz w:w="11900" w:h="16838" w:orient="portrait"/>
          <w:cols w:equalWidth="0" w:num="3">
            <w:col w:w="680" w:space="480"/>
            <w:col w:w="7460" w:space="720"/>
            <w:col w:w="1320"/>
          </w:cols>
          <w:pgMar w:left="320" w:top="455" w:right="919" w:bottom="1440" w:gutter="0" w:footer="0" w:header="0"/>
          <w:type w:val="continuous"/>
        </w:sectPr>
      </w:pPr>
    </w:p>
    <w:p>
      <w:pPr>
        <w:ind w:left="1160" w:hanging="534"/>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 and</w:t>
      </w:r>
    </w:p>
    <w:p>
      <w:pPr>
        <w:spacing w:after="0" w:line="130" w:lineRule="exact"/>
        <w:rPr>
          <w:rFonts w:ascii="Times New Roman" w:cs="Times New Roman" w:eastAsia="Times New Roman" w:hAnsi="Times New Roman"/>
          <w:sz w:val="18"/>
          <w:szCs w:val="18"/>
          <w:color w:val="auto"/>
        </w:rPr>
      </w:pPr>
    </w:p>
    <w:p>
      <w:pPr>
        <w:ind w:left="1160" w:hanging="534"/>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320" w:top="455" w:right="9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24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left="200" w:right="360" w:firstLine="434"/>
        <w:spacing w:after="0" w:line="258" w:lineRule="auto"/>
        <w:rPr>
          <w:sz w:val="20"/>
          <w:szCs w:val="20"/>
          <w:color w:val="auto"/>
        </w:rPr>
      </w:pPr>
      <w:r>
        <w:rPr>
          <w:rFonts w:ascii="Times New Roman" w:cs="Times New Roman" w:eastAsia="Times New Roman" w:hAnsi="Times New Roman"/>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left="37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741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3741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(1)(3)</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45,478</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33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20,163</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33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24,676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(248,835)</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3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(246,444)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hanging="426"/>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 of operations and comprehensive loss data and pro forma balance sheet data give effect to the automatic conversion of</w:t>
      </w:r>
    </w:p>
    <w:p>
      <w:pPr>
        <w:spacing w:after="0" w:line="27" w:lineRule="exact"/>
        <w:rPr>
          <w:sz w:val="20"/>
          <w:szCs w:val="20"/>
          <w:color w:val="auto"/>
        </w:rPr>
      </w:pPr>
    </w:p>
    <w:p>
      <w:pPr>
        <w:ind w:left="620"/>
        <w:spacing w:after="0"/>
        <w:tabs>
          <w:tab w:leader="none" w:pos="7480" w:val="left"/>
        </w:tabs>
        <w:rPr>
          <w:sz w:val="20"/>
          <w:szCs w:val="20"/>
          <w:color w:val="auto"/>
        </w:rPr>
      </w:pPr>
      <w:r>
        <w:rPr>
          <w:rFonts w:ascii="Times New Roman" w:cs="Times New Roman" w:eastAsia="Times New Roman" w:hAnsi="Times New Roman"/>
          <w:sz w:val="18"/>
          <w:szCs w:val="18"/>
          <w:color w:val="auto"/>
        </w:rPr>
        <w:t>all outstanding shares of our preferred stock and convertible debt into an aggregate of</w:t>
      </w:r>
      <w:r>
        <w:rPr>
          <w:sz w:val="20"/>
          <w:szCs w:val="20"/>
          <w:color w:val="auto"/>
        </w:rPr>
        <w:tab/>
      </w:r>
      <w:r>
        <w:rPr>
          <w:rFonts w:ascii="Times New Roman" w:cs="Times New Roman" w:eastAsia="Times New Roman" w:hAnsi="Times New Roman"/>
          <w:sz w:val="17"/>
          <w:szCs w:val="17"/>
          <w:color w:val="auto"/>
        </w:rPr>
        <w:t>shares of common stock upon the completion of</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offering.</w:t>
      </w:r>
    </w:p>
    <w:p>
      <w:pPr>
        <w:spacing w:after="0" w:line="9" w:lineRule="exact"/>
        <w:rPr>
          <w:sz w:val="20"/>
          <w:szCs w:val="20"/>
          <w:color w:val="auto"/>
        </w:rPr>
      </w:pPr>
    </w:p>
    <w:p>
      <w:pPr>
        <w:ind w:left="200"/>
        <w:spacing w:after="0"/>
        <w:tabs>
          <w:tab w:leader="none" w:pos="600" w:val="left"/>
          <w:tab w:leader="none" w:pos="10360" w:val="left"/>
        </w:tabs>
        <w:rPr>
          <w:sz w:val="20"/>
          <w:szCs w:val="20"/>
          <w:color w:val="auto"/>
        </w:rPr>
      </w:pPr>
      <w:r>
        <w:rPr>
          <w:rFonts w:ascii="Times New Roman" w:cs="Times New Roman" w:eastAsia="Times New Roman" w:hAnsi="Times New Roman"/>
          <w:sz w:val="18"/>
          <w:szCs w:val="18"/>
          <w:color w:val="auto"/>
        </w:rPr>
        <w:t>(2)</w:t>
        <w:tab/>
        <w:t>The pro forma as adjusted information discussed above gives effect to the adjustment described in footnote (1) and the receipt of $</w:t>
      </w:r>
      <w:r>
        <w:rPr>
          <w:sz w:val="20"/>
          <w:szCs w:val="20"/>
          <w:color w:val="auto"/>
        </w:rPr>
        <w:tab/>
      </w:r>
      <w:r>
        <w:rPr>
          <w:rFonts w:ascii="Times New Roman" w:cs="Times New Roman" w:eastAsia="Times New Roman" w:hAnsi="Times New Roman"/>
          <w:sz w:val="17"/>
          <w:szCs w:val="17"/>
          <w:color w:val="auto"/>
        </w:rPr>
        <w:t>million</w:t>
      </w:r>
    </w:p>
    <w:p>
      <w:pPr>
        <w:spacing w:after="0" w:line="9" w:lineRule="exact"/>
        <w:rPr>
          <w:sz w:val="20"/>
          <w:szCs w:val="20"/>
          <w:color w:val="auto"/>
        </w:rPr>
      </w:pPr>
    </w:p>
    <w:p>
      <w:pPr>
        <w:ind w:left="620"/>
        <w:spacing w:after="0"/>
        <w:tabs>
          <w:tab w:leader="none" w:pos="8880" w:val="left"/>
        </w:tabs>
        <w:rPr>
          <w:sz w:val="20"/>
          <w:szCs w:val="20"/>
          <w:color w:val="auto"/>
        </w:rPr>
      </w:pPr>
      <w:r>
        <w:rPr>
          <w:rFonts w:ascii="Times New Roman" w:cs="Times New Roman" w:eastAsia="Times New Roman" w:hAnsi="Times New Roman"/>
          <w:sz w:val="18"/>
          <w:szCs w:val="18"/>
          <w:color w:val="auto"/>
        </w:rPr>
        <w:t>in net proceeds from our sale of common stock in this offering at an assumed initial public offering price of $</w:t>
      </w:r>
      <w:r>
        <w:rPr>
          <w:sz w:val="20"/>
          <w:szCs w:val="20"/>
          <w:color w:val="auto"/>
        </w:rPr>
        <w:tab/>
      </w:r>
      <w:r>
        <w:rPr>
          <w:rFonts w:ascii="Times New Roman" w:cs="Times New Roman" w:eastAsia="Times New Roman" w:hAnsi="Times New Roman"/>
          <w:sz w:val="18"/>
          <w:szCs w:val="18"/>
          <w:color w:val="auto"/>
        </w:rPr>
        <w:t>per share, which is the</w:t>
      </w:r>
    </w:p>
    <w:p>
      <w:pPr>
        <w:spacing w:after="0" w:line="9" w:lineRule="exact"/>
        <w:rPr>
          <w:sz w:val="20"/>
          <w:szCs w:val="20"/>
          <w:color w:val="auto"/>
        </w:rPr>
      </w:pPr>
    </w:p>
    <w:p>
      <w:pPr>
        <w:ind w:left="620" w:right="60"/>
        <w:spacing w:after="0" w:line="250" w:lineRule="auto"/>
        <w:rPr>
          <w:sz w:val="20"/>
          <w:szCs w:val="20"/>
          <w:color w:val="auto"/>
        </w:rPr>
      </w:pPr>
      <w:r>
        <w:rPr>
          <w:rFonts w:ascii="Times New Roman" w:cs="Times New Roman" w:eastAsia="Times New Roman" w:hAnsi="Times New Roman"/>
          <w:sz w:val="18"/>
          <w:szCs w:val="18"/>
          <w:color w:val="auto"/>
        </w:rPr>
        <w:t>midpoint of the estimated offering price range set forth on the cover of this prospectus, after deducting underwriting discounts and commissions and estimated offering expenses payable by us.</w:t>
      </w:r>
    </w:p>
    <w:p>
      <w:pPr>
        <w:spacing w:after="0" w:line="1" w:lineRule="exact"/>
        <w:rPr>
          <w:sz w:val="20"/>
          <w:szCs w:val="20"/>
          <w:color w:val="auto"/>
        </w:rPr>
      </w:pPr>
    </w:p>
    <w:p>
      <w:pPr>
        <w:ind w:left="620" w:right="160" w:hanging="426"/>
        <w:spacing w:after="0" w:line="255"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have reported net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$30.7 million and $26.2 million for the six months ended June 30, 2020 and for the years ended December 31, 2019 and 2018, respectively.</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1"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expect increased revenues from our COVID-19 diagnostic and antibody tests over the course of 2020 and the first quarter of 2021, and we expect that such revenue will comprise a significant portion of our revenue over the same period.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89"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55"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8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87"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8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81" w:lineRule="exact"/>
        <w:rPr>
          <w:sz w:val="20"/>
          <w:szCs w:val="20"/>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67"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30" w:lineRule="exact"/>
        <w:rPr>
          <w:rFonts w:ascii="Times New Roman" w:cs="Times New Roman" w:eastAsia="Times New Roman" w:hAnsi="Times New Roman"/>
          <w:sz w:val="18"/>
          <w:szCs w:val="18"/>
          <w:color w:val="auto"/>
        </w:rPr>
      </w:pPr>
    </w:p>
    <w:p>
      <w:pPr>
        <w:ind w:left="1000" w:right="106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spread of COVID-19, and the resulting effects on the number of patients treated or the demand for our non-COVID-19 diagnostic tests;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67"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or clearances for planned or future improvements or enhancements to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auto"/>
        </w:rPr>
        <w:t>In addition, we expect increased revenue from our COVID-19 diagnostic and antibody tests over the course of 2020 and the first quarter of 2021, and we expect that such revenue will comprise a significant portion of our revenue over the same period. We can provide no assurances that the demand for our COVID-19 diagnostic and antibody tests will be sustained, and even if it is, the period of time for which it would be sustained. As a result, the increase in revenue due to any increase in demand for our COVID-19 diagnostic and antibody tests is not indicative of results expected for any future period.</w:t>
      </w:r>
    </w:p>
    <w:p>
      <w:pPr>
        <w:spacing w:after="0" w:line="164"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121" w:lineRule="exact"/>
        <w:rPr>
          <w:sz w:val="20"/>
          <w:szCs w:val="20"/>
          <w:color w:val="auto"/>
        </w:rPr>
      </w:pPr>
    </w:p>
    <w:p>
      <w:pPr>
        <w:ind w:right="220" w:firstLine="449"/>
        <w:spacing w:after="0" w:line="274" w:lineRule="auto"/>
        <w:rPr>
          <w:sz w:val="20"/>
          <w:szCs w:val="20"/>
          <w:color w:val="auto"/>
        </w:rPr>
      </w:pPr>
      <w:r>
        <w:rPr>
          <w:rFonts w:ascii="Times New Roman" w:cs="Times New Roman" w:eastAsia="Times New Roman" w:hAnsi="Times New Roman"/>
          <w:sz w:val="17"/>
          <w:szCs w:val="17"/>
          <w:color w:val="auto"/>
        </w:rPr>
        <w:t>We need to maintain and continuously improve the performance and reliability of our diagnostic tests, including our COVID-19 diagnostic and antibody tests,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455"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5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and COVID-19 diagnostic and antibody tests.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8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95"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3"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For more information regarding this license and supply agreement, please see “Business—Non-Exclusive License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9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COVID-19 pandemic has also created an opportunity for our diagnostic tests and we have developed two diagnostic tests to test for the presence of COVID-19 and antibodies. We are expecting to increase our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testing capacity for our COVID-19 diagnostic and antibody tests in the near term to meet the rising demand for rapid and accurate testing. We expect that the revenue we generate from this expansion will comprise a significant portion of our revenue for the remainder of 2020 and the first quarter of</w:t>
      </w:r>
    </w:p>
    <w:p>
      <w:pPr>
        <w:ind w:right="140"/>
        <w:spacing w:after="0" w:line="253" w:lineRule="auto"/>
        <w:rPr>
          <w:sz w:val="20"/>
          <w:szCs w:val="20"/>
          <w:color w:val="auto"/>
        </w:rPr>
      </w:pPr>
      <w:r>
        <w:rPr>
          <w:rFonts w:ascii="Times New Roman" w:cs="Times New Roman" w:eastAsia="Times New Roman" w:hAnsi="Times New Roman"/>
          <w:sz w:val="18"/>
          <w:szCs w:val="18"/>
          <w:color w:val="auto"/>
        </w:rPr>
        <w:t>2021. However, there is no assurance that our COVID-19 diagnostic and antibody tests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2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8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8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2020, Medicare reimbursed to us 60% of our diagnostic test revenue and one healthcare provider accounted for 13% of our total diagnostic test revenue. For the year ended December 31, 2019, Medicare reimbursed to us 58%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45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tests,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9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jc w:val="both"/>
        <w:ind w:right="140" w:firstLine="449"/>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89" w:lineRule="exact"/>
        <w:rPr>
          <w:sz w:val="20"/>
          <w:szCs w:val="20"/>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67"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diagnostic tests;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3"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455" w:right="3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1" w:lineRule="exact"/>
        <w:rPr>
          <w:sz w:val="20"/>
          <w:szCs w:val="20"/>
          <w:color w:val="auto"/>
        </w:rPr>
      </w:pPr>
    </w:p>
    <w:p>
      <w:pPr>
        <w:ind w:right="20" w:firstLine="449"/>
        <w:spacing w:after="0" w:line="274"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7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455" w:right="3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8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8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76"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pancreatic ductal cancer (PDAC), and acute myeloid leukemia (AML). For more information regarding this Collaboration Agreement, please see “Business —Drug Co-Development.”</w:t>
      </w:r>
    </w:p>
    <w:p>
      <w:pPr>
        <w:spacing w:after="0" w:line="16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0"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8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-Lung. We renamed the test and relaunched the test on February 28, 2020 as the Nodify CDT test and the De Soto, Kansas lab will be the sole United States provider of the Nodify CDT test.</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jc w:val="both"/>
        <w:ind w:right="340" w:firstLine="449"/>
        <w:spacing w:after="0" w:line="289" w:lineRule="auto"/>
        <w:rPr>
          <w:sz w:val="20"/>
          <w:szCs w:val="20"/>
          <w:color w:val="auto"/>
        </w:rPr>
      </w:pPr>
      <w:r>
        <w:rPr>
          <w:rFonts w:ascii="Times New Roman" w:cs="Times New Roman" w:eastAsia="Times New Roman" w:hAnsi="Times New Roman"/>
          <w:sz w:val="17"/>
          <w:szCs w:val="17"/>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9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87"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76"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51"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67" w:lineRule="exact"/>
        <w:rPr>
          <w:sz w:val="20"/>
          <w:szCs w:val="20"/>
          <w:color w:val="auto"/>
        </w:rPr>
      </w:pPr>
    </w:p>
    <w:p>
      <w:pPr>
        <w:ind w:left="5540" w:right="2460" w:hanging="5087"/>
        <w:spacing w:after="0" w:line="454" w:lineRule="auto"/>
        <w:tabs>
          <w:tab w:leader="none" w:pos="10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 29</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30" w:lineRule="exact"/>
        <w:rPr>
          <w:rFonts w:ascii="Times New Roman" w:cs="Times New Roman" w:eastAsia="Times New Roman" w:hAnsi="Times New Roman"/>
          <w:sz w:val="18"/>
          <w:szCs w:val="18"/>
          <w:color w:val="auto"/>
        </w:rPr>
      </w:pPr>
    </w:p>
    <w:p>
      <w:pPr>
        <w:ind w:left="1000" w:right="400" w:hanging="54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9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and have not been approved for reimbursement, or have been approved under restricted conditions, in certain European countries.</w:t>
      </w:r>
    </w:p>
    <w:p>
      <w:pPr>
        <w:spacing w:after="0" w:line="225"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9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8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7"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67" w:lineRule="exact"/>
        <w:rPr>
          <w:sz w:val="20"/>
          <w:szCs w:val="20"/>
          <w:color w:val="auto"/>
        </w:rPr>
      </w:pPr>
    </w:p>
    <w:p>
      <w:pPr>
        <w:ind w:left="5540" w:right="5180" w:hanging="5087"/>
        <w:spacing w:after="0" w:line="367" w:lineRule="auto"/>
        <w:tabs>
          <w:tab w:leader="none" w:pos="101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diagnostic tests; 33</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8"/>
          <w:szCs w:val="18"/>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85" w:lineRule="exact"/>
        <w:rPr>
          <w:rFonts w:ascii="Times New Roman" w:cs="Times New Roman" w:eastAsia="Times New Roman" w:hAnsi="Times New Roman"/>
          <w:sz w:val="18"/>
          <w:szCs w:val="18"/>
          <w:color w:val="auto"/>
        </w:rPr>
      </w:pPr>
    </w:p>
    <w:p>
      <w:pPr>
        <w:jc w:val="both"/>
        <w:ind w:left="1000" w:right="140" w:hanging="54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Times New Roman" w:cs="Times New Roman" w:eastAsia="Times New Roman" w:hAnsi="Times New Roman"/>
          <w:sz w:val="18"/>
          <w:szCs w:val="18"/>
          <w:color w:val="auto"/>
        </w:rPr>
      </w:pPr>
    </w:p>
    <w:p>
      <w:pPr>
        <w:ind w:left="1000" w:right="80" w:hanging="547"/>
        <w:spacing w:after="0" w:line="312"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43" w:lineRule="exact"/>
        <w:rPr>
          <w:rFonts w:ascii="Times New Roman" w:cs="Times New Roman" w:eastAsia="Times New Roman" w:hAnsi="Times New Roman"/>
          <w:sz w:val="17"/>
          <w:szCs w:val="17"/>
          <w:color w:val="auto"/>
        </w:rPr>
      </w:pPr>
    </w:p>
    <w:p>
      <w:pPr>
        <w:ind w:left="1000" w:right="180" w:hanging="547"/>
        <w:spacing w:after="0" w:line="257"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9" w:lineRule="exact"/>
        <w:rPr>
          <w:rFonts w:ascii="Times New Roman" w:cs="Times New Roman" w:eastAsia="Times New Roman" w:hAnsi="Times New Roman"/>
          <w:sz w:val="18"/>
          <w:szCs w:val="18"/>
          <w:color w:val="auto"/>
        </w:rPr>
      </w:pPr>
    </w:p>
    <w:p>
      <w:pPr>
        <w:ind w:left="1000" w:right="20" w:hanging="547"/>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5" w:lineRule="exact"/>
        <w:rPr>
          <w:rFonts w:ascii="Times New Roman" w:cs="Times New Roman" w:eastAsia="Times New Roman" w:hAnsi="Times New Roman"/>
          <w:sz w:val="18"/>
          <w:szCs w:val="18"/>
          <w:color w:val="auto"/>
        </w:rPr>
      </w:pPr>
    </w:p>
    <w:p>
      <w:pPr>
        <w:ind w:left="1000" w:right="580" w:hanging="54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6"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8"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0" w:lineRule="exact"/>
        <w:rPr>
          <w:sz w:val="20"/>
          <w:szCs w:val="20"/>
          <w:color w:val="auto"/>
        </w:rPr>
      </w:pPr>
    </w:p>
    <w:p>
      <w:pPr>
        <w:ind w:right="140" w:firstLine="449"/>
        <w:spacing w:after="0" w:line="273" w:lineRule="auto"/>
        <w:rPr>
          <w:sz w:val="20"/>
          <w:szCs w:val="20"/>
          <w:color w:val="auto"/>
        </w:rPr>
      </w:pPr>
      <w:r>
        <w:rPr>
          <w:rFonts w:ascii="Times New Roman" w:cs="Times New Roman" w:eastAsia="Times New Roman" w:hAnsi="Times New Roman"/>
          <w:sz w:val="17"/>
          <w:szCs w:val="17"/>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7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93" w:lineRule="exact"/>
        <w:rPr>
          <w:sz w:val="20"/>
          <w:szCs w:val="20"/>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nucleic acid from SARS- CoV-2, not for any other viruses or pathogens; and</w:t>
      </w:r>
    </w:p>
    <w:p>
      <w:pPr>
        <w:spacing w:after="0" w:line="130"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statements that appear in advertising and promotional materials must not represent or suggest that this test is safe or effective for the detection of SARS-CoV-2.</w:t>
      </w:r>
    </w:p>
    <w:p>
      <w:pPr>
        <w:spacing w:after="0" w:line="162"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1" w:lineRule="exact"/>
        <w:rPr>
          <w:sz w:val="20"/>
          <w:szCs w:val="20"/>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not been FDA cleared or approved;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by the FDA under an EUA for use by authorized laboratories;</w:t>
      </w:r>
    </w:p>
    <w:p>
      <w:pPr>
        <w:spacing w:after="0" w:line="130" w:lineRule="exact"/>
        <w:rPr>
          <w:rFonts w:ascii="Times New Roman" w:cs="Times New Roman" w:eastAsia="Times New Roman" w:hAnsi="Times New Roman"/>
          <w:sz w:val="18"/>
          <w:szCs w:val="18"/>
          <w:color w:val="auto"/>
        </w:rPr>
      </w:pPr>
    </w:p>
    <w:p>
      <w:pPr>
        <w:ind w:left="1000" w:right="500" w:hanging="547"/>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has been authorized only for the detection of total antibodies, including IgM/IgG/IgA, against SARS-CoV-2, not for any other viruses or pathogens; and</w:t>
      </w:r>
    </w:p>
    <w:p>
      <w:pPr>
        <w:spacing w:after="0" w:line="67" w:lineRule="exact"/>
        <w:rPr>
          <w:rFonts w:ascii="Times New Roman" w:cs="Times New Roman" w:eastAsia="Times New Roman" w:hAnsi="Times New Roman"/>
          <w:sz w:val="18"/>
          <w:szCs w:val="18"/>
          <w:color w:val="auto"/>
        </w:rPr>
      </w:pPr>
    </w:p>
    <w:p>
      <w:pPr>
        <w:jc w:val="both"/>
        <w:ind w:left="1000" w:right="360" w:hanging="547"/>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including the application of the FDA’s EUA authority. As noted above, the EUAs for our COVID-19 tests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8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0"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are covered under CLIA and CMS, although our COVID tests and select partnerships we may enter may cause us to be subject to additional FDA requirements.</w:t>
      </w:r>
    </w:p>
    <w:p>
      <w:pPr>
        <w:spacing w:after="0" w:line="51"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7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62"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7" w:lineRule="exact"/>
        <w:rPr>
          <w:sz w:val="20"/>
          <w:szCs w:val="20"/>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8"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455" w:right="3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9"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510(k), de-novo or PMA process can be expensive, lengthy and unpredictable. The FDA can delay, limit, or deny clearance or approval of a device for many reasons, including:</w:t>
      </w:r>
    </w:p>
    <w:p>
      <w:pPr>
        <w:spacing w:after="0" w:line="67" w:lineRule="exact"/>
        <w:rPr>
          <w:sz w:val="20"/>
          <w:szCs w:val="20"/>
          <w:color w:val="auto"/>
        </w:rPr>
      </w:pPr>
    </w:p>
    <w:p>
      <w:pPr>
        <w:ind w:left="1000" w:right="2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30"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2"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7" w:lineRule="exact"/>
        <w:rPr>
          <w:sz w:val="20"/>
          <w:szCs w:val="20"/>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subject to state licensing requirements and federal regulation by CMS under CLIA, although our COVID tests and select partnerships we may enter may cause us to be subject to additional FDA regulations discussed above.</w:t>
      </w:r>
    </w:p>
    <w:p>
      <w:pPr>
        <w:spacing w:after="0" w:line="176"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2"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67" w:lineRule="exact"/>
        <w:rPr>
          <w:sz w:val="20"/>
          <w:szCs w:val="20"/>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diagnostic tests or enhancements to existing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51"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94"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of new diagnostic tests or modified versions of current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on PMA approvals that have already been granted;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455"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80"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60"/>
          </w:cols>
          <w:pgMar w:left="320" w:top="455" w:right="4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7"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5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4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90"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455"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87"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87"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9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9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92"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1"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289"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5" w:lineRule="exact"/>
        <w:rPr>
          <w:sz w:val="20"/>
          <w:szCs w:val="20"/>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455"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76"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1"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87"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5" w:lineRule="exact"/>
        <w:rPr>
          <w:sz w:val="20"/>
          <w:szCs w:val="20"/>
          <w:color w:val="auto"/>
        </w:rPr>
      </w:pPr>
    </w:p>
    <w:p>
      <w:pPr>
        <w:ind w:left="1000" w:right="16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COVID-19, Nodify XL2, Nodify CDT, GeneStrat and VeriStrat tests;</w:t>
      </w:r>
    </w:p>
    <w:p>
      <w:pPr>
        <w:spacing w:after="0" w:line="67" w:lineRule="exact"/>
        <w:rPr>
          <w:rFonts w:ascii="Times New Roman" w:cs="Times New Roman" w:eastAsia="Times New Roman" w:hAnsi="Times New Roman"/>
          <w:sz w:val="18"/>
          <w:szCs w:val="18"/>
          <w:color w:val="auto"/>
        </w:rPr>
      </w:pPr>
    </w:p>
    <w:p>
      <w:pPr>
        <w:ind w:left="1000" w:right="220" w:hanging="547"/>
        <w:spacing w:after="0" w:line="312"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45" w:lineRule="exact"/>
        <w:rPr>
          <w:rFonts w:ascii="Times New Roman" w:cs="Times New Roman" w:eastAsia="Times New Roman" w:hAnsi="Times New Roman"/>
          <w:sz w:val="17"/>
          <w:szCs w:val="17"/>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225"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89"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9"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7"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90"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9"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455" w:right="3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94"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9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455" w:right="3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diagnostic tests or products, if such technologies or features are found to incorporate or be derived from the trade secrets or other proprietary information of the former employers.</w:t>
      </w:r>
    </w:p>
    <w:p>
      <w:pPr>
        <w:spacing w:after="0" w:line="162"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COVID-19 test, either of the Nodify XL2 and Nodify CDT tests, or the VeriStrat and GeneStrat tests.</w:t>
      </w:r>
    </w:p>
    <w:p>
      <w:pPr>
        <w:spacing w:after="0" w:line="176"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5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92" w:lineRule="exact"/>
        <w:rPr>
          <w:sz w:val="20"/>
          <w:szCs w:val="20"/>
          <w:color w:val="auto"/>
        </w:rPr>
      </w:pPr>
    </w:p>
    <w:p>
      <w:pPr>
        <w:ind w:right="80" w:firstLine="449"/>
        <w:spacing w:after="0" w:line="312" w:lineRule="auto"/>
        <w:rPr>
          <w:sz w:val="20"/>
          <w:szCs w:val="20"/>
          <w:color w:val="auto"/>
        </w:rPr>
      </w:pPr>
      <w:r>
        <w:rPr>
          <w:rFonts w:ascii="Times New Roman" w:cs="Times New Roman" w:eastAsia="Times New Roman" w:hAnsi="Times New Roman"/>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1"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87"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9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455" w:right="3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8"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7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89"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8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9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455"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83"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67" w:lineRule="exact"/>
        <w:rPr>
          <w:sz w:val="20"/>
          <w:szCs w:val="20"/>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00" w:right="340" w:hanging="54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455" w:right="3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9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7"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5" w:lineRule="exact"/>
        <w:rPr>
          <w:sz w:val="20"/>
          <w:szCs w:val="20"/>
          <w:color w:val="auto"/>
        </w:rPr>
      </w:pPr>
    </w:p>
    <w:p>
      <w:pPr>
        <w:ind w:right="40" w:firstLine="8"/>
        <w:spacing w:after="0" w:line="251"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455"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00" w:right="120" w:hanging="547"/>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COVID-19, Nodify XL2, Nodify CDT, GeneStrat or VeriStrat tests or utilize similar technology that is not covered by the claims of our patents or that incorporates certain technology in our COVID-19, Nodify XL2, Nodify CDT, GeneStrat or VeriStrat tests that is in the public domain;</w:t>
      </w:r>
    </w:p>
    <w:p>
      <w:pPr>
        <w:spacing w:after="0" w:line="81"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00" w:right="100" w:hanging="547"/>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8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5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common stock following this offering. In addition, the market price of our common stock is likely to be highly volatile and may fluctuate substantially due to many factors, including:</w:t>
      </w:r>
    </w:p>
    <w:p>
      <w:pPr>
        <w:spacing w:after="0" w:line="67" w:lineRule="exact"/>
        <w:rPr>
          <w:sz w:val="20"/>
          <w:szCs w:val="20"/>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COVID-19, Nodify XL2, Nodify CDT, GeneStrat and VeriStrat testing;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diagnostic tests on a timely basis;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30" w:lineRule="exact"/>
        <w:rPr>
          <w:rFonts w:ascii="Times New Roman" w:cs="Times New Roman" w:eastAsia="Times New Roman" w:hAnsi="Times New Roman"/>
          <w:sz w:val="18"/>
          <w:szCs w:val="18"/>
          <w:color w:val="auto"/>
        </w:rPr>
      </w:pPr>
    </w:p>
    <w:p>
      <w:pPr>
        <w:ind w:left="1000" w:right="28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83"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5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455" w:right="3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6" w:lineRule="exact"/>
        <w:rPr>
          <w:sz w:val="20"/>
          <w:szCs w:val="20"/>
          <w:color w:val="auto"/>
        </w:rPr>
      </w:pPr>
    </w:p>
    <w:p>
      <w:pPr>
        <w:ind w:right="8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in annual revenue; (ii) the date we qualify as a “large accelerated filer,” with at least $700 million of equity securities held by non-affiliates;</w:t>
      </w:r>
    </w:p>
    <w:p>
      <w:pPr>
        <w:spacing w:after="0" w:line="9" w:lineRule="exact"/>
        <w:rPr>
          <w:sz w:val="20"/>
          <w:szCs w:val="20"/>
          <w:color w:val="auto"/>
        </w:rPr>
      </w:pPr>
    </w:p>
    <w:p>
      <w:pPr>
        <w:ind w:right="140" w:firstLine="8"/>
        <w:spacing w:after="0" w:line="260"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7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We are also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5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purchasing common stock in this offering will pay a price per share that substantially exceeds the pro forma as adjusted net tangible book</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value per share. As a result, investors purchasing common stock in this offering will incur immediate dilution of $ per share, based on an assumed initial public offering price of $ per share, the midpoint of the estimated offering price range set forth on the cover page of this prospectus, and our pro forma as adjusted net tangible book value per share as of . For more information on the dilution you may suffer as a result of investing in this offering, see the section of this prospectus entitled “Dilution.”</w:t>
      </w:r>
    </w:p>
    <w:p>
      <w:pPr>
        <w:spacing w:after="0" w:line="189" w:lineRule="exact"/>
        <w:rPr>
          <w:sz w:val="20"/>
          <w:szCs w:val="20"/>
          <w:color w:val="auto"/>
        </w:rPr>
      </w:pPr>
    </w:p>
    <w:p>
      <w:pPr>
        <w:ind w:right="80" w:firstLine="1011"/>
        <w:spacing w:after="0" w:line="261"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outstanding shares of common stock based on the number of shares outstanding as of June 30, 2020. This includes the shares that we are selling in this offering, which may be resold in the public market immediately without restriction, unless purchased by our</w:t>
      </w:r>
    </w:p>
    <w:p>
      <w:pPr>
        <w:spacing w:after="0" w:line="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affiliates. Of the remaining shares, shares are currently restricted as a result of securities laws or 180-day lock-up agreements but will be able to be sold after the offering as described in the section of this prospectus entitled “Shares Eligible For Future Sale.” Moreover, after this offering, holders of</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 aggregate of up to shares of our common stock, including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5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After this offering, our officers, directors and principal stockholders each holding more than 5% of our common stock will collectively control approximately % of our outstanding common stock. As a result, these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5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9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67"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85" w:lineRule="exact"/>
        <w:rPr>
          <w:sz w:val="20"/>
          <w:szCs w:val="20"/>
          <w:color w:val="auto"/>
        </w:rPr>
      </w:pPr>
    </w:p>
    <w:p>
      <w:pPr>
        <w:jc w:val="right"/>
        <w:ind w:left="5540" w:right="5500" w:hanging="5087"/>
        <w:spacing w:after="0" w:line="454" w:lineRule="auto"/>
        <w:tabs>
          <w:tab w:leader="none" w:pos="10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 69</w:t>
      </w:r>
    </w:p>
    <w:p>
      <w:pPr>
        <w:sectPr>
          <w:pgSz w:w="11900" w:h="16838" w:orient="portrait"/>
          <w:cols w:equalWidth="0" w:num="1">
            <w:col w:w="11220"/>
          </w:cols>
          <w:pgMar w:left="320" w:top="455"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25"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specifies that, unless we consent in writing to the selection of an alternative forum, the Court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62"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7" w:lineRule="exact"/>
        <w:rPr>
          <w:sz w:val="20"/>
          <w:szCs w:val="20"/>
          <w:color w:val="auto"/>
        </w:rPr>
      </w:pPr>
    </w:p>
    <w:p>
      <w:pPr>
        <w:ind w:left="1000" w:hanging="547"/>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1000" w:right="180" w:hanging="547"/>
        <w:spacing w:after="0" w:line="312"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5" w:lineRule="exact"/>
        <w:rPr>
          <w:rFonts w:ascii="Times New Roman" w:cs="Times New Roman" w:eastAsia="Times New Roman" w:hAnsi="Times New Roman"/>
          <w:sz w:val="17"/>
          <w:szCs w:val="17"/>
          <w:color w:val="auto"/>
        </w:rPr>
      </w:pPr>
    </w:p>
    <w:p>
      <w:pPr>
        <w:ind w:left="1000" w:right="54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67" w:lineRule="exact"/>
        <w:rPr>
          <w:rFonts w:ascii="Times New Roman" w:cs="Times New Roman" w:eastAsia="Times New Roman" w:hAnsi="Times New Roman"/>
          <w:sz w:val="18"/>
          <w:szCs w:val="18"/>
          <w:color w:val="auto"/>
        </w:rPr>
      </w:pPr>
    </w:p>
    <w:p>
      <w:pPr>
        <w:ind w:left="1000" w:right="200" w:hanging="547"/>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455" w:right="3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85" w:lineRule="exact"/>
        <w:rPr>
          <w:sz w:val="20"/>
          <w:szCs w:val="20"/>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000" w:right="56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000" w:right="6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COVID-19 diagnostic and antibody tests and our ability to meet such demand;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000" w:right="52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suppliers, including contract manufacturers and single source suppliers; making us vulnerable to supply problems and price fluctuations;</w:t>
      </w:r>
    </w:p>
    <w:p>
      <w:pPr>
        <w:spacing w:after="0" w:line="67" w:lineRule="exact"/>
        <w:rPr>
          <w:rFonts w:ascii="Times New Roman" w:cs="Times New Roman" w:eastAsia="Times New Roman" w:hAnsi="Times New Roman"/>
          <w:sz w:val="18"/>
          <w:szCs w:val="18"/>
          <w:color w:val="auto"/>
        </w:rPr>
      </w:pPr>
    </w:p>
    <w:p>
      <w:pPr>
        <w:ind w:left="1000" w:right="68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or worldwide, including the COVID-19 pandemic on our business;</w:t>
      </w:r>
    </w:p>
    <w:p>
      <w:pPr>
        <w:spacing w:after="0" w:line="67"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including the COVID-19 pandemic, negatively impacting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00" w:right="460" w:hanging="54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45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67" w:lineRule="exact"/>
        <w:rPr>
          <w:rFonts w:ascii="Times New Roman" w:cs="Times New Roman" w:eastAsia="Times New Roman" w:hAnsi="Times New Roman"/>
          <w:sz w:val="18"/>
          <w:szCs w:val="18"/>
          <w:color w:val="auto"/>
        </w:rPr>
      </w:pPr>
    </w:p>
    <w:p>
      <w:pPr>
        <w:ind w:left="1000" w:right="30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000" w:right="54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455" w:right="3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80"/>
          </w:cols>
          <w:pgMar w:left="320" w:top="455" w:right="3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shares of common stock in this offering will be approximately $ million at an assumed initial public offering price of $ per share, the midpoint of the estimated offering price range set forth on the cover page of this</w:t>
      </w:r>
    </w:p>
    <w:p>
      <w:pPr>
        <w:spacing w:after="0"/>
        <w:rPr>
          <w:sz w:val="20"/>
          <w:szCs w:val="20"/>
          <w:color w:val="auto"/>
        </w:rPr>
      </w:pPr>
      <w:r>
        <w:rPr>
          <w:rFonts w:ascii="Times New Roman" w:cs="Times New Roman" w:eastAsia="Times New Roman" w:hAnsi="Times New Roman"/>
          <w:sz w:val="17"/>
          <w:szCs w:val="17"/>
          <w:color w:val="auto"/>
        </w:rPr>
        <w:t>prospectus, after deducting underwriting discounts and commissions and estimated offering expenses payable by us. If the underwriters exercise their over-</w:t>
      </w:r>
    </w:p>
    <w:p>
      <w:pPr>
        <w:spacing w:after="0" w:line="3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allotment option in full, we estimate that the net proceeds to us will be approximately $ million, after deducting underwriting discounts and commissions and estimated offering expenses payable by us.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would increase or decrease, respectively, our net proceeds by $ million, assuming the number of shares offered by us, as set forth on the cover page of this prospectus, remains the same and after</w:t>
      </w:r>
    </w:p>
    <w:p>
      <w:pPr>
        <w:ind w:right="20"/>
        <w:spacing w:after="0" w:line="264" w:lineRule="auto"/>
        <w:rPr>
          <w:sz w:val="20"/>
          <w:szCs w:val="20"/>
          <w:color w:val="auto"/>
        </w:rPr>
      </w:pPr>
      <w:r>
        <w:rPr>
          <w:rFonts w:ascii="Times New Roman" w:cs="Times New Roman" w:eastAsia="Times New Roman" w:hAnsi="Times New Roman"/>
          <w:sz w:val="17"/>
          <w:szCs w:val="17"/>
          <w:color w:val="auto"/>
        </w:rPr>
        <w:t>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this offering, after deducting underwriting discounts and commissions by $ million, assuming the assumed initial public offering price stays the same.</w:t>
      </w:r>
    </w:p>
    <w:p>
      <w:pPr>
        <w:spacing w:after="0" w:line="162" w:lineRule="exact"/>
        <w:rPr>
          <w:sz w:val="20"/>
          <w:szCs w:val="20"/>
          <w:color w:val="auto"/>
        </w:rPr>
      </w:pPr>
    </w:p>
    <w:p>
      <w:pPr>
        <w:jc w:val="both"/>
        <w:ind w:right="620" w:firstLine="449"/>
        <w:spacing w:after="0" w:line="266" w:lineRule="auto"/>
        <w:rPr>
          <w:sz w:val="20"/>
          <w:szCs w:val="20"/>
          <w:color w:val="auto"/>
        </w:rPr>
      </w:pPr>
      <w:r>
        <w:rPr>
          <w:rFonts w:ascii="Times New Roman" w:cs="Times New Roman" w:eastAsia="Times New Roman" w:hAnsi="Times New Roman"/>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w:t>
      </w:r>
    </w:p>
    <w:p>
      <w:pPr>
        <w:spacing w:after="0" w:line="17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62"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80"/>
          </w:cols>
          <w:pgMar w:left="320" w:top="455" w:right="3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60"/>
          </w:cols>
          <w:pgMar w:left="320" w:top="455" w:right="4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30" w:lineRule="exact"/>
        <w:rPr>
          <w:rFonts w:ascii="Times New Roman" w:cs="Times New Roman" w:eastAsia="Times New Roman" w:hAnsi="Times New Roman"/>
          <w:sz w:val="18"/>
          <w:szCs w:val="18"/>
          <w:color w:val="auto"/>
        </w:rPr>
      </w:pPr>
    </w:p>
    <w:p>
      <w:pPr>
        <w:ind w:left="1780" w:right="400" w:hanging="1327"/>
        <w:spacing w:after="0" w:line="276" w:lineRule="auto"/>
        <w:tabs>
          <w:tab w:leader="none" w:pos="10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basis to reflect (i) the conversion of all the outstanding shares of preferred stock and convertible debt into an aggregate of shares of common stock immediately upon the closing of this offering and (ii) the filing and effectiveness of our amended and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restated certificate of incorporation that will be in effect upon the closing of this offering; and</w:t>
      </w:r>
    </w:p>
    <w:p>
      <w:pPr>
        <w:sectPr>
          <w:pgSz w:w="11900" w:h="16838" w:orient="portrait"/>
          <w:cols w:equalWidth="0" w:num="1">
            <w:col w:w="11240"/>
          </w:cols>
          <w:pgMar w:left="320" w:top="455" w:right="339" w:bottom="1440" w:gutter="0" w:footer="0" w:header="0"/>
        </w:sectPr>
      </w:pP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pro forma as adjusted basis to further reflect the sale of shares of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176" w:lineRule="exact"/>
        <w:rPr>
          <w:sz w:val="20"/>
          <w:szCs w:val="20"/>
          <w:color w:val="auto"/>
        </w:rPr>
      </w:pPr>
    </w:p>
    <w:p>
      <w:pPr>
        <w:sectPr>
          <w:pgSz w:w="11900" w:h="16838" w:orient="portrait"/>
          <w:cols w:equalWidth="0" w:num="2">
            <w:col w:w="520" w:space="480"/>
            <w:col w:w="10240"/>
          </w:cols>
          <w:pgMar w:left="320" w:top="455" w:right="339" w:bottom="1440" w:gutter="0" w:footer="0" w:header="0"/>
          <w:type w:val="continuous"/>
        </w:sectPr>
      </w:pPr>
    </w:p>
    <w:p>
      <w:pPr>
        <w:jc w:val="both"/>
        <w:ind w:right="460" w:firstLine="449"/>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9"/>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payable</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24,676</w:t>
            </w: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48,903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4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rPr>
              <w:t>Convertible preferred stock; $0.001 par value; 185,432,719 shares authorized, 118,766,273 issued and</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actual;</w:t>
            </w:r>
          </w:p>
        </w:tc>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authorized and</w:t>
            </w:r>
          </w:p>
        </w:tc>
        <w:tc>
          <w:tcPr>
            <w:tcW w:w="4280" w:type="dxa"/>
            <w:vAlign w:val="bottom"/>
            <w:gridSpan w:val="4"/>
          </w:tcPr>
          <w:p>
            <w:pPr>
              <w:jc w:val="right"/>
              <w:ind w:right="516"/>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020" w:type="dxa"/>
            <w:vAlign w:val="bottom"/>
            <w:gridSpan w:val="7"/>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shares authorized, 1,629,696 issued and outstanding,</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actual;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 and</w:t>
            </w:r>
          </w:p>
        </w:tc>
        <w:tc>
          <w:tcPr>
            <w:tcW w:w="4280" w:type="dxa"/>
            <w:vAlign w:val="bottom"/>
            <w:gridSpan w:val="4"/>
          </w:tcPr>
          <w:p>
            <w:pPr>
              <w:jc w:val="right"/>
              <w:ind w:right="896"/>
              <w:spacing w:after="0"/>
              <w:rPr>
                <w:sz w:val="20"/>
                <w:szCs w:val="20"/>
                <w:color w:val="auto"/>
              </w:rPr>
            </w:pPr>
            <w:r>
              <w:rPr>
                <w:rFonts w:ascii="Times New Roman" w:cs="Times New Roman" w:eastAsia="Times New Roman" w:hAnsi="Times New Roman"/>
                <w:sz w:val="18"/>
                <w:szCs w:val="18"/>
                <w:color w:val="auto"/>
              </w:rPr>
              <w:t>shares issued and outstanding, pro forma as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(248,835)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(246,444)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4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20" w:type="dxa"/>
            <w:vAlign w:val="bottom"/>
            <w:gridSpan w:val="3"/>
          </w:tcPr>
          <w:p>
            <w:pPr>
              <w:spacing w:after="0"/>
              <w:rPr>
                <w:sz w:val="11"/>
                <w:szCs w:val="11"/>
                <w:color w:val="auto"/>
              </w:rPr>
            </w:pPr>
          </w:p>
        </w:tc>
        <w:tc>
          <w:tcPr>
            <w:tcW w:w="438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p>
        </w:tc>
        <w:tc>
          <w:tcPr>
            <w:tcW w:w="4380" w:type="dxa"/>
            <w:vAlign w:val="bottom"/>
            <w:gridSpan w:val="12"/>
          </w:tcPr>
          <w:p>
            <w:pPr>
              <w:ind w:left="200"/>
              <w:spacing w:after="0"/>
              <w:rPr>
                <w:sz w:val="20"/>
                <w:szCs w:val="20"/>
                <w:color w:val="auto"/>
              </w:rPr>
            </w:pPr>
            <w:r>
              <w:rPr>
                <w:rFonts w:ascii="Times New Roman" w:cs="Times New Roman" w:eastAsia="Times New Roman" w:hAnsi="Times New Roman"/>
                <w:sz w:val="18"/>
                <w:szCs w:val="18"/>
                <w:color w:val="auto"/>
              </w:rPr>
              <w:t>per share, the midpoint of the estimated offering price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respectively, the amount of cash and cash equivalents, additional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5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paid-in-capital, total stockholders’ equity and total capitalization by approximately $</w:t>
            </w:r>
          </w:p>
        </w:tc>
        <w:tc>
          <w:tcPr>
            <w:tcW w:w="4380" w:type="dxa"/>
            <w:vAlign w:val="bottom"/>
            <w:gridSpan w:val="12"/>
          </w:tcPr>
          <w:p>
            <w:pPr>
              <w:ind w:left="560"/>
              <w:spacing w:after="0"/>
              <w:rPr>
                <w:sz w:val="20"/>
                <w:szCs w:val="20"/>
                <w:color w:val="auto"/>
              </w:rPr>
            </w:pPr>
            <w:r>
              <w:rPr>
                <w:rFonts w:ascii="Times New Roman" w:cs="Times New Roman" w:eastAsia="Times New Roman" w:hAnsi="Times New Roman"/>
                <w:sz w:val="18"/>
                <w:szCs w:val="18"/>
                <w:color w:val="auto"/>
              </w:rPr>
              <w:t>million, assuming that the number of shares offered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by us, as set forth on the cover page of this prospectus, remains the same after deducting underwriting discounts and commissions and estimated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94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offering expenses payable by us. We may also increase or decrease the number of shares we are offering. An increase or decrease of 1,000,000</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number of shares we are offering would increase or decrease, respectively, the amount of cash and cash equivalents, additional</w:t>
      </w:r>
    </w:p>
    <w:p>
      <w:pPr>
        <w:spacing w:after="0" w:line="27"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paid-in-capital, total stockholders’ equity and total capitalization by approximately $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ectPr>
          <w:pgSz w:w="11900" w:h="16838" w:orient="portrait"/>
          <w:cols w:equalWidth="0" w:num="1">
            <w:col w:w="11220"/>
          </w:cols>
          <w:pgMar w:left="320" w:top="455"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outstanding share information in the table above excludes, as of</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 the following shares:</w:t>
      </w:r>
    </w:p>
    <w:p>
      <w:pPr>
        <w:spacing w:after="0" w:line="142" w:lineRule="exact"/>
        <w:rPr>
          <w:sz w:val="20"/>
          <w:szCs w:val="20"/>
          <w:color w:val="auto"/>
        </w:rPr>
      </w:pPr>
    </w:p>
    <w:p>
      <w:pPr>
        <w:sectPr>
          <w:pgSz w:w="11900" w:h="16838" w:orient="portrait"/>
          <w:cols w:equalWidth="0" w:num="2">
            <w:col w:w="5600" w:space="720"/>
            <w:col w:w="4900"/>
          </w:cols>
          <w:pgMar w:left="320" w:top="455" w:right="359" w:bottom="1440" w:gutter="0" w:footer="0" w:header="0"/>
          <w:type w:val="continuous"/>
        </w:sect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0" w:firstLine="765"/>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upon the exercise of stock options outstanding as of , 2020, with a weighted-average exercise price of $ per share, plus shares of common stock issuable upon the exercise of stock options granted subsequent to , 2020, with a weighted-average exercise price of $ per share;</w:t>
      </w:r>
    </w:p>
    <w:p>
      <w:pPr>
        <w:spacing w:after="0" w:line="81" w:lineRule="exact"/>
        <w:rPr>
          <w:sz w:val="20"/>
          <w:szCs w:val="20"/>
          <w:color w:val="auto"/>
        </w:rPr>
      </w:pPr>
    </w:p>
    <w:p>
      <w:pPr>
        <w:sectPr>
          <w:pgSz w:w="11900" w:h="16838" w:orient="portrait"/>
          <w:cols w:equalWidth="0" w:num="2">
            <w:col w:w="520" w:space="480"/>
            <w:col w:w="10220"/>
          </w:cols>
          <w:pgMar w:left="320" w:top="455" w:right="359" w:bottom="1440" w:gutter="0" w:footer="0" w:header="0"/>
          <w:type w:val="continuous"/>
        </w:sectPr>
      </w:pPr>
    </w:p>
    <w:p>
      <w:pPr>
        <w:ind w:left="1780" w:hanging="1327"/>
        <w:spacing w:after="0"/>
        <w:tabs>
          <w:tab w:leader="none" w:pos="17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outstanding warrants to purchase shares of Series G Preferred Stock as of</w:t>
      </w:r>
    </w:p>
    <w:p>
      <w:pPr>
        <w:sectPr>
          <w:pgSz w:w="11900" w:h="16838" w:orient="portrait"/>
          <w:cols w:equalWidth="0" w:num="1">
            <w:col w:w="11220"/>
          </w:cols>
          <w:pgMar w:left="320" w:top="455" w:right="359" w:bottom="1440" w:gutter="0" w:footer="0" w:header="0"/>
          <w:type w:val="continuous"/>
        </w:sectPr>
      </w:pPr>
    </w:p>
    <w:p>
      <w:pPr>
        <w:spacing w:after="0" w:line="39" w:lineRule="exact"/>
        <w:rPr>
          <w:sz w:val="20"/>
          <w:szCs w:val="20"/>
          <w:color w:val="auto"/>
        </w:rPr>
      </w:pPr>
    </w:p>
    <w:p>
      <w:pPr>
        <w:ind w:left="1900"/>
        <w:spacing w:after="0"/>
        <w:tabs>
          <w:tab w:leader="none" w:pos="6320" w:val="left"/>
        </w:tabs>
        <w:rPr>
          <w:sz w:val="20"/>
          <w:szCs w:val="20"/>
          <w:color w:val="auto"/>
        </w:rPr>
      </w:pP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8"/>
          <w:szCs w:val="18"/>
          <w:color w:val="auto"/>
        </w:rPr>
        <w:t>per share; and</w:t>
      </w:r>
    </w:p>
    <w:p>
      <w:pPr>
        <w:sectPr>
          <w:pgSz w:w="11900" w:h="16838" w:orient="portrait"/>
          <w:cols w:equalWidth="0" w:num="1">
            <w:col w:w="11220"/>
          </w:cols>
          <w:pgMar w:left="320" w:top="455" w:right="359" w:bottom="1440" w:gutter="0" w:footer="0" w:header="0"/>
          <w:type w:val="continuous"/>
        </w:sectPr>
      </w:pP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hanging="763"/>
        <w:spacing w:after="0" w:line="282" w:lineRule="auto"/>
        <w:rPr>
          <w:sz w:val="20"/>
          <w:szCs w:val="20"/>
          <w:color w:val="auto"/>
        </w:rPr>
      </w:pPr>
      <w:r>
        <w:rPr>
          <w:rFonts w:ascii="Times New Roman" w:cs="Times New Roman" w:eastAsia="Times New Roman" w:hAnsi="Times New Roman"/>
          <w:sz w:val="18"/>
          <w:szCs w:val="18"/>
          <w:color w:val="auto"/>
        </w:rPr>
        <w:t>additional shares of common stock reserved for future issuance under our 2016 Incentive Plan as of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 2020, plus an , 2020.</w:t>
      </w:r>
    </w:p>
    <w:p>
      <w:pPr>
        <w:spacing w:after="0" w:line="94" w:lineRule="exact"/>
        <w:rPr>
          <w:sz w:val="20"/>
          <w:szCs w:val="20"/>
          <w:color w:val="auto"/>
        </w:rPr>
      </w:pPr>
    </w:p>
    <w:p>
      <w:pPr>
        <w:sectPr>
          <w:pgSz w:w="11900" w:h="16838" w:orient="portrait"/>
          <w:cols w:equalWidth="0" w:num="4">
            <w:col w:w="520" w:space="480"/>
            <w:col w:w="820" w:space="720"/>
            <w:col w:w="6400" w:space="460"/>
            <w:col w:w="1820"/>
          </w:cols>
          <w:pgMar w:left="320" w:top="455"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455" w:right="35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76" w:lineRule="exact"/>
        <w:rPr>
          <w:sz w:val="20"/>
          <w:szCs w:val="20"/>
          <w:color w:val="auto"/>
        </w:rPr>
      </w:pPr>
    </w:p>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Our pro forma net tangible book value of our common stock as of June 30, 2020 was $ million, or $ per share, based on the total number of shares of our common stock outstanding as of June 30, 2020. Pro forma net tangible book value per share represents our total tangible assets less our total liabilities, divided by the number of outstanding shares of common stock, after giving effect to the conversion of all outstanding shares of</w:t>
      </w:r>
    </w:p>
    <w:p>
      <w:pPr>
        <w:spacing w:after="0" w:line="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preferred stock and convertible debt into</w:t>
      </w:r>
      <w:r>
        <w:rPr>
          <w:sz w:val="20"/>
          <w:szCs w:val="20"/>
          <w:color w:val="auto"/>
        </w:rPr>
        <w:tab/>
      </w:r>
      <w:r>
        <w:rPr>
          <w:rFonts w:ascii="Times New Roman" w:cs="Times New Roman" w:eastAsia="Times New Roman" w:hAnsi="Times New Roman"/>
          <w:sz w:val="17"/>
          <w:szCs w:val="17"/>
          <w:color w:val="auto"/>
        </w:rPr>
        <w:t>shares of common stock immediately upon the closing of this offering.</w:t>
      </w:r>
    </w:p>
    <w:p>
      <w:pPr>
        <w:spacing w:after="0" w:line="20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After giving effect to the conversion of our outstanding preferred stock into shares of common stock immediately upon the closing of this offering and the receipt of the net proceeds from our sale of shares of common stock in this offering at an assumed initial public offering price of</w:t>
      </w:r>
    </w:p>
    <w:p>
      <w:pPr>
        <w:ind w:right="240" w:firstLine="8"/>
        <w:spacing w:after="0" w:line="265" w:lineRule="auto"/>
        <w:tabs>
          <w:tab w:leader="none" w:pos="85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the midpoint of the estimated offering price range set forth on the cover page of this prospectus, after deducting underwriting discounts and commissions and estimated offering expenses payable by us, our pro forma as adjusted net tangible book value as of June 30, 2020, would</w:t>
      </w:r>
    </w:p>
    <w:tbl>
      <w:tblPr>
        <w:tblLayout w:type="fixed"/>
        <w:tblInd w:w="0" w:type="dxa"/>
        <w:tblCellMar>
          <w:top w:w="0" w:type="dxa"/>
          <w:left w:w="0" w:type="dxa"/>
          <w:bottom w:w="0" w:type="dxa"/>
          <w:right w:w="0" w:type="dxa"/>
        </w:tblCellMar>
      </w:tblPr>
      <w:tr>
        <w:trPr>
          <w:trHeight w:val="198"/>
        </w:trPr>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have been $</w:t>
            </w:r>
          </w:p>
        </w:tc>
        <w:tc>
          <w:tcPr>
            <w:tcW w:w="166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million, or $</w:t>
            </w:r>
          </w:p>
        </w:tc>
        <w:tc>
          <w:tcPr>
            <w:tcW w:w="760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w w:val="99"/>
              </w:rPr>
              <w:t>per share. This represents an immediate increase in pro forma as adjusted net tangible book value of</w:t>
            </w:r>
          </w:p>
        </w:tc>
        <w:tc>
          <w:tcPr>
            <w:tcW w:w="74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per share to our existing stockholders and immediate dilution of $</w:t>
            </w:r>
          </w:p>
        </w:tc>
        <w:tc>
          <w:tcPr>
            <w:tcW w:w="49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per share to investors purchasing common stock in this offering.</w:t>
            </w:r>
          </w:p>
        </w:tc>
      </w:tr>
      <w:tr>
        <w:trPr>
          <w:trHeight w:val="432"/>
        </w:trPr>
        <w:tc>
          <w:tcPr>
            <w:tcW w:w="240" w:type="dxa"/>
            <w:vAlign w:val="bottom"/>
          </w:tcPr>
          <w:p>
            <w:pPr>
              <w:spacing w:after="0"/>
              <w:rPr>
                <w:sz w:val="24"/>
                <w:szCs w:val="24"/>
                <w:color w:val="auto"/>
              </w:rPr>
            </w:pP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320" w:type="dxa"/>
            <w:vAlign w:val="bottom"/>
            <w:gridSpan w:val="4"/>
          </w:tcPr>
          <w:p>
            <w:pPr>
              <w:spacing w:after="0"/>
              <w:rPr>
                <w:sz w:val="21"/>
                <w:szCs w:val="21"/>
                <w:color w:val="auto"/>
              </w:rPr>
            </w:pPr>
          </w:p>
        </w:tc>
        <w:tc>
          <w:tcPr>
            <w:tcW w:w="4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our common stock</w:t>
            </w: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240" w:type="dxa"/>
            <w:vAlign w:val="bottom"/>
          </w:tcPr>
          <w:p>
            <w:pPr>
              <w:spacing w:after="0"/>
              <w:rPr>
                <w:sz w:val="18"/>
                <w:szCs w:val="18"/>
                <w:color w:val="auto"/>
              </w:rPr>
            </w:pPr>
          </w:p>
        </w:tc>
        <w:tc>
          <w:tcPr>
            <w:tcW w:w="6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2020</w:t>
            </w:r>
          </w:p>
        </w:tc>
        <w:tc>
          <w:tcPr>
            <w:tcW w:w="4180" w:type="dxa"/>
            <w:vAlign w:val="bottom"/>
          </w:tcPr>
          <w:p>
            <w:pPr>
              <w:spacing w:after="0"/>
              <w:rPr>
                <w:sz w:val="18"/>
                <w:szCs w:val="18"/>
                <w:color w:val="auto"/>
              </w:rPr>
            </w:pPr>
          </w:p>
        </w:tc>
        <w:tc>
          <w:tcPr>
            <w:tcW w:w="7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24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4180" w:type="dxa"/>
            <w:vAlign w:val="bottom"/>
          </w:tcPr>
          <w:p>
            <w:pPr>
              <w:spacing w:after="0"/>
              <w:rPr>
                <w:sz w:val="18"/>
                <w:szCs w:val="18"/>
                <w:color w:val="auto"/>
              </w:rPr>
            </w:pPr>
          </w:p>
        </w:tc>
        <w:tc>
          <w:tcPr>
            <w:tcW w:w="7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6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of net tangible book value per share to new investors</w:t>
            </w: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19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would increase or decrease, respectively, our pro forma as adjusted net tangible book value per share after this offering by $ per share and the dilution to new investors by $ per share,</w:t>
      </w:r>
    </w:p>
    <w:p>
      <w:pPr>
        <w:ind w:right="20"/>
        <w:spacing w:after="0" w:line="250" w:lineRule="auto"/>
        <w:rPr>
          <w:sz w:val="20"/>
          <w:szCs w:val="20"/>
          <w:color w:val="auto"/>
        </w:rPr>
      </w:pPr>
      <w:r>
        <w:rPr>
          <w:rFonts w:ascii="Times New Roman" w:cs="Times New Roman" w:eastAsia="Times New Roman" w:hAnsi="Times New Roman"/>
          <w:sz w:val="18"/>
          <w:szCs w:val="18"/>
          <w:color w:val="auto"/>
        </w:rPr>
        <w:t>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w:t>
      </w:r>
    </w:p>
    <w:p>
      <w:pPr>
        <w:spacing w:after="0" w:line="1"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would increase the pro forma as adjusted net tangible book value by $</w:t>
      </w:r>
      <w:r>
        <w:rPr>
          <w:sz w:val="20"/>
          <w:szCs w:val="20"/>
          <w:color w:val="auto"/>
        </w:rPr>
        <w:tab/>
      </w:r>
      <w:r>
        <w:rPr>
          <w:rFonts w:ascii="Times New Roman" w:cs="Times New Roman" w:eastAsia="Times New Roman" w:hAnsi="Times New Roman"/>
          <w:sz w:val="18"/>
          <w:szCs w:val="18"/>
          <w:color w:val="auto"/>
        </w:rPr>
        <w:t>per share and the dilution to new investors would decrease by $</w:t>
      </w:r>
    </w:p>
    <w:p>
      <w:pPr>
        <w:spacing w:after="0" w:line="9" w:lineRule="exact"/>
        <w:rPr>
          <w:sz w:val="20"/>
          <w:szCs w:val="20"/>
          <w:color w:val="auto"/>
        </w:rPr>
      </w:pPr>
    </w:p>
    <w:p>
      <w:pPr>
        <w:ind w:right="60"/>
        <w:spacing w:after="0" w:line="625" w:lineRule="auto"/>
        <w:rPr>
          <w:sz w:val="20"/>
          <w:szCs w:val="20"/>
          <w:color w:val="auto"/>
        </w:rPr>
      </w:pPr>
      <w:r>
        <w:rPr>
          <w:rFonts w:ascii="Times New Roman" w:cs="Times New Roman" w:eastAsia="Times New Roman" w:hAnsi="Times New Roman"/>
          <w:sz w:val="18"/>
          <w:szCs w:val="18"/>
          <w:color w:val="auto"/>
        </w:rPr>
        <w:t>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per share and the dilution to new investors would increase by $ per share, assuming the assumed initial public offering price remains the same and after deducting underwriting discounts and commissions.</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over-allotment option in full, the pro forma as adjusted net tangible book value per share after giving effect to this offering would be $ per share, and the dilution in pro forma as adjusted net tangible book value per share to new investors in this offering would be $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as of June 30, 2020:</w:t>
      </w:r>
    </w:p>
    <w:p>
      <w:pPr>
        <w:spacing w:after="0" w:line="131" w:lineRule="exact"/>
        <w:rPr>
          <w:sz w:val="20"/>
          <w:szCs w:val="20"/>
          <w:color w:val="auto"/>
        </w:rPr>
      </w:pPr>
    </w:p>
    <w:p>
      <w:pPr>
        <w:ind w:left="1000" w:right="220" w:hanging="547"/>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purchased from us by our existing stockholders and by new investors purchasing shares in this offering;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455"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by our existing stockholders and by new investors purchasing shares in this offering, assuming an initial</w:t>
      </w:r>
    </w:p>
    <w:p>
      <w:pPr>
        <w:spacing w:after="0" w:line="27" w:lineRule="exact"/>
        <w:rPr>
          <w:sz w:val="20"/>
          <w:szCs w:val="20"/>
          <w:color w:val="auto"/>
        </w:rPr>
      </w:pPr>
    </w:p>
    <w:p>
      <w:pPr>
        <w:jc w:val="both"/>
        <w:ind w:left="1000" w:right="20"/>
        <w:spacing w:after="0" w:line="260" w:lineRule="auto"/>
        <w:rPr>
          <w:sz w:val="20"/>
          <w:szCs w:val="20"/>
          <w:color w:val="auto"/>
        </w:rPr>
      </w:pPr>
      <w:r>
        <w:rPr>
          <w:rFonts w:ascii="Times New Roman" w:cs="Times New Roman" w:eastAsia="Times New Roman" w:hAnsi="Times New Roman"/>
          <w:sz w:val="18"/>
          <w:szCs w:val="18"/>
          <w:color w:val="auto"/>
        </w:rPr>
        <w:t>public offering price of $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303"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paid by existing stockholders and by new investors purchasing shares in this offering.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tcPr>
          <w:p>
            <w:pPr>
              <w:spacing w:after="0"/>
              <w:rPr>
                <w:sz w:val="13"/>
                <w:szCs w:val="13"/>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656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00" w:type="dxa"/>
            <w:vAlign w:val="bottom"/>
          </w:tcPr>
          <w:p>
            <w:pPr>
              <w:spacing w:after="0"/>
              <w:rPr>
                <w:sz w:val="4"/>
                <w:szCs w:val="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over-allotment option. If the underwriters exercise their over-allotment option in full, our existing stockholders would own % and our new investors would own % of the total number of shares of common stock outstanding upon the closing of this offering.</w:t>
      </w:r>
    </w:p>
    <w:p>
      <w:pPr>
        <w:spacing w:after="0" w:line="176" w:lineRule="exact"/>
        <w:rPr>
          <w:sz w:val="20"/>
          <w:szCs w:val="20"/>
          <w:color w:val="auto"/>
        </w:rPr>
      </w:pPr>
    </w:p>
    <w:p>
      <w:pPr>
        <w:ind w:left="460"/>
        <w:spacing w:after="0"/>
        <w:tabs>
          <w:tab w:leader="none" w:pos="7640" w:val="left"/>
        </w:tabs>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w:t>
      </w:r>
      <w:r>
        <w:rPr>
          <w:sz w:val="20"/>
          <w:szCs w:val="20"/>
          <w:color w:val="auto"/>
        </w:rPr>
        <w:tab/>
      </w:r>
      <w:r>
        <w:rPr>
          <w:rFonts w:ascii="Times New Roman" w:cs="Times New Roman" w:eastAsia="Times New Roman" w:hAnsi="Times New Roman"/>
          <w:sz w:val="17"/>
          <w:szCs w:val="17"/>
          <w:color w:val="auto"/>
        </w:rPr>
        <w:t>shares of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and excludes:</w:t>
      </w:r>
    </w:p>
    <w:p>
      <w:pPr>
        <w:spacing w:after="0" w:line="112" w:lineRule="exact"/>
        <w:rPr>
          <w:sz w:val="20"/>
          <w:szCs w:val="20"/>
          <w:color w:val="auto"/>
        </w:rPr>
      </w:pPr>
    </w:p>
    <w:p>
      <w:pPr>
        <w:ind w:left="1780" w:hanging="1327"/>
        <w:spacing w:after="0"/>
        <w:tabs>
          <w:tab w:leader="none" w:pos="1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stock options outstanding as of June 30, 2020, with a weighted-average</w:t>
      </w:r>
    </w:p>
    <w:p>
      <w:pPr>
        <w:sectPr>
          <w:pgSz w:w="11900" w:h="16838" w:orient="portrait"/>
          <w:cols w:equalWidth="0" w:num="1">
            <w:col w:w="11240"/>
          </w:cols>
          <w:pgMar w:left="320" w:top="455" w:right="339" w:bottom="1440" w:gutter="0" w:footer="0" w:header="0"/>
        </w:sectPr>
      </w:pPr>
    </w:p>
    <w:p>
      <w:pPr>
        <w:spacing w:after="0" w:line="27" w:lineRule="exact"/>
        <w:rPr>
          <w:sz w:val="20"/>
          <w:szCs w:val="20"/>
          <w:color w:val="auto"/>
        </w:rPr>
      </w:pPr>
    </w:p>
    <w:p>
      <w:pPr>
        <w:ind w:left="1000" w:right="840"/>
        <w:spacing w:after="0" w:line="260" w:lineRule="auto"/>
        <w:rPr>
          <w:sz w:val="20"/>
          <w:szCs w:val="20"/>
          <w:color w:val="auto"/>
        </w:rPr>
      </w:pPr>
      <w:r>
        <w:rPr>
          <w:rFonts w:ascii="Times New Roman" w:cs="Times New Roman" w:eastAsia="Times New Roman" w:hAnsi="Times New Roman"/>
          <w:sz w:val="18"/>
          <w:szCs w:val="18"/>
          <w:color w:val="auto"/>
        </w:rPr>
        <w:t>exercise price of $ per share, plus shares of common stock issuable upon the exercise of stock options granted subsequent to , 2020, with a weighted-average exercise price of $ per share;</w:t>
      </w:r>
    </w:p>
    <w:p>
      <w:pPr>
        <w:sectPr>
          <w:pgSz w:w="11900" w:h="16838" w:orient="portrait"/>
          <w:cols w:equalWidth="0" w:num="1">
            <w:col w:w="11240"/>
          </w:cols>
          <w:pgMar w:left="320" w:top="455" w:right="339" w:bottom="1440" w:gutter="0" w:footer="0" w:header="0"/>
          <w:type w:val="continuous"/>
        </w:sectPr>
      </w:pPr>
    </w:p>
    <w:p>
      <w:pPr>
        <w:spacing w:after="0" w:line="87" w:lineRule="exact"/>
        <w:rPr>
          <w:sz w:val="20"/>
          <w:szCs w:val="20"/>
          <w:color w:val="auto"/>
        </w:rPr>
      </w:pPr>
    </w:p>
    <w:p>
      <w:pPr>
        <w:ind w:left="1780" w:hanging="1327"/>
        <w:spacing w:after="0"/>
        <w:tabs>
          <w:tab w:leader="none" w:pos="17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issuable upon the exercise of outstanding warrants to purchase shares of Series G Preferred Stock as of</w:t>
      </w:r>
    </w:p>
    <w:p>
      <w:pPr>
        <w:sectPr>
          <w:pgSz w:w="11900" w:h="16838" w:orient="portrait"/>
          <w:cols w:equalWidth="0" w:num="1">
            <w:col w:w="11240"/>
          </w:cols>
          <w:pgMar w:left="320" w:top="455" w:right="339" w:bottom="1440" w:gutter="0" w:footer="0" w:header="0"/>
          <w:type w:val="continuous"/>
        </w:sectPr>
      </w:pPr>
    </w:p>
    <w:p>
      <w:pPr>
        <w:spacing w:after="0" w:line="39" w:lineRule="exact"/>
        <w:rPr>
          <w:sz w:val="20"/>
          <w:szCs w:val="20"/>
          <w:color w:val="auto"/>
        </w:rPr>
      </w:pPr>
    </w:p>
    <w:p>
      <w:pPr>
        <w:ind w:left="1900"/>
        <w:spacing w:after="0"/>
        <w:tabs>
          <w:tab w:leader="none" w:pos="6320" w:val="left"/>
        </w:tabs>
        <w:rPr>
          <w:sz w:val="20"/>
          <w:szCs w:val="20"/>
          <w:color w:val="auto"/>
        </w:rPr>
      </w:pPr>
      <w:r>
        <w:rPr>
          <w:rFonts w:ascii="Times New Roman" w:cs="Times New Roman" w:eastAsia="Times New Roman" w:hAnsi="Times New Roman"/>
          <w:sz w:val="18"/>
          <w:szCs w:val="18"/>
          <w:color w:val="auto"/>
        </w:rPr>
        <w:t>, 2020, with a weighted-average exercise price of $</w:t>
      </w:r>
      <w:r>
        <w:rPr>
          <w:sz w:val="20"/>
          <w:szCs w:val="20"/>
          <w:color w:val="auto"/>
        </w:rPr>
        <w:tab/>
      </w:r>
      <w:r>
        <w:rPr>
          <w:rFonts w:ascii="Times New Roman" w:cs="Times New Roman" w:eastAsia="Times New Roman" w:hAnsi="Times New Roman"/>
          <w:sz w:val="18"/>
          <w:szCs w:val="18"/>
          <w:color w:val="auto"/>
        </w:rPr>
        <w:t>per share; and</w:t>
      </w:r>
    </w:p>
    <w:p>
      <w:pPr>
        <w:sectPr>
          <w:pgSz w:w="11900" w:h="16838" w:orient="portrait"/>
          <w:cols w:equalWidth="0" w:num="1">
            <w:col w:w="11240"/>
          </w:cols>
          <w:pgMar w:left="320" w:top="455" w:right="339" w:bottom="1440" w:gutter="0" w:footer="0" w:header="0"/>
          <w:type w:val="continuous"/>
        </w:sectPr>
      </w:pP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firstLine="585"/>
        <w:spacing w:after="0" w:line="282" w:lineRule="auto"/>
        <w:rPr>
          <w:sz w:val="20"/>
          <w:szCs w:val="20"/>
          <w:color w:val="auto"/>
        </w:rPr>
      </w:pPr>
      <w:r>
        <w:rPr>
          <w:rFonts w:ascii="Times New Roman" w:cs="Times New Roman" w:eastAsia="Times New Roman" w:hAnsi="Times New Roman"/>
          <w:sz w:val="18"/>
          <w:szCs w:val="18"/>
          <w:color w:val="auto"/>
        </w:rPr>
        <w:t>additional shares of common stock reserved for future issuance under our 2016 Incentive Plan as of additional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80" w:firstLine="289"/>
        <w:spacing w:after="0" w:line="282" w:lineRule="auto"/>
        <w:rPr>
          <w:sz w:val="20"/>
          <w:szCs w:val="20"/>
          <w:color w:val="auto"/>
        </w:rPr>
      </w:pPr>
      <w:r>
        <w:rPr>
          <w:rFonts w:ascii="Times New Roman" w:cs="Times New Roman" w:eastAsia="Times New Roman" w:hAnsi="Times New Roman"/>
          <w:sz w:val="18"/>
          <w:szCs w:val="18"/>
          <w:color w:val="auto"/>
        </w:rPr>
        <w:t>, 2020, plus an , 2020.</w:t>
      </w:r>
    </w:p>
    <w:p>
      <w:pPr>
        <w:spacing w:after="0" w:line="162" w:lineRule="exact"/>
        <w:rPr>
          <w:sz w:val="20"/>
          <w:szCs w:val="20"/>
          <w:color w:val="auto"/>
        </w:rPr>
      </w:pPr>
    </w:p>
    <w:p>
      <w:pPr>
        <w:sectPr>
          <w:pgSz w:w="11900" w:h="16838" w:orient="portrait"/>
          <w:cols w:equalWidth="0" w:num="3">
            <w:col w:w="520" w:space="480"/>
            <w:col w:w="7760" w:space="640"/>
            <w:col w:w="1840"/>
          </w:cols>
          <w:pgMar w:left="320" w:top="455" w:right="339" w:bottom="1440" w:gutter="0" w:footer="0" w:header="0"/>
          <w:type w:val="continuous"/>
        </w:sectPr>
      </w:pPr>
    </w:p>
    <w:p>
      <w:pPr>
        <w:ind w:left="460"/>
        <w:spacing w:after="0"/>
        <w:tabs>
          <w:tab w:leader="none" w:pos="6940" w:val="left"/>
        </w:tabs>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the midpoint of the estimated offering price</w:t>
      </w:r>
    </w:p>
    <w:p>
      <w:pPr>
        <w:sectPr>
          <w:pgSz w:w="11900" w:h="16838" w:orient="portrait"/>
          <w:cols w:equalWidth="0" w:num="1">
            <w:col w:w="11240"/>
          </w:cols>
          <w:pgMar w:left="320" w:top="455"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range set forth on the cover page of this prospectus, would increase or decrease, respectively, the total consideration paid by new investors by $</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million and increase or decrease, respectively, the total consideration paid by new investors by %, assuming that the number of shares offered by us, as set forth on the cover page of this prospectus, remains the same and before deducting underwriting discounts and commissions.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455" w:right="3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20,432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25,899</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(23,461)</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(26,166)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271,344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155,126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74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5380" w:type="dxa"/>
            <w:vAlign w:val="bottom"/>
            <w:gridSpan w:val="2"/>
          </w:tcPr>
          <w:p>
            <w:pPr>
              <w:jc w:val="center"/>
              <w:ind w:left="4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payable</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payable</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0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(248,835)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(246,444)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(228,539)</w:t>
            </w:r>
          </w:p>
        </w:tc>
      </w:tr>
      <w:tr>
        <w:trPr>
          <w:trHeight w:val="364"/>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Times New Roman" w:cs="Times New Roman" w:eastAsia="Times New Roman" w:hAnsi="Times New Roman"/>
                <w:sz w:val="18"/>
                <w:szCs w:val="18"/>
                <w:color w:val="auto"/>
              </w:rPr>
              <w:t>82</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87"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81" w:lineRule="exact"/>
        <w:rPr>
          <w:sz w:val="20"/>
          <w:szCs w:val="20"/>
          <w:color w:val="auto"/>
        </w:rPr>
      </w:pPr>
    </w:p>
    <w:p>
      <w:pPr>
        <w:ind w:left="1000" w:right="560" w:hanging="547"/>
        <w:spacing w:after="0" w:line="28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color w:val="auto"/>
        </w:rPr>
        <w:t>. This section provides a general description of our business as well as trends and other factors affecting our business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are necessary to understand our financial condition and results of operations.</w:t>
      </w:r>
    </w:p>
    <w:p>
      <w:pPr>
        <w:spacing w:after="0" w:line="60" w:lineRule="exact"/>
        <w:rPr>
          <w:rFonts w:ascii="Times New Roman" w:cs="Times New Roman" w:eastAsia="Times New Roman" w:hAnsi="Times New Roman"/>
          <w:sz w:val="18"/>
          <w:szCs w:val="18"/>
          <w:color w:val="auto"/>
        </w:rPr>
      </w:pPr>
    </w:p>
    <w:p>
      <w:pPr>
        <w:ind w:left="1000" w:right="520" w:hanging="547"/>
        <w:spacing w:after="0" w:line="28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Factors Affecting Our Performance</w:t>
      </w:r>
      <w:r>
        <w:rPr>
          <w:rFonts w:ascii="Times New Roman" w:cs="Times New Roman" w:eastAsia="Times New Roman" w:hAnsi="Times New Roman"/>
          <w:sz w:val="18"/>
          <w:szCs w:val="18"/>
          <w:color w:val="auto"/>
        </w:rPr>
        <w:t>. This section provides a description of the key factors that have historically, and that we expect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affect our business.</w:t>
      </w:r>
    </w:p>
    <w:p>
      <w:pPr>
        <w:spacing w:after="0" w:line="60" w:lineRule="exact"/>
        <w:rPr>
          <w:rFonts w:ascii="Times New Roman" w:cs="Times New Roman" w:eastAsia="Times New Roman" w:hAnsi="Times New Roman"/>
          <w:sz w:val="18"/>
          <w:szCs w:val="18"/>
          <w:color w:val="auto"/>
        </w:rPr>
      </w:pPr>
    </w:p>
    <w:p>
      <w:pPr>
        <w:ind w:left="1000" w:right="40" w:hanging="547"/>
        <w:spacing w:after="0" w:line="28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Operating Results</w:t>
      </w:r>
      <w:r>
        <w:rPr>
          <w:rFonts w:ascii="Times New Roman" w:cs="Times New Roman" w:eastAsia="Times New Roman" w:hAnsi="Times New Roman"/>
          <w:sz w:val="18"/>
          <w:szCs w:val="18"/>
          <w:color w:val="auto"/>
        </w:rPr>
        <w:t>. This section provides a description of our revenues and operating expenses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80" w:hanging="547"/>
        <w:spacing w:after="0" w:line="28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This section provides a discussion of the results of operations on a historical basis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2019 and the years ended December 31, 2019 and 2018.</w:t>
      </w:r>
    </w:p>
    <w:p>
      <w:pPr>
        <w:spacing w:after="0" w:line="60" w:lineRule="exact"/>
        <w:rPr>
          <w:rFonts w:ascii="Times New Roman" w:cs="Times New Roman" w:eastAsia="Times New Roman" w:hAnsi="Times New Roman"/>
          <w:sz w:val="18"/>
          <w:szCs w:val="18"/>
          <w:color w:val="auto"/>
        </w:rPr>
      </w:pPr>
    </w:p>
    <w:p>
      <w:pPr>
        <w:ind w:left="1000" w:right="140" w:hanging="547"/>
        <w:spacing w:after="0" w:line="28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This section provides an analysis of our ability to generate cash and to meet existing known or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likely future cash requirements.</w:t>
      </w:r>
    </w:p>
    <w:p>
      <w:pPr>
        <w:spacing w:after="0" w:line="60" w:lineRule="exact"/>
        <w:rPr>
          <w:rFonts w:ascii="Times New Roman" w:cs="Times New Roman" w:eastAsia="Times New Roman" w:hAnsi="Times New Roman"/>
          <w:sz w:val="18"/>
          <w:szCs w:val="18"/>
          <w:color w:val="auto"/>
        </w:rPr>
      </w:pPr>
    </w:p>
    <w:p>
      <w:pPr>
        <w:ind w:left="1000" w:right="40" w:hanging="547"/>
        <w:spacing w:after="0" w:line="26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r>
        <w:rPr>
          <w:rFonts w:ascii="Times New Roman" w:cs="Times New Roman" w:eastAsia="Times New Roman" w:hAnsi="Times New Roman"/>
          <w:sz w:val="18"/>
          <w:szCs w:val="18"/>
          <w:color w:val="auto"/>
        </w:rPr>
        <w:t>. This section discusses the accounting policies and estimates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important to our financial condition and results of operations and that require significant judgment and estimates on the part of management in their application.</w:t>
      </w:r>
    </w:p>
    <w:p>
      <w:pPr>
        <w:spacing w:after="0" w:line="7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r>
        <w:rPr>
          <w:rFonts w:ascii="Times New Roman" w:cs="Times New Roman" w:eastAsia="Times New Roman" w:hAnsi="Times New Roman"/>
          <w:sz w:val="18"/>
          <w:szCs w:val="18"/>
          <w:color w:val="auto"/>
        </w:rPr>
        <w:t>. This section discusses our exposure to interest rate risk</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Our scientific diagnostic expertise, technologies, and existing commercial infrastructure enabled us to rapidly commercialize two FDA EUA-authorized tests, a part of our customizable program. Bio-Rad has granted us permission to utilize the Bio-Rad ddPCR SARS-CoV-2 test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agreement with the State of Colorado to be one of the diagnostic companies to support widespread COVID-19 testing for the State. To date, we have not derived significant revenues from the State of Colorado partnership.</w:t>
      </w:r>
    </w:p>
    <w:p>
      <w:pPr>
        <w:spacing w:after="0" w:line="162"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200,000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3"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64"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hanging="547"/>
        <w:spacing w:after="0" w:line="254"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87" w:lineRule="exact"/>
        <w:rPr>
          <w:rFonts w:ascii="Times New Roman" w:cs="Times New Roman" w:eastAsia="Times New Roman" w:hAnsi="Times New Roman"/>
          <w:sz w:val="18"/>
          <w:szCs w:val="18"/>
          <w:color w:val="auto"/>
        </w:rPr>
      </w:pPr>
    </w:p>
    <w:p>
      <w:pPr>
        <w:ind w:left="1000" w:right="240" w:hanging="547"/>
        <w:spacing w:after="0" w:line="28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455" w:right="3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40"/>
        <w:spacing w:after="0" w:line="266" w:lineRule="auto"/>
        <w:rPr>
          <w:sz w:val="20"/>
          <w:szCs w:val="20"/>
          <w:color w:val="auto"/>
        </w:rPr>
      </w:pPr>
      <w:r>
        <w:rPr>
          <w:rFonts w:ascii="Times New Roman" w:cs="Times New Roman" w:eastAsia="Times New Roman" w:hAnsi="Times New Roman"/>
          <w:sz w:val="18"/>
          <w:szCs w:val="18"/>
          <w:color w:val="auto"/>
        </w:rPr>
        <w:t>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8" w:lineRule="exact"/>
        <w:rPr>
          <w:sz w:val="20"/>
          <w:szCs w:val="20"/>
          <w:color w:val="auto"/>
        </w:rPr>
      </w:pPr>
    </w:p>
    <w:p>
      <w:pPr>
        <w:ind w:left="1020" w:right="20"/>
        <w:spacing w:after="0" w:line="254" w:lineRule="auto"/>
        <w:rPr>
          <w:sz w:val="20"/>
          <w:szCs w:val="20"/>
          <w:color w:val="auto"/>
        </w:rPr>
      </w:pPr>
      <w:r>
        <w:rPr>
          <w:rFonts w:ascii="Times New Roman" w:cs="Times New Roman" w:eastAsia="Times New Roman" w:hAnsi="Times New Roman"/>
          <w:sz w:val="18"/>
          <w:szCs w:val="18"/>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90" w:lineRule="exact"/>
        <w:rPr>
          <w:sz w:val="20"/>
          <w:szCs w:val="20"/>
          <w:color w:val="auto"/>
        </w:rPr>
      </w:pPr>
    </w:p>
    <w:p>
      <w:pPr>
        <w:ind w:left="1000" w:right="20" w:hanging="547"/>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78" w:lineRule="exact"/>
        <w:rPr>
          <w:rFonts w:ascii="Times New Roman" w:cs="Times New Roman" w:eastAsia="Times New Roman" w:hAnsi="Times New Roman"/>
          <w:sz w:val="18"/>
          <w:szCs w:val="18"/>
          <w:color w:val="auto"/>
        </w:rPr>
      </w:pPr>
    </w:p>
    <w:p>
      <w:pPr>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81" w:lineRule="exact"/>
        <w:rPr>
          <w:rFonts w:ascii="Times New Roman" w:cs="Times New Roman" w:eastAsia="Times New Roman" w:hAnsi="Times New Roman"/>
          <w:sz w:val="18"/>
          <w:szCs w:val="18"/>
          <w:color w:val="auto"/>
        </w:rPr>
      </w:pPr>
    </w:p>
    <w:p>
      <w:pPr>
        <w:ind w:left="1000" w:right="160" w:hanging="547"/>
        <w:spacing w:after="0" w:line="254"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93" w:lineRule="exact"/>
        <w:rPr>
          <w:rFonts w:ascii="Times New Roman" w:cs="Times New Roman" w:eastAsia="Times New Roman" w:hAnsi="Times New Roman"/>
          <w:sz w:val="18"/>
          <w:szCs w:val="18"/>
          <w:color w:val="auto"/>
        </w:rPr>
      </w:pPr>
    </w:p>
    <w:p>
      <w:pPr>
        <w:ind w:left="1000" w:right="100" w:hanging="547"/>
        <w:spacing w:after="0" w:line="259"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455" w:right="3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66" w:lineRule="auto"/>
        <w:rPr>
          <w:sz w:val="20"/>
          <w:szCs w:val="20"/>
          <w:color w:val="auto"/>
        </w:rPr>
      </w:pPr>
      <w:r>
        <w:rPr>
          <w:rFonts w:ascii="Times New Roman" w:cs="Times New Roman" w:eastAsia="Times New Roman" w:hAnsi="Times New Roman"/>
          <w:sz w:val="18"/>
          <w:szCs w:val="18"/>
          <w:color w:val="auto"/>
        </w:rPr>
        <w:t>greater returns. Additionally, we plan to invest in the Boulder-based marketing and customer support teams to continue to provide the field team with the resources to be successful in the field. Furthermore, as we increase testing volume for our COVID-19 diagnostic tests, we plan to hire additional project support members to assist us in expanding testing capacity.</w:t>
      </w:r>
    </w:p>
    <w:p>
      <w:pPr>
        <w:spacing w:after="0" w:line="176"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“Risk Factors”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are also experiencing an increase in revenues related to an increase in the demand for our COVID-19 diagnostic testing products.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92" w:lineRule="exact"/>
        <w:rPr>
          <w:sz w:val="20"/>
          <w:szCs w:val="20"/>
          <w:color w:val="auto"/>
        </w:rPr>
      </w:pPr>
    </w:p>
    <w:p>
      <w:pPr>
        <w:ind w:right="800" w:firstLine="449"/>
        <w:spacing w:after="0" w:line="282" w:lineRule="auto"/>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240" w:firstLine="449"/>
        <w:spacing w:after="0" w:line="282"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455" w:right="3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research, development and testing services generally provided outside the clinical setting and governed by individual contracts with third parties as well as development and commercialization of companion diagnostics (Services).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62"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89"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service sold, sometimes subject to minimum annual royalties or fees in certain agreements. For a description of our material license agreements, please see “Business—Intellectual Property” and “—Material Agreements.”</w:t>
      </w:r>
    </w:p>
    <w:p>
      <w:pPr>
        <w:spacing w:after="0" w:line="162"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 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and Change in Fair Value of Contingent Consideration</w:t>
      </w:r>
    </w:p>
    <w:p>
      <w:pPr>
        <w:spacing w:after="0" w:line="11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3"/>
                <w:szCs w:val="13"/>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$ 24,552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25,899</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(393)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(14,168)</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(23,461)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(227)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(17,971)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(14,599)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(30,726)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(26,166)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 from our diagnostic tests and services that we provide.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$17,315</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7,237</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1,467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9,335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12,339</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(3,004)</w:t>
            </w: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24,552</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$9.3 million for the six months ended June 30, 2020 compared to $12.3 million for the six months ended June 30, 2019, a decrease of $3.0 million, or 24%.</w:t>
      </w:r>
    </w:p>
    <w:p>
      <w:pPr>
        <w:spacing w:after="0" w:line="162"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These impacts were partially offset by the release of two COVID-19 diagnostic tests.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0"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Total revenue was $24.6 million for the year ended December 31, 2019 compared to $20.4 million for the year ended December 31, 2018, an increase of 20%.</w:t>
      </w:r>
    </w:p>
    <w:p>
      <w:pPr>
        <w:spacing w:after="0" w:line="16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 Cost and Expenses</w:t>
      </w:r>
    </w:p>
    <w:p>
      <w:pPr>
        <w:spacing w:after="0" w:line="119"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 in 2020.</w:t>
      </w:r>
    </w:p>
    <w:p>
      <w:pPr>
        <w:spacing w:after="0" w:line="16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costs related to our clinical trial programs partially driven by slowdowns related to the COVID-19 pandemic.</w:t>
      </w:r>
    </w:p>
    <w:p>
      <w:pPr>
        <w:spacing w:after="0" w:line="176" w:lineRule="exact"/>
        <w:rPr>
          <w:sz w:val="20"/>
          <w:szCs w:val="20"/>
          <w:color w:val="auto"/>
        </w:rPr>
      </w:pPr>
    </w:p>
    <w:p>
      <w:pPr>
        <w:ind w:right="720"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$10.5 million for the year ended December 31, 2019 compared to $8.2 million for the year ended December 31, 2018, an increase of $2.3 million, or 28%. This increase in research and development expense was primarily due to an increase of $1.5 million in costs related to our clinical trials and related costs as we continue to create robust data to support our tests in the clinical setting.</w:t>
      </w:r>
    </w:p>
    <w:p>
      <w:pPr>
        <w:spacing w:after="0" w:line="176"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31" w:lineRule="exact"/>
        <w:rPr>
          <w:sz w:val="20"/>
          <w:szCs w:val="20"/>
          <w:color w:val="auto"/>
        </w:rPr>
      </w:pPr>
    </w:p>
    <w:p>
      <w:pPr>
        <w:ind w:left="1000" w:right="20" w:hanging="54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and consultants;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680" w:hanging="54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67" w:lineRule="exact"/>
        <w:rPr>
          <w:rFonts w:ascii="Times New Roman" w:cs="Times New Roman" w:eastAsia="Times New Roman" w:hAnsi="Times New Roman"/>
          <w:sz w:val="18"/>
          <w:szCs w:val="18"/>
          <w:color w:val="auto"/>
        </w:rPr>
      </w:pPr>
    </w:p>
    <w:p>
      <w:pPr>
        <w:ind w:left="1000" w:right="620" w:hanging="54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117"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related benefits and stock-based compensation expense for employees engaged in research and development functions.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Accretion of and Change in Fair Value of Contingent Consideration</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76"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76"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45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Put Option Liability</w:t>
      </w:r>
    </w:p>
    <w:p>
      <w:pPr>
        <w:spacing w:after="0" w:line="11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11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cash flows for six months ended June 30, 2020 and 2019 and the years ended December 31,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7"/>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76"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80"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76"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Payments due by period</w:t>
            </w:r>
            <w:r>
              <w:rPr>
                <w:rFonts w:ascii="Times New Roman" w:cs="Times New Roman" w:eastAsia="Times New Roman" w:hAnsi="Times New Roman"/>
                <w:sz w:val="12"/>
                <w:szCs w:val="12"/>
                <w:b w:val="1"/>
                <w:bCs w:val="1"/>
                <w:color w:val="auto"/>
              </w:rPr>
              <w:t>(5)</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20,541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accompanying balance sheets.</w:t>
      </w:r>
    </w:p>
    <w:p>
      <w:pPr>
        <w:spacing w:after="0" w:line="27"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is subject to a 3% prepayment penalty. In addition, upon maturity, a 2% back-end facility fee of $460,000 is due to the lender.</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that we may owe are not included as the timing of such payments is uncertain.</w:t>
      </w:r>
    </w:p>
    <w:p>
      <w:pPr>
        <w:spacing w:after="0" w:line="207"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8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For a description of our other indebtedness, please see “Certain Relationships and Related Person Transactions—Convertible Debt Financings” and “Description of Capital Stock—Convertible Debt.”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8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119"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58"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for convertible debt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455" w:right="3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 and common stock valuation</w:t>
      </w:r>
    </w:p>
    <w:p>
      <w:pPr>
        <w:spacing w:after="0" w:line="1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Starting January 1, 2019, upon adoption of Accounting Standards Update (ASU) 2018-07, Compensation—Stock Compensation</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 xml:space="preserve">(Topic 718),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8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76" w:lineRule="exact"/>
        <w:rPr>
          <w:sz w:val="20"/>
          <w:szCs w:val="20"/>
          <w:color w:val="auto"/>
        </w:rPr>
      </w:pPr>
    </w:p>
    <w:p>
      <w:pPr>
        <w:ind w:firstLine="449"/>
        <w:spacing w:after="0" w:line="312" w:lineRule="auto"/>
        <w:rPr>
          <w:sz w:val="20"/>
          <w:szCs w:val="20"/>
          <w:color w:val="auto"/>
        </w:rPr>
      </w:pPr>
      <w:r>
        <w:rPr>
          <w:rFonts w:ascii="Times New Roman" w:cs="Times New Roman" w:eastAsia="Times New Roman" w:hAnsi="Times New Roman"/>
          <w:sz w:val="17"/>
          <w:szCs w:val="17"/>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4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 of our common stock, exercising reasonable judgment and considering numerous objective and subjective factors, including:</w:t>
      </w:r>
    </w:p>
    <w:p>
      <w:pPr>
        <w:spacing w:after="0" w:line="85"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common stock performed by independent third-party valuation specialists;</w:t>
      </w:r>
    </w:p>
    <w:p>
      <w:pPr>
        <w:spacing w:after="0" w:line="130"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diagnostic testing sectors, as well as recently completed mergers and acquisitions of peer companies;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as a private company;</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67"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medical device industry sectors.</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80"/>
          </w:cols>
          <w:pgMar w:left="320" w:top="455" w:right="3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94"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89" w:lineRule="exact"/>
        <w:rPr>
          <w:sz w:val="20"/>
          <w:szCs w:val="20"/>
          <w:color w:val="auto"/>
        </w:rPr>
      </w:pPr>
    </w:p>
    <w:p>
      <w:pPr>
        <w:ind w:right="60" w:firstLine="449"/>
        <w:spacing w:after="0" w:line="277" w:lineRule="auto"/>
        <w:rPr>
          <w:sz w:val="20"/>
          <w:szCs w:val="20"/>
          <w:color w:val="auto"/>
        </w:rPr>
      </w:pPr>
      <w:r>
        <w:rPr>
          <w:rFonts w:ascii="Times New Roman" w:cs="Times New Roman" w:eastAsia="Times New Roman" w:hAnsi="Times New Roman"/>
          <w:sz w:val="17"/>
          <w:szCs w:val="17"/>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8"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55"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improve every patient’s lung disease care by empowering physicians with swift, comprehensive, and actionable insights.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response to the COVID-19 pandemic, through our partnership with Bio-Rad, we commercialized the Biodesix WorkSafe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testing program. Our scientific diagnostic expertise, technologies, and existing commercial infrastructure enabled us to rapidly commercialize two FDA EUA-authorized tests, a part of our customizable program. Bio-Rad has granted us permission to utilize the Bio-Rad ddPCR SARS-CoV-2 test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To date, we have not derived significant revenues from the State of Colorado partnership.</w:t>
      </w:r>
    </w:p>
    <w:p>
      <w:pPr>
        <w:spacing w:after="0" w:line="195"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76"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200,000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455" w:right="3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59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 – Clinical Unmet Needs</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81" w:lineRule="exact"/>
        <w:rPr>
          <w:sz w:val="20"/>
          <w:szCs w:val="20"/>
          <w:color w:val="auto"/>
        </w:rPr>
      </w:pPr>
    </w:p>
    <w:p>
      <w:pPr>
        <w:ind w:left="1000" w:hanging="547"/>
        <w:spacing w:after="0" w:line="25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line="257" w:lineRule="auto"/>
        <w:rPr>
          <w:sz w:val="20"/>
          <w:szCs w:val="20"/>
          <w:color w:val="auto"/>
        </w:rPr>
      </w:pPr>
      <w:r>
        <w:rPr>
          <w:rFonts w:ascii="Times New Roman" w:cs="Times New Roman" w:eastAsia="Times New Roman" w:hAnsi="Times New Roman"/>
          <w:sz w:val="18"/>
          <w:szCs w:val="18"/>
          <w:color w:val="auto"/>
        </w:rPr>
        <w:t xml:space="preserve">resulting in either </w:t>
      </w:r>
      <w:r>
        <w:rPr>
          <w:rFonts w:ascii="Times New Roman" w:cs="Times New Roman" w:eastAsia="Times New Roman" w:hAnsi="Times New Roman"/>
          <w:sz w:val="18"/>
          <w:szCs w:val="18"/>
          <w:i w:val="1"/>
          <w:iCs w:val="1"/>
          <w:color w:val="auto"/>
        </w:rPr>
        <w:t>overtreatment</w:t>
      </w:r>
      <w:r>
        <w:rPr>
          <w:rFonts w:ascii="Times New Roman" w:cs="Times New Roman" w:eastAsia="Times New Roman" w:hAnsi="Times New Roman"/>
          <w:sz w:val="18"/>
          <w:szCs w:val="18"/>
          <w:color w:val="auto"/>
        </w:rPr>
        <w:t xml:space="preserve"> of patients with benign nodules or </w:t>
      </w:r>
      <w:r>
        <w:rPr>
          <w:rFonts w:ascii="Times New Roman" w:cs="Times New Roman" w:eastAsia="Times New Roman" w:hAnsi="Times New Roman"/>
          <w:sz w:val="18"/>
          <w:szCs w:val="18"/>
          <w:i w:val="1"/>
          <w:iCs w:val="1"/>
          <w:color w:val="auto"/>
        </w:rPr>
        <w:t>undertreatment</w:t>
      </w:r>
      <w:r>
        <w:rPr>
          <w:rFonts w:ascii="Times New Roman" w:cs="Times New Roman" w:eastAsia="Times New Roman" w:hAnsi="Times New Roman"/>
          <w:sz w:val="18"/>
          <w:szCs w:val="18"/>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86" w:lineRule="exact"/>
        <w:rPr>
          <w:sz w:val="20"/>
          <w:szCs w:val="20"/>
          <w:color w:val="auto"/>
        </w:rPr>
      </w:pPr>
    </w:p>
    <w:p>
      <w:pPr>
        <w:ind w:left="1000" w:right="20" w:hanging="547"/>
        <w:spacing w:after="0" w:line="254"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 – Early Stage</w:t>
      </w:r>
      <w:r>
        <w:rPr>
          <w:rFonts w:ascii="Times New Roman" w:cs="Times New Roman" w:eastAsia="Times New Roman" w:hAnsi="Times New Roman"/>
          <w:sz w:val="18"/>
          <w:szCs w:val="18"/>
          <w:color w:val="auto"/>
        </w:rPr>
        <w:t>: We estimate that there are over 700,000 testing opportunities annually in the United States in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Times New Roman" w:cs="Times New Roman" w:eastAsia="Times New Roman" w:hAnsi="Times New Roman"/>
          <w:sz w:val="18"/>
          <w:szCs w:val="18"/>
          <w:color w:val="auto"/>
        </w:rPr>
      </w:pPr>
    </w:p>
    <w:p>
      <w:pPr>
        <w:ind w:left="1000" w:hanging="547"/>
        <w:spacing w:after="0" w:line="254"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 – 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93" w:lineRule="exact"/>
        <w:rPr>
          <w:rFonts w:ascii="Times New Roman" w:cs="Times New Roman" w:eastAsia="Times New Roman" w:hAnsi="Times New Roman"/>
          <w:sz w:val="18"/>
          <w:szCs w:val="18"/>
          <w:color w:val="auto"/>
        </w:rPr>
      </w:pPr>
    </w:p>
    <w:p>
      <w:pPr>
        <w:ind w:left="1000" w:right="100" w:hanging="547"/>
        <w:spacing w:after="0" w:line="25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800,000 testing opportunities in the United States for blood-based tumor and immune profiling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jc w:val="both"/>
        <w:ind w:right="20" w:firstLine="449"/>
        <w:spacing w:after="0" w:line="267" w:lineRule="auto"/>
        <w:rPr>
          <w:sz w:val="20"/>
          <w:szCs w:val="20"/>
          <w:color w:val="auto"/>
        </w:rPr>
      </w:pPr>
      <w:r>
        <w:rPr>
          <w:rFonts w:ascii="Times New Roman" w:cs="Times New Roman" w:eastAsia="Times New Roman" w:hAnsi="Times New Roman"/>
          <w:sz w:val="18"/>
          <w:szCs w:val="18"/>
          <w:color w:val="auto"/>
        </w:rPr>
        <w:t>We estimate the biopharmaceutical biomarker testing and companion diagnostic market opportunity is $2 billion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455" w:right="3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85" w:lineRule="exact"/>
        <w:rPr>
          <w:sz w:val="20"/>
          <w:szCs w:val="20"/>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30"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7" w:lineRule="exact"/>
        <w:rPr>
          <w:rFonts w:ascii="Times New Roman" w:cs="Times New Roman" w:eastAsia="Times New Roman" w:hAnsi="Times New Roman"/>
          <w:sz w:val="18"/>
          <w:szCs w:val="18"/>
          <w:color w:val="auto"/>
        </w:rPr>
      </w:pPr>
    </w:p>
    <w:p>
      <w:pPr>
        <w:ind w:left="1440" w:right="32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a long period of time. It is often difficult to meet enrollment goals for clinical trials with slow diagnostic testing turnaround times.</w:t>
      </w:r>
    </w:p>
    <w:p>
      <w:pPr>
        <w:spacing w:after="0" w:line="63" w:lineRule="exact"/>
        <w:rPr>
          <w:rFonts w:ascii="Times New Roman" w:cs="Times New Roman" w:eastAsia="Times New Roman" w:hAnsi="Times New Roman"/>
          <w:sz w:val="18"/>
          <w:szCs w:val="18"/>
          <w:color w:val="auto"/>
        </w:rPr>
      </w:pPr>
    </w:p>
    <w:p>
      <w:pPr>
        <w:ind w:left="1000" w:right="460" w:hanging="547"/>
        <w:spacing w:after="0" w:line="26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Companion Diagnostics (CDx): </w:t>
      </w:r>
      <w:r>
        <w:rPr>
          <w:rFonts w:ascii="Times New Roman" w:cs="Times New Roman" w:eastAsia="Times New Roman" w:hAnsi="Times New Roman"/>
          <w:sz w:val="18"/>
          <w:szCs w:val="18"/>
          <w:color w:val="auto"/>
        </w:rPr>
        <w:t>While developing companion diagnostics is critical to precision medicine, the promise of companion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0" w:lineRule="exact"/>
        <w:rPr>
          <w:rFonts w:ascii="Times New Roman" w:cs="Times New Roman" w:eastAsia="Times New Roman" w:hAnsi="Times New Roman"/>
          <w:sz w:val="18"/>
          <w:szCs w:val="18"/>
          <w:color w:val="auto"/>
        </w:rPr>
      </w:pPr>
    </w:p>
    <w:p>
      <w:pPr>
        <w:ind w:left="1440" w:right="8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companion diagnostic agreements may fail to realize the full value of a testing opportunity, leading to difficulty in funding appropriate commercialization.</w:t>
      </w:r>
    </w:p>
    <w:p>
      <w:pPr>
        <w:spacing w:after="0" w:line="67" w:lineRule="exact"/>
        <w:rPr>
          <w:rFonts w:ascii="Times New Roman" w:cs="Times New Roman" w:eastAsia="Times New Roman" w:hAnsi="Times New Roman"/>
          <w:sz w:val="18"/>
          <w:szCs w:val="18"/>
          <w:color w:val="auto"/>
        </w:rPr>
      </w:pPr>
    </w:p>
    <w:p>
      <w:pPr>
        <w:ind w:left="1440" w:right="260" w:hanging="433"/>
        <w:spacing w:after="0" w:line="282" w:lineRule="auto"/>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companion diagnostics.</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AI Platform</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76"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8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80"/>
          </w:cols>
          <w:pgMar w:left="320" w:top="455" w:right="3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8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691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440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80"/>
          </w:cols>
          <w:pgMar w:left="320" w:top="455" w:right="3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8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four blood-based diagnostic tests across the lung cancer continuum of care to help address clinical unmet needs by physicians.</w:t>
      </w:r>
    </w:p>
    <w:p>
      <w:pPr>
        <w:spacing w:after="0" w:line="248" w:lineRule="exact"/>
        <w:rPr>
          <w:sz w:val="20"/>
          <w:szCs w:val="20"/>
          <w:color w:val="auto"/>
        </w:rPr>
      </w:pPr>
    </w:p>
    <w:p>
      <w:pPr>
        <w:ind w:left="1000" w:right="60" w:hanging="547"/>
        <w:spacing w:after="0" w:line="259"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06" w:lineRule="exact"/>
        <w:rPr>
          <w:rFonts w:ascii="Times New Roman" w:cs="Times New Roman" w:eastAsia="Times New Roman" w:hAnsi="Times New Roman"/>
          <w:sz w:val="18"/>
          <w:szCs w:val="18"/>
          <w:color w:val="auto"/>
        </w:rPr>
      </w:pPr>
    </w:p>
    <w:p>
      <w:pPr>
        <w:ind w:left="1000" w:right="60" w:hanging="547"/>
        <w:spacing w:after="0" w:line="259"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imminent need for a blood-based testing solution that measures tumor-specific mutations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6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 profile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21170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455"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150495</wp:posOffset>
            </wp:positionV>
            <wp:extent cx="5186045" cy="258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CDT</w:t>
      </w:r>
    </w:p>
    <w:p>
      <w:pPr>
        <w:spacing w:after="0" w:line="11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8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7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Nodify XL2</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0"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455" w:right="3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circulation in the patient’s blood. The native proteins from which the peptides are derived, have been associated with an inflammatory response to cancer.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factors are patient age and smoking status, and radiological factors are nodule size, location, and edge characteristics.</w:t>
      </w:r>
    </w:p>
    <w:p>
      <w:pPr>
        <w:spacing w:after="0" w:line="20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6492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8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00"/>
          </w:cols>
          <w:pgMar w:left="320" w:top="455" w:right="3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GeneStrat</w:t>
      </w:r>
    </w:p>
    <w:p>
      <w:pPr>
        <w:spacing w:after="0" w:line="11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GeneStrat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 BRAF,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genes, whichever they deem medically necessary for the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80"/>
          </w:cols>
          <w:pgMar w:left="320" w:top="455" w:right="3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8543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45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VeriStrat</w:t>
      </w:r>
    </w:p>
    <w:p>
      <w:pPr>
        <w:spacing w:after="0" w:line="11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431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58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Biodesix WorkSafe COVID-19 Testing Program</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8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320" w:top="455" w:right="3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To date, we have not derived significant revenues from these partnerships.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87"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455" w:right="3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425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100" w:hanging="547"/>
        <w:spacing w:after="0" w:line="259"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60" w:hanging="547"/>
        <w:spacing w:after="0" w:line="273" w:lineRule="auto"/>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Genentech: </w:t>
      </w:r>
      <w:r>
        <w:rPr>
          <w:rFonts w:ascii="Times New Roman" w:cs="Times New Roman" w:eastAsia="Times New Roman" w:hAnsi="Times New Roman"/>
          <w:sz w:val="17"/>
          <w:szCs w:val="17"/>
          <w:color w:val="auto"/>
        </w:rPr>
        <w:t>We partnered with Genentech to discover a novel proteomic classifier for advanced NSCLC patients treated with atezolizumab.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76" w:lineRule="exact"/>
        <w:rPr>
          <w:rFonts w:ascii="Times New Roman" w:cs="Times New Roman" w:eastAsia="Times New Roman" w:hAnsi="Times New Roman"/>
          <w:sz w:val="17"/>
          <w:szCs w:val="17"/>
          <w:color w:val="auto"/>
        </w:rPr>
      </w:pPr>
    </w:p>
    <w:p>
      <w:pPr>
        <w:ind w:left="1000" w:right="160" w:hanging="547"/>
        <w:spacing w:after="0" w:line="259"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Merck KGaA &amp; Pfizer: </w:t>
      </w:r>
      <w:r>
        <w:rPr>
          <w:rFonts w:ascii="Times New Roman" w:cs="Times New Roman" w:eastAsia="Times New Roman" w:hAnsi="Times New Roman"/>
          <w:sz w:val="18"/>
          <w:szCs w:val="18"/>
          <w:color w:val="auto"/>
        </w:rPr>
        <w:t>We announced the initiation of a clinical phase development program for the anti-PD-L1 checkpoint inhibitor,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27" w:lineRule="exact"/>
        <w:rPr>
          <w:sz w:val="20"/>
          <w:szCs w:val="20"/>
          <w:color w:val="auto"/>
        </w:rPr>
      </w:pPr>
    </w:p>
    <w:p>
      <w:pPr>
        <w:ind w:left="1000" w:right="40" w:hanging="547"/>
        <w:spacing w:after="0" w:line="259"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4" w:lineRule="exact"/>
        <w:rPr>
          <w:rFonts w:ascii="Times New Roman" w:cs="Times New Roman" w:eastAsia="Times New Roman" w:hAnsi="Times New Roman"/>
          <w:sz w:val="18"/>
          <w:szCs w:val="18"/>
          <w:color w:val="auto"/>
        </w:rPr>
      </w:pPr>
    </w:p>
    <w:p>
      <w:pPr>
        <w:ind w:left="1000" w:right="40" w:hanging="547"/>
        <w:spacing w:after="0" w:line="259"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data-driven approach to precision medicine combined with our biobank, which enables us to accelerate development of new tests. </w:t>
      </w:r>
      <w:r>
        <w:rPr>
          <w:rFonts w:ascii="Times New Roman" w:cs="Times New Roman" w:eastAsia="Times New Roman" w:hAnsi="Times New Roman"/>
          <w:sz w:val="18"/>
          <w:szCs w:val="18"/>
          <w:color w:val="auto"/>
        </w:rPr>
        <w:t>We have over 140,000 samples and data in our biobank, including tumor profiles and immune profiles, used for both internal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84" w:lineRule="exact"/>
        <w:rPr>
          <w:rFonts w:ascii="Times New Roman" w:cs="Times New Roman" w:eastAsia="Times New Roman" w:hAnsi="Times New Roman"/>
          <w:sz w:val="18"/>
          <w:szCs w:val="18"/>
          <w:color w:val="auto"/>
        </w:rPr>
      </w:pPr>
    </w:p>
    <w:p>
      <w:pPr>
        <w:ind w:left="1000" w:right="160" w:hanging="547"/>
        <w:spacing w:after="0" w:line="28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leadership in clinical proteomics, demonstrated research, development, and scientific expertise, combined with our intellectual property portfolio.</w:t>
      </w:r>
    </w:p>
    <w:p>
      <w:pPr>
        <w:spacing w:after="0" w:line="64" w:lineRule="exact"/>
        <w:rPr>
          <w:rFonts w:ascii="Times New Roman" w:cs="Times New Roman" w:eastAsia="Times New Roman" w:hAnsi="Times New Roman"/>
          <w:sz w:val="18"/>
          <w:szCs w:val="18"/>
          <w:color w:val="auto"/>
        </w:rPr>
      </w:pPr>
    </w:p>
    <w:p>
      <w:pPr>
        <w:ind w:left="1440" w:right="80" w:hanging="433"/>
        <w:spacing w:after="0" w:line="266" w:lineRule="auto"/>
        <w:tabs>
          <w:tab w:leader="none" w:pos="14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1" w:lineRule="exact"/>
        <w:rPr>
          <w:rFonts w:ascii="Times New Roman" w:cs="Times New Roman" w:eastAsia="Times New Roman" w:hAnsi="Times New Roman"/>
          <w:sz w:val="18"/>
          <w:szCs w:val="18"/>
          <w:color w:val="auto"/>
        </w:rPr>
      </w:pPr>
    </w:p>
    <w:p>
      <w:pPr>
        <w:ind w:left="1440" w:hanging="433"/>
        <w:spacing w:after="0" w:line="261" w:lineRule="auto"/>
        <w:tabs>
          <w:tab w:leader="none" w:pos="14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and processes are protected by a portfolio of approximately 82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81" w:lineRule="exact"/>
        <w:rPr>
          <w:rFonts w:ascii="Times New Roman" w:cs="Times New Roman" w:eastAsia="Times New Roman" w:hAnsi="Times New Roman"/>
          <w:sz w:val="18"/>
          <w:szCs w:val="18"/>
          <w:color w:val="auto"/>
        </w:rPr>
      </w:pPr>
    </w:p>
    <w:p>
      <w:pPr>
        <w:jc w:val="both"/>
        <w:ind w:left="1000" w:right="300" w:hanging="547"/>
        <w:spacing w:after="0" w:line="26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w:t>
      </w:r>
      <w:r>
        <w:rPr>
          <w:rFonts w:ascii="Times New Roman" w:cs="Times New Roman" w:eastAsia="Times New Roman" w:hAnsi="Times New Roman"/>
          <w:sz w:val="18"/>
          <w:szCs w:val="18"/>
          <w:color w:val="auto"/>
        </w:rPr>
        <w:t>With six diagnostic tests launched and three currently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our commercial portfolio of blood-based solutions currently addresses clinical unmet needs within diagnosis, treatment and monitoring of lung cancer.</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00"/>
          </w:cols>
          <w:pgMar w:left="320" w:top="455" w:right="3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66" w:lineRule="auto"/>
        <w:rPr>
          <w:sz w:val="20"/>
          <w:szCs w:val="20"/>
          <w:color w:val="auto"/>
        </w:rPr>
      </w:pPr>
      <w:r>
        <w:rPr>
          <w:rFonts w:ascii="Times New Roman" w:cs="Times New Roman" w:eastAsia="Times New Roman" w:hAnsi="Times New Roman"/>
          <w:sz w:val="18"/>
          <w:szCs w:val="18"/>
          <w:color w:val="auto"/>
        </w:rPr>
        <w:t>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77" w:lineRule="exact"/>
        <w:rPr>
          <w:sz w:val="20"/>
          <w:szCs w:val="20"/>
          <w:color w:val="auto"/>
        </w:rPr>
      </w:pPr>
    </w:p>
    <w:p>
      <w:pPr>
        <w:ind w:left="1000" w:right="280" w:hanging="547"/>
        <w:spacing w:after="0" w:line="259"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84" w:lineRule="exact"/>
        <w:rPr>
          <w:rFonts w:ascii="Times New Roman" w:cs="Times New Roman" w:eastAsia="Times New Roman" w:hAnsi="Times New Roman"/>
          <w:sz w:val="18"/>
          <w:szCs w:val="18"/>
          <w:color w:val="auto"/>
        </w:rPr>
      </w:pPr>
    </w:p>
    <w:p>
      <w:pPr>
        <w:ind w:left="1000" w:right="160" w:hanging="547"/>
        <w:spacing w:after="0" w:line="259"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 helps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63" w:lineRule="exact"/>
        <w:rPr>
          <w:sz w:val="20"/>
          <w:szCs w:val="20"/>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34" w:lineRule="exact"/>
        <w:rPr>
          <w:rFonts w:ascii="Times New Roman" w:cs="Times New Roman" w:eastAsia="Times New Roman" w:hAnsi="Times New Roman"/>
          <w:sz w:val="18"/>
          <w:szCs w:val="18"/>
          <w:color w:val="auto"/>
        </w:rPr>
      </w:pPr>
    </w:p>
    <w:p>
      <w:pPr>
        <w:ind w:left="1440" w:right="620" w:hanging="433"/>
        <w:spacing w:after="0" w:line="282" w:lineRule="auto"/>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7" w:lineRule="exact"/>
        <w:rPr>
          <w:rFonts w:ascii="Times New Roman" w:cs="Times New Roman" w:eastAsia="Times New Roman" w:hAnsi="Times New Roman"/>
          <w:sz w:val="18"/>
          <w:szCs w:val="18"/>
          <w:color w:val="auto"/>
        </w:rPr>
      </w:pPr>
    </w:p>
    <w:p>
      <w:pPr>
        <w:ind w:left="1440" w:right="260" w:hanging="433"/>
        <w:spacing w:after="0" w:line="312" w:lineRule="auto"/>
        <w:tabs>
          <w:tab w:leader="none" w:pos="14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45" w:lineRule="exact"/>
        <w:rPr>
          <w:rFonts w:ascii="Times New Roman" w:cs="Times New Roman" w:eastAsia="Times New Roman" w:hAnsi="Times New Roman"/>
          <w:sz w:val="17"/>
          <w:szCs w:val="17"/>
          <w:color w:val="auto"/>
        </w:rPr>
      </w:pPr>
    </w:p>
    <w:p>
      <w:pPr>
        <w:ind w:left="1440" w:hanging="433"/>
        <w:spacing w:after="0"/>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30" w:lineRule="exact"/>
        <w:rPr>
          <w:rFonts w:ascii="Times New Roman" w:cs="Times New Roman" w:eastAsia="Times New Roman" w:hAnsi="Times New Roman"/>
          <w:sz w:val="18"/>
          <w:szCs w:val="18"/>
          <w:color w:val="auto"/>
        </w:rPr>
      </w:pPr>
    </w:p>
    <w:p>
      <w:pPr>
        <w:ind w:left="1440" w:right="80" w:hanging="433"/>
        <w:spacing w:after="0" w:line="282" w:lineRule="auto"/>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30" w:lineRule="exact"/>
        <w:rPr>
          <w:rFonts w:ascii="Times New Roman" w:cs="Times New Roman" w:eastAsia="Times New Roman" w:hAnsi="Times New Roman"/>
          <w:sz w:val="18"/>
          <w:szCs w:val="18"/>
          <w:color w:val="auto"/>
        </w:rPr>
      </w:pPr>
    </w:p>
    <w:p>
      <w:pPr>
        <w:ind w:left="1440" w:right="240" w:hanging="433"/>
        <w:spacing w:after="0" w:line="282" w:lineRule="auto"/>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companion diagnostic strategies and drug development projects best suited to our platform for new test discovery, development and commercialization.</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demonstrate the clinical utility and economic benefits of our diagnostic tests by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Introduce new diagnostic tests in lung disease by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40" w:right="780" w:hanging="433"/>
        <w:spacing w:after="0" w:line="282" w:lineRule="auto"/>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7" w:lineRule="exact"/>
        <w:rPr>
          <w:rFonts w:ascii="Times New Roman" w:cs="Times New Roman" w:eastAsia="Times New Roman" w:hAnsi="Times New Roman"/>
          <w:sz w:val="18"/>
          <w:szCs w:val="18"/>
          <w:color w:val="auto"/>
        </w:rPr>
      </w:pPr>
    </w:p>
    <w:p>
      <w:pPr>
        <w:ind w:left="1440" w:right="220" w:hanging="433"/>
        <w:spacing w:after="0" w:line="282" w:lineRule="auto"/>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67" w:lineRule="exact"/>
        <w:rPr>
          <w:rFonts w:ascii="Times New Roman" w:cs="Times New Roman" w:eastAsia="Times New Roman" w:hAnsi="Times New Roman"/>
          <w:sz w:val="18"/>
          <w:szCs w:val="18"/>
          <w:color w:val="auto"/>
        </w:rPr>
      </w:pPr>
    </w:p>
    <w:p>
      <w:pPr>
        <w:ind w:left="1440" w:hanging="433"/>
        <w:spacing w:after="0" w:line="282" w:lineRule="auto"/>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companion diagnostic tests to support the therapeutics’ regulatory approval and adoption process for our biopharmaceutical customers.</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34"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R&amp;D capabilities to foster innovation in test discovery and development;</w:t>
      </w:r>
    </w:p>
    <w:p>
      <w:pPr>
        <w:spacing w:after="0" w:line="130"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 and</w:t>
      </w:r>
    </w:p>
    <w:p>
      <w:pPr>
        <w:spacing w:after="0" w:line="130" w:lineRule="exact"/>
        <w:rPr>
          <w:rFonts w:ascii="Times New Roman" w:cs="Times New Roman" w:eastAsia="Times New Roman" w:hAnsi="Times New Roman"/>
          <w:sz w:val="18"/>
          <w:szCs w:val="18"/>
          <w:color w:val="auto"/>
        </w:rPr>
      </w:pPr>
    </w:p>
    <w:p>
      <w:pPr>
        <w:ind w:left="1440" w:right="640" w:hanging="433"/>
        <w:spacing w:after="0" w:line="282" w:lineRule="auto"/>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34" w:lineRule="exact"/>
        <w:rPr>
          <w:rFonts w:ascii="Times New Roman" w:cs="Times New Roman" w:eastAsia="Times New Roman" w:hAnsi="Times New Roman"/>
          <w:sz w:val="18"/>
          <w:szCs w:val="18"/>
          <w:b w:val="1"/>
          <w:bCs w:val="1"/>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30" w:lineRule="exact"/>
        <w:rPr>
          <w:rFonts w:ascii="Times New Roman" w:cs="Times New Roman" w:eastAsia="Times New Roman" w:hAnsi="Times New Roman"/>
          <w:sz w:val="18"/>
          <w:szCs w:val="18"/>
          <w:color w:val="auto"/>
        </w:rPr>
      </w:pPr>
    </w:p>
    <w:p>
      <w:pPr>
        <w:ind w:left="1440" w:right="60" w:hanging="433"/>
        <w:spacing w:after="0" w:line="282" w:lineRule="auto"/>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67" w:lineRule="exact"/>
        <w:rPr>
          <w:rFonts w:ascii="Times New Roman" w:cs="Times New Roman" w:eastAsia="Times New Roman" w:hAnsi="Times New Roman"/>
          <w:sz w:val="18"/>
          <w:szCs w:val="18"/>
          <w:color w:val="auto"/>
        </w:rPr>
      </w:pPr>
    </w:p>
    <w:p>
      <w:pPr>
        <w:ind w:left="1440" w:hanging="433"/>
        <w:spacing w:after="0"/>
        <w:tabs>
          <w:tab w:leader="none" w:pos="14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Current Landscape</w:t>
      </w:r>
    </w:p>
    <w:p>
      <w:pPr>
        <w:spacing w:after="0" w:line="121" w:lineRule="exact"/>
        <w:rPr>
          <w:sz w:val="20"/>
          <w:szCs w:val="20"/>
          <w:color w:val="auto"/>
        </w:rPr>
      </w:pPr>
    </w:p>
    <w:p>
      <w:pPr>
        <w:ind w:right="180" w:firstLine="449"/>
        <w:spacing w:after="0" w:line="277" w:lineRule="auto"/>
        <w:rPr>
          <w:sz w:val="20"/>
          <w:szCs w:val="20"/>
          <w:color w:val="auto"/>
        </w:rPr>
      </w:pPr>
      <w:r>
        <w:rPr>
          <w:rFonts w:ascii="Times New Roman" w:cs="Times New Roman" w:eastAsia="Times New Roman" w:hAnsi="Times New Roman"/>
          <w:sz w:val="17"/>
          <w:szCs w:val="17"/>
          <w:color w:val="auto"/>
        </w:rPr>
        <w:t>Lung cancer (both small cell and non-small cell) is the second most common cancer diagnosed in the United States with nearly 230,000 patients diagnosed each year. With an estimated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8"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Over 1.6 million people are diagnosed with incidental pulmonary nodules annually in the United States. Incidental nodules are identified when a person is being evaluated for another medical concern, typically through</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80"/>
          </w:cols>
          <w:pgMar w:left="320" w:top="455" w:right="3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8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451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3"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NSCLC Treatment Guidance</w:t>
      </w:r>
    </w:p>
    <w:p>
      <w:pPr>
        <w:spacing w:after="0" w:line="12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Following confirmed diagnosis, the patient’s NSCLC is staged which helps the physician direct the patient to an appropriate treatment pathway. Approximately 70% of patients with lung cancer are diagnosed with advanced stage disease (typically stage IIIB/IV), resulting in an estimated five-year survival of 6%. Meanwhile, five-year survival for patients diagnosed with early stage (typically stage I-IIIA) disease is 59%.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Early Stage NSCLC</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Advanced Stage NSCLC</w:t>
      </w:r>
    </w:p>
    <w:p>
      <w:pPr>
        <w:spacing w:after="0" w:line="121" w:lineRule="exact"/>
        <w:rPr>
          <w:sz w:val="20"/>
          <w:szCs w:val="20"/>
          <w:color w:val="auto"/>
        </w:rPr>
      </w:pPr>
    </w:p>
    <w:p>
      <w:pPr>
        <w:ind w:right="100" w:firstLine="449"/>
        <w:spacing w:after="0" w:line="289" w:lineRule="auto"/>
        <w:rPr>
          <w:sz w:val="20"/>
          <w:szCs w:val="20"/>
          <w:color w:val="auto"/>
        </w:rPr>
      </w:pPr>
      <w:r>
        <w:rPr>
          <w:rFonts w:ascii="Times New Roman" w:cs="Times New Roman" w:eastAsia="Times New Roman" w:hAnsi="Times New Roman"/>
          <w:sz w:val="17"/>
          <w:szCs w:val="17"/>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58"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8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Monitoring</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Technologies</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Diagnostic Cortex Artificial Intelligence Platform</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455" w:right="3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overcome this challenge through proprietary computational techniques to ensure each diagnostic test that is discovered can be further developed to perform consistently in the clinical testing environment.</w:t>
      </w:r>
    </w:p>
    <w:p>
      <w:pPr>
        <w:spacing w:after="0" w:line="16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3"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76"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Mass Spectrometry MS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w:t>
      </w:r>
    </w:p>
    <w:p>
      <w:pPr>
        <w:spacing w:after="0" w:line="12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PCR Platform</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SARS-CoV-2 ddPCR test for COVID-19. We have included the ddPCR technologies for research and development both internally and externally with our biopharmaceutical customers and academic partners.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 technologies for research and development both internally and externally with our biopharmaceutical customers and academic partners.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Validation Data</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CDT</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Nodify CDT has been studied in 14 peer reviewed published studies and presentations. Here we highlight an overview of one of our key peer-reviewed clinical validation papers.</w:t>
      </w:r>
    </w:p>
    <w:p>
      <w:pPr>
        <w:spacing w:after="0" w:line="65" w:lineRule="exact"/>
        <w:rPr>
          <w:sz w:val="20"/>
          <w:szCs w:val="20"/>
          <w:color w:val="auto"/>
        </w:rPr>
      </w:pPr>
    </w:p>
    <w:p>
      <w:pPr>
        <w:ind w:left="1000" w:right="80" w:hanging="547"/>
        <w:spacing w:after="0" w:line="25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Healey GF, J Cancer Ther 2017</w:t>
      </w:r>
      <w:r>
        <w:rPr>
          <w:rFonts w:ascii="Times New Roman" w:cs="Times New Roman" w:eastAsia="Times New Roman" w:hAnsi="Times New Roman"/>
          <w:sz w:val="18"/>
          <w:szCs w:val="18"/>
          <w:color w:val="auto"/>
        </w:rPr>
        <w:t>: In this study, the objective was to assess the clinical test performance of Nodify CDT (previously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Nodify XL2</w:t>
      </w:r>
    </w:p>
    <w:p>
      <w:pPr>
        <w:spacing w:after="0" w:line="121"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Nodify XL2 has been studied in 12 peer reviewed published studies and presentations. Here we highlight an overview of two of our key peer-reviewed clinical validation papers.</w:t>
      </w:r>
    </w:p>
    <w:p>
      <w:pPr>
        <w:spacing w:after="0" w:line="65" w:lineRule="exact"/>
        <w:rPr>
          <w:sz w:val="20"/>
          <w:szCs w:val="20"/>
          <w:color w:val="auto"/>
        </w:rPr>
      </w:pPr>
    </w:p>
    <w:p>
      <w:pPr>
        <w:ind w:left="1000" w:right="20" w:hanging="547"/>
        <w:spacing w:after="0" w:line="284"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Silvestri G, CHEST, 2018 (PANOPTIC)</w:t>
      </w:r>
      <w:r>
        <w:rPr>
          <w:rFonts w:ascii="Times New Roman" w:cs="Times New Roman" w:eastAsia="Times New Roman" w:hAnsi="Times New Roman"/>
          <w:sz w:val="18"/>
          <w:szCs w:val="18"/>
          <w:color w:val="auto"/>
        </w:rPr>
        <w:t>: In the prospective, multicenter PANOPTIC clinical study, the test demonstrated a sensitivity of 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specificity of 44% and a negative predictive value of 98%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56" w:lineRule="auto"/>
        <w:rPr>
          <w:sz w:val="20"/>
          <w:szCs w:val="20"/>
          <w:color w:val="auto"/>
        </w:rPr>
      </w:pPr>
      <w:r>
        <w:rPr>
          <w:rFonts w:ascii="Times New Roman" w:cs="Times New Roman" w:eastAsia="Times New Roman" w:hAnsi="Times New Roman"/>
          <w:sz w:val="18"/>
          <w:szCs w:val="18"/>
          <w:color w:val="auto"/>
        </w:rPr>
        <w:t>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91" w:lineRule="exact"/>
        <w:rPr>
          <w:sz w:val="20"/>
          <w:szCs w:val="20"/>
          <w:color w:val="auto"/>
        </w:rPr>
      </w:pPr>
    </w:p>
    <w:p>
      <w:pPr>
        <w:ind w:left="1000" w:right="80" w:hanging="547"/>
        <w:spacing w:after="0" w:line="25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Pritchett M, Am J Respir Crit Care Med, 2020: </w:t>
      </w:r>
      <w:r>
        <w:rPr>
          <w:rFonts w:ascii="Times New Roman" w:cs="Times New Roman" w:eastAsia="Times New Roman" w:hAnsi="Times New Roman"/>
          <w:sz w:val="18"/>
          <w:szCs w:val="18"/>
          <w:color w:val="auto"/>
        </w:rPr>
        <w:t>Preliminary results from the ORACLE registry study were accepted as a late breaking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GeneStrat</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GeneStrat has been studied in 30 peer reviewed published studies and presentations. Here we highlight an overview of one of our key peer-reviewed clinical validation papers.</w:t>
      </w:r>
    </w:p>
    <w:p>
      <w:pPr>
        <w:spacing w:after="0" w:line="65" w:lineRule="exact"/>
        <w:rPr>
          <w:sz w:val="20"/>
          <w:szCs w:val="20"/>
          <w:color w:val="auto"/>
        </w:rPr>
      </w:pPr>
    </w:p>
    <w:p>
      <w:pPr>
        <w:ind w:left="1000" w:hanging="547"/>
        <w:spacing w:after="0" w:line="25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Mellert H, J Mol Diagn, 2017</w:t>
      </w:r>
      <w:r>
        <w:rPr>
          <w:rFonts w:ascii="Times New Roman" w:cs="Times New Roman" w:eastAsia="Times New Roman" w:hAnsi="Times New Roman"/>
          <w:sz w:val="18"/>
          <w:szCs w:val="18"/>
          <w:color w:val="auto"/>
        </w:rPr>
        <w:t>: This study highlights the clinical validation data for the targetable mutations (EGFR, KRAS, ALK)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VeriStrat</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87" w:lineRule="exact"/>
        <w:rPr>
          <w:sz w:val="20"/>
          <w:szCs w:val="20"/>
          <w:color w:val="auto"/>
        </w:rPr>
      </w:pPr>
    </w:p>
    <w:p>
      <w:pPr>
        <w:ind w:left="1000" w:right="80" w:hanging="547"/>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Leal T, Curr Med Res Opin, 2020</w:t>
      </w:r>
      <w:r>
        <w:rPr>
          <w:rFonts w:ascii="Times New Roman" w:cs="Times New Roman" w:eastAsia="Times New Roman" w:hAnsi="Times New Roman"/>
          <w:sz w:val="18"/>
          <w:szCs w:val="18"/>
          <w:color w:val="auto"/>
        </w:rPr>
        <w:t>: Timely assessment of patient-specific prognosis is critical to oncology care, however clinical prognostic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88" w:lineRule="exact"/>
        <w:rPr>
          <w:rFonts w:ascii="Times New Roman" w:cs="Times New Roman" w:eastAsia="Times New Roman" w:hAnsi="Times New Roman"/>
          <w:sz w:val="18"/>
          <w:szCs w:val="18"/>
          <w:color w:val="auto"/>
        </w:rPr>
      </w:pPr>
    </w:p>
    <w:p>
      <w:pPr>
        <w:ind w:left="1000" w:right="420" w:hanging="547"/>
        <w:spacing w:after="0" w:line="284"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Mitchell BR, J Clin Oncol, 2020</w:t>
      </w:r>
      <w:r>
        <w:rPr>
          <w:rFonts w:ascii="Times New Roman" w:cs="Times New Roman" w:eastAsia="Times New Roman" w:hAnsi="Times New Roman"/>
          <w:sz w:val="18"/>
          <w:szCs w:val="18"/>
          <w:color w:val="auto"/>
        </w:rPr>
        <w:t>: Recently, we published data at the American Society of Clinical Oncology 2020 virtual meeting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analysis from the INSIGHT clinical study. The data</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80"/>
          </w:cols>
          <w:pgMar w:left="320" w:top="455" w:right="3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380"/>
        <w:spacing w:after="0" w:line="261" w:lineRule="auto"/>
        <w:rPr>
          <w:sz w:val="20"/>
          <w:szCs w:val="20"/>
          <w:color w:val="auto"/>
        </w:rPr>
      </w:pPr>
      <w:r>
        <w:rPr>
          <w:rFonts w:ascii="Times New Roman" w:cs="Times New Roman" w:eastAsia="Times New Roman" w:hAnsi="Times New Roman"/>
          <w:sz w:val="18"/>
          <w:szCs w:val="18"/>
          <w:color w:val="auto"/>
        </w:rPr>
        <w:t>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Biodesix WorkSafe COVID-19 Testing Program</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Bio-Rad SARS-CoV-2 ddPCR Test</w:t>
      </w:r>
    </w:p>
    <w:p>
      <w:pPr>
        <w:spacing w:after="0" w:line="1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Here we highlight an overview of one of the recent publications on ddPCR testing for SARS-CoV-2:</w:t>
      </w:r>
    </w:p>
    <w:p>
      <w:pPr>
        <w:spacing w:after="0" w:line="129" w:lineRule="exact"/>
        <w:rPr>
          <w:sz w:val="20"/>
          <w:szCs w:val="20"/>
          <w:color w:val="auto"/>
        </w:rPr>
      </w:pPr>
    </w:p>
    <w:p>
      <w:pPr>
        <w:ind w:left="1000" w:hanging="547"/>
        <w:spacing w:after="0" w:line="25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Suo T, Emerging Microbes &amp; Infections, 2020: </w:t>
      </w:r>
      <w:r>
        <w:rPr>
          <w:rFonts w:ascii="Times New Roman" w:cs="Times New Roman" w:eastAsia="Times New Roman" w:hAnsi="Times New Roman"/>
          <w:sz w:val="18"/>
          <w:szCs w:val="18"/>
          <w:color w:val="auto"/>
        </w:rPr>
        <w:t>Quantitative real time PCR (RT-PCR) is widely used as the gold standard for clinical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SARS-CoV-2. However, due to the low viral load specimens 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Platelia SARS-CoV-2 Total Ab Test</w:t>
      </w:r>
    </w:p>
    <w:p>
      <w:pPr>
        <w:spacing w:after="0" w:line="11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(95% confidence interval (6.8%-99.9%)) and specificity is 99% (95% confidence interval (98.7%-99.9%)) eight days after the onset of symptoms.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Case Studies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#1: Catching Cancer Earlier with Nodify CDT</w:t>
      </w:r>
    </w:p>
    <w:p>
      <w:pPr>
        <w:spacing w:after="0" w:line="115" w:lineRule="exact"/>
        <w:rPr>
          <w:sz w:val="20"/>
          <w:szCs w:val="20"/>
          <w:color w:val="auto"/>
        </w:rPr>
      </w:pPr>
    </w:p>
    <w:p>
      <w:pPr>
        <w:ind w:left="460" w:right="40" w:firstLine="431"/>
        <w:spacing w:after="0" w:line="262"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Appropriate management of patients with incidentally discovered lung nodules must balance between the need to identify malignant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64-year-old female presented for medical attention after falling on her right side. A chest X-ray showing a spot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#2: Avoiding Unnecessary Procedures with Nodify XL2</w:t>
      </w:r>
    </w:p>
    <w:p>
      <w:pPr>
        <w:spacing w:after="0" w:line="115" w:lineRule="exact"/>
        <w:rPr>
          <w:sz w:val="20"/>
          <w:szCs w:val="20"/>
          <w:color w:val="auto"/>
        </w:rPr>
      </w:pPr>
    </w:p>
    <w:p>
      <w:pPr>
        <w:ind w:left="460" w:right="420" w:firstLine="431"/>
        <w:spacing w:after="0" w:line="282" w:lineRule="auto"/>
        <w:rPr>
          <w:sz w:val="20"/>
          <w:szCs w:val="20"/>
          <w:color w:val="auto"/>
        </w:rPr>
      </w:pPr>
      <w:r>
        <w:rPr>
          <w:rFonts w:ascii="Times New Roman" w:cs="Times New Roman" w:eastAsia="Times New Roman" w:hAnsi="Times New Roman"/>
          <w:sz w:val="17"/>
          <w:szCs w:val="17"/>
          <w:b w:val="1"/>
          <w:bCs w:val="1"/>
          <w:color w:val="auto"/>
        </w:rPr>
        <w:t>Outcome</w:t>
      </w:r>
      <w:r>
        <w:rPr>
          <w:rFonts w:ascii="Times New Roman" w:cs="Times New Roman" w:eastAsia="Times New Roman" w:hAnsi="Times New Roman"/>
          <w:sz w:val="17"/>
          <w:szCs w:val="17"/>
          <w:color w:val="auto"/>
        </w:rPr>
        <w:t>: Traditional diagnostic risk assessment and testing indicated that this patient had a higher risk of malignancy, but because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patient’s health condition, a biopsy was not preferred. A 6% post-Nodify XL2 risk of malignancy result led the physician and patient to make a shared decision to monitor the 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53" w:lineRule="exact"/>
        <w:rPr>
          <w:sz w:val="20"/>
          <w:szCs w:val="20"/>
          <w:color w:val="auto"/>
        </w:rPr>
      </w:pPr>
    </w:p>
    <w:p>
      <w:pPr>
        <w:ind w:left="460" w:right="100" w:firstLine="431"/>
        <w:spacing w:after="0" w:line="255"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74-year-old male with severe chronic obstructive pulmonary disease (COPD) presented for medical evaluation.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#3: Biodesix Lung Reflex Results Changed Patient’s Cancer Treatment Plan</w:t>
      </w:r>
    </w:p>
    <w:p>
      <w:pPr>
        <w:spacing w:after="0" w:line="115" w:lineRule="exact"/>
        <w:rPr>
          <w:sz w:val="20"/>
          <w:szCs w:val="20"/>
          <w:color w:val="auto"/>
        </w:rPr>
      </w:pPr>
    </w:p>
    <w:p>
      <w:pPr>
        <w:ind w:left="460" w:right="2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It is important for physicians to have a holistic view of each patient’s dynamic disease state to make more informed patient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In this case, the patient with advanced NSCLC did not have any driver mutations, as identified by GeneStrat. However, the patient’s VeriStrat Good result facilitated a conversation between the patient and physician about their positive prognosis and the benefits that more aggressive treatment could provide. Prior to receiving the VeriStrat result, the patient was considering foregoing systemic therapy. The combined Biodesix Lung Reflex results facilitated a shared decision to begin treatment with a combination immunotherapy and chemotherapy regimen.</w:t>
      </w:r>
    </w:p>
    <w:p>
      <w:pPr>
        <w:spacing w:after="0" w:line="71" w:lineRule="exact"/>
        <w:rPr>
          <w:sz w:val="20"/>
          <w:szCs w:val="20"/>
          <w:color w:val="auto"/>
        </w:rPr>
      </w:pPr>
    </w:p>
    <w:p>
      <w:pPr>
        <w:ind w:left="460" w:right="60" w:firstLine="431"/>
        <w:spacing w:after="0" w:line="256"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79-year-old female presented to the clinic with a cough, fever, and chest pain. The patient was a former smoker who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quit more than 25 years ago. A CT scan identified a lung mass (greater than 30 mm) and the patient was scheduled for bronchoscopy to confirm diagnosis and stage. A blood sample was collected during the pre-operative appointment for Biodesix Lung Reflex testing. The patient’s final diagnosis was stage IV adenocarcinoma. The GeneStrat test result was mutation negative and the VeriStrat test result was Good. The patient was reviewed by a multi-disciplinary team of physicians and based on the staging and test results was referred to a medical oncologist for treatment with a combination of immunotherapy and chemotherapy. The patient previously wished to avoid systemic therapy, but our tests supported a shared decision with her physician to move ahead with an aggressive treatment regimen.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455"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Case Study #4: First Do No Harm – Biodesix Lung Reflex Supports Shared Decision Making</w:t>
      </w:r>
    </w:p>
    <w:p>
      <w:pPr>
        <w:spacing w:after="0" w:line="115" w:lineRule="exact"/>
        <w:rPr>
          <w:sz w:val="20"/>
          <w:szCs w:val="20"/>
          <w:color w:val="auto"/>
        </w:rPr>
      </w:pPr>
    </w:p>
    <w:p>
      <w:pPr>
        <w:ind w:left="460" w:firstLine="431"/>
        <w:spacing w:after="0" w:line="259" w:lineRule="auto"/>
        <w:rPr>
          <w:sz w:val="20"/>
          <w:szCs w:val="20"/>
          <w:color w:val="auto"/>
        </w:rPr>
      </w:pPr>
      <w:r>
        <w:rPr>
          <w:rFonts w:ascii="Times New Roman" w:cs="Times New Roman" w:eastAsia="Times New Roman" w:hAnsi="Times New Roman"/>
          <w:sz w:val="18"/>
          <w:szCs w:val="18"/>
          <w:b w:val="1"/>
          <w:bCs w:val="1"/>
          <w:color w:val="auto"/>
        </w:rPr>
        <w:t>Outcome</w:t>
      </w:r>
      <w:r>
        <w:rPr>
          <w:rFonts w:ascii="Times New Roman" w:cs="Times New Roman" w:eastAsia="Times New Roman" w:hAnsi="Times New Roman"/>
          <w:sz w:val="18"/>
          <w:szCs w:val="18"/>
          <w:color w:val="auto"/>
        </w:rPr>
        <w:t>: Lung cancer is a deadly disease, and often patients with advanced disease on average live about 10 months. In this case, an elderly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1" w:lineRule="exact"/>
        <w:rPr>
          <w:sz w:val="20"/>
          <w:szCs w:val="20"/>
          <w:color w:val="auto"/>
        </w:rPr>
      </w:pPr>
    </w:p>
    <w:p>
      <w:pPr>
        <w:ind w:left="460" w:firstLine="431"/>
        <w:spacing w:after="0" w:line="257" w:lineRule="auto"/>
        <w:rPr>
          <w:sz w:val="20"/>
          <w:szCs w:val="20"/>
          <w:color w:val="auto"/>
        </w:rPr>
      </w:pPr>
      <w:r>
        <w:rPr>
          <w:rFonts w:ascii="Times New Roman" w:cs="Times New Roman" w:eastAsia="Times New Roman" w:hAnsi="Times New Roman"/>
          <w:sz w:val="18"/>
          <w:szCs w:val="18"/>
          <w:b w:val="1"/>
          <w:bCs w:val="1"/>
          <w:color w:val="auto"/>
        </w:rPr>
        <w:t>Case Background</w:t>
      </w:r>
      <w:r>
        <w:rPr>
          <w:rFonts w:ascii="Times New Roman" w:cs="Times New Roman" w:eastAsia="Times New Roman" w:hAnsi="Times New Roman"/>
          <w:sz w:val="18"/>
          <w:szCs w:val="18"/>
          <w:color w:val="auto"/>
        </w:rPr>
        <w:t>: A 92-year-old female presented with back and chest pain and recent difficulty breathing. The patient had also lost 8 to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Early Stage NSCLC—Risk of Recurrence</w:t>
      </w:r>
    </w:p>
    <w:p>
      <w:pPr>
        <w:spacing w:after="0" w:line="119"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Late Stage NSCLC—Immunotherapy Treatment Guidance</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Monitoring – Progression &amp; Resistance</w:t>
      </w:r>
    </w:p>
    <w:p>
      <w:pPr>
        <w:spacing w:after="0" w:line="11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20"/>
          </w:cols>
          <w:pgMar w:left="320" w:top="455"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BEACON-Lung Clinical Study (Pending IRB Submission)</w:t>
      </w:r>
    </w:p>
    <w:p>
      <w:pPr>
        <w:spacing w:after="0" w:line="11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87"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76"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76"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For our COVID-19 tests,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83"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 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80"/>
          </w:cols>
          <w:pgMar w:left="320" w:top="455" w:right="39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Government Payers</w:t>
      </w:r>
    </w:p>
    <w:p>
      <w:pPr>
        <w:spacing w:after="0" w:line="12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183"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 xml:space="preserve">Novitas Solutions, the MAC responsible for developing coverage policies for tests performed in the region that includes our Boulder, Colorado clinical laboratory, issued a final LCD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gene mutation status is either wild type (negative) or mutation status unknown. The </w:t>
      </w:r>
      <w:r>
        <w:rPr>
          <w:rFonts w:ascii="Times New Roman" w:cs="Times New Roman" w:eastAsia="Times New Roman" w:hAnsi="Times New Roman"/>
          <w:sz w:val="18"/>
          <w:szCs w:val="18"/>
          <w:i w:val="1"/>
          <w:iCs w:val="1"/>
          <w:color w:val="auto"/>
        </w:rPr>
        <w:t>Biomarkers for Oncology</w:t>
      </w:r>
      <w:r>
        <w:rPr>
          <w:rFonts w:ascii="Times New Roman" w:cs="Times New Roman" w:eastAsia="Times New Roman" w:hAnsi="Times New Roman"/>
          <w:sz w:val="18"/>
          <w:szCs w:val="18"/>
          <w:color w:val="auto"/>
        </w:rPr>
        <w:t xml:space="preserve"> LCD also includes coverage for the genes in the GeneStrat test for patients with non-small cell lung cancer.</w:t>
      </w:r>
    </w:p>
    <w:p>
      <w:pPr>
        <w:spacing w:after="0" w:line="18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83"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62"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76" w:lineRule="exact"/>
        <w:rPr>
          <w:sz w:val="20"/>
          <w:szCs w:val="20"/>
          <w:color w:val="auto"/>
        </w:rPr>
      </w:pPr>
    </w:p>
    <w:p>
      <w:pPr>
        <w:ind w:right="940" w:firstLine="449"/>
        <w:spacing w:after="0" w:line="282" w:lineRule="auto"/>
        <w:rPr>
          <w:sz w:val="20"/>
          <w:szCs w:val="20"/>
          <w:color w:val="auto"/>
        </w:rPr>
      </w:pPr>
      <w:r>
        <w:rPr>
          <w:rFonts w:ascii="Times New Roman" w:cs="Times New Roman" w:eastAsia="Times New Roman" w:hAnsi="Times New Roman"/>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Commercial Third-Party Payers</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We are actively engaged in efforts to achieve broad coverage and adequate reimbursement for all of our marketed tests. Reimbursement from commercial payers differs depending on if they have established coverage 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87" w:lineRule="exact"/>
        <w:rPr>
          <w:sz w:val="20"/>
          <w:szCs w:val="20"/>
          <w:color w:val="auto"/>
        </w:rPr>
      </w:pPr>
    </w:p>
    <w:p>
      <w:pPr>
        <w:jc w:val="both"/>
        <w:ind w:right="140" w:firstLine="449"/>
        <w:spacing w:after="0" w:line="312" w:lineRule="auto"/>
        <w:rPr>
          <w:sz w:val="20"/>
          <w:szCs w:val="20"/>
          <w:color w:val="auto"/>
        </w:rPr>
      </w:pPr>
      <w:r>
        <w:rPr>
          <w:rFonts w:ascii="Times New Roman" w:cs="Times New Roman" w:eastAsia="Times New Roman" w:hAnsi="Times New Roman"/>
          <w:sz w:val="17"/>
          <w:szCs w:val="17"/>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40"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Prognosis, Treatment Guidance and Monitoring—NSCLC</w:t>
      </w:r>
    </w:p>
    <w:p>
      <w:pPr>
        <w:spacing w:after="0" w:line="121"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7"/>
          <w:szCs w:val="17"/>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Testing</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89"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our diagnostic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tests. The number of suppliers feeding into the production of our diagnostic tests is in excess of 65 worldwide. We consider a select few of these suppliers,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the United States,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455" w:right="3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Europe and China, as critical single source providers of components. Bio-Rad, as described below, is the sole source supplier for our GeneStrat and COVID-19 diagnostic and antibody tests. Oncimmune is also the sole source supplier for our Nodify CDT tests but there are known secondary suppliers for these materials. We have initiated the second source qualification process for the majority of these critical components.</w:t>
      </w:r>
    </w:p>
    <w:p>
      <w:pPr>
        <w:spacing w:after="0" w:line="176"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80"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GeneStrat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and we acquired a patent portfolio relating to the Nodify XL2</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developed by Bio-Rad and which we employ in our GeneStrat test.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See “—Material Agreements – Non-Exclusive License Agreement.” In addition, we have separately been granted permission by Bio-Rad to use the Bio-Rad SARS-CoV-2 ddPCR assay for commercial diagnostic services.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technologies and our approaches to using mass shot matrix-assisted laser desorption time of flight (MALDI-TOF) technology (DeepMALDI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techniques). Additionally, our first device patent was issued in 2019 for our internally designed blood collection device.</w:t>
      </w:r>
    </w:p>
    <w:p>
      <w:pPr>
        <w:spacing w:after="0" w:line="19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As of September 21, 2020, our patent portfolio includes approximately 45 issued United States patents, 37 issued foreign patents, which includes 2 European patents that were nationalized in multiple European countries, and 37 pending applications (including 1 PCT applications and 20 foreign patent applications). With regard to our product development efforts, PCT applications have been filed around our risk of recurrence and primary immunoresistance tests.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30" w:lineRule="exact"/>
        <w:rPr>
          <w:rFonts w:ascii="Times New Roman" w:cs="Times New Roman" w:eastAsia="Times New Roman" w:hAnsi="Times New Roman"/>
          <w:sz w:val="18"/>
          <w:szCs w:val="18"/>
          <w:color w:val="auto"/>
        </w:rPr>
      </w:pPr>
    </w:p>
    <w:p>
      <w:pPr>
        <w:ind w:left="1000" w:right="800" w:hanging="372"/>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using the Diagnostic Cortex and DeepMALDI technologies;</w:t>
      </w:r>
    </w:p>
    <w:p>
      <w:pPr>
        <w:spacing w:after="0" w:line="67"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30" w:lineRule="exact"/>
        <w:rPr>
          <w:rFonts w:ascii="Times New Roman" w:cs="Times New Roman" w:eastAsia="Times New Roman" w:hAnsi="Times New Roman"/>
          <w:sz w:val="18"/>
          <w:szCs w:val="18"/>
          <w:color w:val="auto"/>
        </w:rPr>
      </w:pPr>
    </w:p>
    <w:p>
      <w:pPr>
        <w:ind w:left="1000" w:hanging="37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22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3"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89" w:lineRule="exact"/>
        <w:rPr>
          <w:sz w:val="20"/>
          <w:szCs w:val="20"/>
          <w:color w:val="auto"/>
        </w:rPr>
      </w:pPr>
    </w:p>
    <w:p>
      <w:pPr>
        <w:ind w:right="100" w:firstLine="449"/>
        <w:spacing w:after="0" w:line="289" w:lineRule="auto"/>
        <w:rPr>
          <w:sz w:val="20"/>
          <w:szCs w:val="20"/>
          <w:color w:val="auto"/>
        </w:rPr>
      </w:pPr>
      <w:r>
        <w:rPr>
          <w:rFonts w:ascii="Times New Roman" w:cs="Times New Roman" w:eastAsia="Times New Roman" w:hAnsi="Times New Roman"/>
          <w:sz w:val="17"/>
          <w:szCs w:val="17"/>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80"/>
          </w:cols>
          <w:pgMar w:left="320" w:top="455" w:right="3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patent not commonly owned but that was disqualified as prior art as the result of activities undertaken within the scope of a joint research agreement. The life of a patent, and the protection it affords, is therefore limited and once the patent life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19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80" w:lineRule="exact"/>
        <w:rPr>
          <w:sz w:val="20"/>
          <w:szCs w:val="20"/>
          <w:color w:val="auto"/>
        </w:rPr>
      </w:pPr>
    </w:p>
    <w:p>
      <w:pPr>
        <w:ind w:right="240" w:firstLine="449"/>
        <w:spacing w:after="0" w:line="273" w:lineRule="auto"/>
        <w:rPr>
          <w:sz w:val="20"/>
          <w:szCs w:val="20"/>
          <w:color w:val="auto"/>
        </w:rPr>
      </w:pPr>
      <w:r>
        <w:rPr>
          <w:rFonts w:ascii="Times New Roman" w:cs="Times New Roman" w:eastAsia="Times New Roman" w:hAnsi="Times New Roman"/>
          <w:sz w:val="17"/>
          <w:szCs w:val="17"/>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rely on trade secrets, including know how, confidential information, unpatented technologies and other proprietary information, to</w:t>
      </w:r>
    </w:p>
    <w:p>
      <w:pPr>
        <w:spacing w:after="0" w:line="27" w:lineRule="exact"/>
        <w:rPr>
          <w:sz w:val="20"/>
          <w:szCs w:val="20"/>
          <w:color w:val="auto"/>
        </w:rPr>
      </w:pPr>
    </w:p>
    <w:p>
      <w:pPr>
        <w:ind w:right="20" w:firstLine="8"/>
        <w:spacing w:after="0" w:line="251"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9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76"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94" w:lineRule="exact"/>
        <w:rPr>
          <w:sz w:val="20"/>
          <w:szCs w:val="20"/>
          <w:color w:val="auto"/>
        </w:rPr>
      </w:pPr>
    </w:p>
    <w:p>
      <w:pPr>
        <w:ind w:left="1000" w:right="100" w:hanging="547"/>
        <w:spacing w:after="0" w:line="26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79" w:lineRule="exact"/>
        <w:rPr>
          <w:rFonts w:ascii="Times New Roman" w:cs="Times New Roman" w:eastAsia="Times New Roman" w:hAnsi="Times New Roman"/>
          <w:sz w:val="18"/>
          <w:szCs w:val="18"/>
          <w:color w:val="auto"/>
        </w:rPr>
      </w:pPr>
    </w:p>
    <w:p>
      <w:pPr>
        <w:ind w:left="1000" w:hanging="547"/>
        <w:spacing w:after="0" w:line="25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2014, the FDA issued two draft guidance documents: </w:t>
      </w:r>
      <w:r>
        <w:rPr>
          <w:rFonts w:ascii="Times New Roman" w:cs="Times New Roman" w:eastAsia="Times New Roman" w:hAnsi="Times New Roman"/>
          <w:sz w:val="18"/>
          <w:szCs w:val="18"/>
          <w:i w:val="1"/>
          <w:iCs w:val="1"/>
          <w:color w:val="auto"/>
        </w:rPr>
        <w:t>Framework for Regulatory Oversight of Laboratory Developed Tests</w:t>
      </w:r>
      <w:r>
        <w:rPr>
          <w:rFonts w:ascii="Times New Roman" w:cs="Times New Roman" w:eastAsia="Times New Roman" w:hAnsi="Times New Roman"/>
          <w:sz w:val="18"/>
          <w:szCs w:val="18"/>
          <w:color w:val="auto"/>
        </w:rPr>
        <w:t xml:space="preserve">, which provided an overview of how the FDA would regulate LDTs through a risk-based approach, and </w:t>
      </w:r>
      <w:r>
        <w:rPr>
          <w:rFonts w:ascii="Times New Roman" w:cs="Times New Roman" w:eastAsia="Times New Roman" w:hAnsi="Times New Roman"/>
          <w:sz w:val="18"/>
          <w:szCs w:val="18"/>
          <w:i w:val="1"/>
          <w:iCs w:val="1"/>
          <w:color w:val="auto"/>
        </w:rPr>
        <w:t>FDA Notification and Medical Device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for Laboratory Developed Tests</w:t>
      </w:r>
      <w:r>
        <w:rPr>
          <w:rFonts w:ascii="Times New Roman" w:cs="Times New Roman" w:eastAsia="Times New Roman" w:hAnsi="Times New Roman"/>
          <w:sz w:val="18"/>
          <w:szCs w:val="18"/>
          <w:color w:val="auto"/>
        </w:rPr>
        <w:t>, which provided guidance on how the FDA intends to collect information on existing LDTs,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89"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67" w:lineRule="exact"/>
        <w:rPr>
          <w:rFonts w:ascii="Times New Roman" w:cs="Times New Roman" w:eastAsia="Times New Roman" w:hAnsi="Times New Roman"/>
          <w:sz w:val="18"/>
          <w:szCs w:val="18"/>
          <w:color w:val="auto"/>
        </w:rPr>
      </w:pPr>
    </w:p>
    <w:p>
      <w:pPr>
        <w:ind w:left="1000" w:right="220" w:hanging="547"/>
        <w:spacing w:after="0" w:line="261"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85"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draft Diagnostic Accuracy and Innovation Act (DAIA) was introduced and outlined a regulatory approach for IVCT tests, i.e., IVDs and LDTs, that was risk-based and flexible.</w:t>
      </w:r>
    </w:p>
    <w:p>
      <w:pPr>
        <w:spacing w:after="0" w:line="67" w:lineRule="exact"/>
        <w:rPr>
          <w:rFonts w:ascii="Times New Roman" w:cs="Times New Roman" w:eastAsia="Times New Roman" w:hAnsi="Times New Roman"/>
          <w:sz w:val="18"/>
          <w:szCs w:val="18"/>
          <w:color w:val="auto"/>
        </w:rPr>
      </w:pPr>
    </w:p>
    <w:p>
      <w:pPr>
        <w:ind w:left="1000" w:right="48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2017, the FDA issued a document describing 20 case studies of LDTs that raised concerns about the safety and efficacy of this category of tests.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60" w:hanging="547"/>
        <w:spacing w:after="0" w:line="26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1" w:lineRule="exact"/>
        <w:rPr>
          <w:rFonts w:ascii="Times New Roman" w:cs="Times New Roman" w:eastAsia="Times New Roman" w:hAnsi="Times New Roman"/>
          <w:sz w:val="18"/>
          <w:szCs w:val="18"/>
          <w:color w:val="auto"/>
        </w:rPr>
      </w:pPr>
    </w:p>
    <w:p>
      <w:pPr>
        <w:ind w:left="1000" w:right="60" w:hanging="547"/>
        <w:spacing w:after="0" w:line="25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92"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67" w:lineRule="exact"/>
        <w:rPr>
          <w:rFonts w:ascii="Times New Roman" w:cs="Times New Roman" w:eastAsia="Times New Roman" w:hAnsi="Times New Roman"/>
          <w:sz w:val="18"/>
          <w:szCs w:val="18"/>
          <w:color w:val="auto"/>
        </w:rPr>
      </w:pPr>
    </w:p>
    <w:p>
      <w:pPr>
        <w:ind w:left="1000" w:right="120" w:hanging="547"/>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identical versions of the VALID Act were introduced in both chambers of Congress.</w:t>
      </w:r>
    </w:p>
    <w:p>
      <w:pPr>
        <w:spacing w:after="0" w:line="130"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2020, HHS announced a new policy determining that FDA must engage in notice-and-comment rulemaking before requiring premarket review of LDTs.</w:t>
      </w:r>
    </w:p>
    <w:p>
      <w:pPr>
        <w:spacing w:after="0" w:line="16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Emergency Use Authorization</w:t>
      </w:r>
    </w:p>
    <w:p>
      <w:pPr>
        <w:spacing w:after="0" w:line="121" w:lineRule="exact"/>
        <w:rPr>
          <w:sz w:val="20"/>
          <w:szCs w:val="20"/>
          <w:color w:val="auto"/>
        </w:rPr>
      </w:pPr>
    </w:p>
    <w:p>
      <w:pPr>
        <w:ind w:right="460" w:firstLine="449"/>
        <w:spacing w:after="0" w:line="266" w:lineRule="auto"/>
        <w:rPr>
          <w:sz w:val="20"/>
          <w:szCs w:val="20"/>
          <w:color w:val="auto"/>
        </w:rPr>
      </w:pPr>
      <w:r>
        <w:rPr>
          <w:rFonts w:ascii="Times New Roman" w:cs="Times New Roman" w:eastAsia="Times New Roman" w:hAnsi="Times New Roman"/>
          <w:sz w:val="18"/>
          <w:szCs w:val="18"/>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76" w:lineRule="exact"/>
        <w:rPr>
          <w:sz w:val="20"/>
          <w:szCs w:val="20"/>
          <w:color w:val="auto"/>
        </w:rPr>
      </w:pPr>
    </w:p>
    <w:p>
      <w:pPr>
        <w:jc w:val="both"/>
        <w:ind w:right="540" w:firstLine="449"/>
        <w:spacing w:after="0" w:line="266" w:lineRule="auto"/>
        <w:rPr>
          <w:sz w:val="20"/>
          <w:szCs w:val="20"/>
          <w:color w:val="auto"/>
        </w:rPr>
      </w:pPr>
      <w:r>
        <w:rPr>
          <w:rFonts w:ascii="Times New Roman" w:cs="Times New Roman" w:eastAsia="Times New Roman" w:hAnsi="Times New Roman"/>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76"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While this emergency declaration is effective, the FDA may authorize the use of an unapproved product or an unapproved use of an approved product if it concludes that:</w:t>
      </w:r>
    </w:p>
    <w:p>
      <w:pPr>
        <w:spacing w:after="0" w:line="67" w:lineRule="exact"/>
        <w:rPr>
          <w:sz w:val="20"/>
          <w:szCs w:val="20"/>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referred to in the emergency declaration could cause a serious or life-threatening disease or condition;</w:t>
      </w:r>
    </w:p>
    <w:p>
      <w:pPr>
        <w:spacing w:after="0" w:line="130"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67"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7"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adequate, approved, and available alternative to the authorized product for diagnosing, preventing, or treating the relevant disease or condition;</w:t>
      </w:r>
    </w:p>
    <w:p>
      <w:pPr>
        <w:spacing w:after="0" w:line="6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criteria prescribed by the FDA is satisfied. </w:t>
      </w:r>
      <w:r>
        <w:rPr>
          <w:rFonts w:ascii="Times New Roman" w:cs="Times New Roman" w:eastAsia="Times New Roman" w:hAnsi="Times New Roman"/>
          <w:sz w:val="18"/>
          <w:szCs w:val="18"/>
          <w:i w:val="1"/>
          <w:iCs w:val="1"/>
          <w:color w:val="auto"/>
        </w:rPr>
        <w:t>Id.</w:t>
      </w:r>
      <w:r>
        <w:rPr>
          <w:rFonts w:ascii="Times New Roman" w:cs="Times New Roman" w:eastAsia="Times New Roman" w:hAnsi="Times New Roman"/>
          <w:sz w:val="18"/>
          <w:szCs w:val="18"/>
          <w:color w:val="auto"/>
        </w:rPr>
        <w:t xml:space="preserve"> § 360bbb-3(c).</w:t>
      </w:r>
    </w:p>
    <w:p>
      <w:pPr>
        <w:spacing w:after="0" w:line="22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87"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February 2019.</w:t>
      </w:r>
    </w:p>
    <w:p>
      <w:pPr>
        <w:spacing w:after="0" w:line="18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8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87" w:lineRule="exact"/>
        <w:rPr>
          <w:sz w:val="20"/>
          <w:szCs w:val="20"/>
          <w:color w:val="auto"/>
        </w:rPr>
      </w:pPr>
    </w:p>
    <w:p>
      <w:pPr>
        <w:ind w:right="200" w:firstLine="449"/>
        <w:spacing w:after="0" w:line="274" w:lineRule="auto"/>
        <w:rPr>
          <w:sz w:val="20"/>
          <w:szCs w:val="20"/>
          <w:color w:val="auto"/>
        </w:rPr>
      </w:pPr>
      <w:r>
        <w:rPr>
          <w:rFonts w:ascii="Times New Roman" w:cs="Times New Roman" w:eastAsia="Times New Roman" w:hAnsi="Times New Roman"/>
          <w:sz w:val="17"/>
          <w:szCs w:val="17"/>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455" w:right="3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94"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6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regulations specific to medical devices are wide ranging and govern, among other things:</w:t>
      </w:r>
    </w:p>
    <w:p>
      <w:pPr>
        <w:spacing w:after="0" w:line="112" w:lineRule="exact"/>
        <w:rPr>
          <w:sz w:val="20"/>
          <w:szCs w:val="20"/>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3"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83"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76"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8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Alternatively, the FDA also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89"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7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455" w:right="3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8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94"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3"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455" w:right="3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Regulations</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7"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3"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Times New Roman" w:cs="Times New Roman" w:eastAsia="Times New Roman" w:hAnsi="Times New Roman"/>
          <w:sz w:val="18"/>
          <w:szCs w:val="18"/>
          <w:b w:val="1"/>
          <w:b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9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455" w:right="3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Integrated Diagnostics</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Oncimmune USA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8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83"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Bio-Rad License expires in August 2024. Either party may terminate for the other’s uncured material breach or bankruptcy events. Bio-Rad may terminate the Bio-Rad License if we do not purchase licensed products under the separate supply agreement for a consecutive twelve month period or for any material breach by us of the supply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have been granted permission by Bio-Rad to use the Bio-Rad SARS-CoV-2 ddPCR assay for commercial diagnostic services.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121"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0"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Drug Co-Development</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89"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8"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In October 2016 we and AVEO amended the AVEO Agreement to deem our obligation to cover initial pre-clinical costs satisfied in exchange for a one-time payment of all applicable development costs incurred to that 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2020, we had 154 full time employees, 43 of whom were engaged in development activities, and 38 of whom were engaged in general and administrative functions. Our employees are primarily located 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00"/>
          </w:cols>
          <w:pgMar w:left="320" w:top="455" w:right="3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Georgantas III,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Research and Translational Science</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Pestano,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8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brief biographies describing the backgrounds of our executive officers and non-employee directors:</w:t>
      </w:r>
    </w:p>
    <w:p>
      <w:pPr>
        <w:spacing w:after="0" w:line="3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Times New Roman" w:cs="Times New Roman" w:eastAsia="Times New Roman" w:hAnsi="Times New Roman"/>
          <w:sz w:val="18"/>
          <w:szCs w:val="18"/>
          <w:i w:val="1"/>
          <w:iCs w:val="1"/>
          <w:color w:val="auto"/>
        </w:rPr>
        <w:t>Medtronic Wallin Leadership Award</w:t>
      </w:r>
      <w:r>
        <w:rPr>
          <w:rFonts w:ascii="Times New Roman" w:cs="Times New Roman" w:eastAsia="Times New Roman" w:hAnsi="Times New Roman"/>
          <w:sz w:val="18"/>
          <w:szCs w:val="18"/>
          <w:color w:val="auto"/>
        </w:rPr>
        <w:t xml:space="preserve"> for his focus on talent development, business performance, and his personal and intentional demonstration of leadership.</w:t>
      </w:r>
    </w:p>
    <w:p>
      <w:pPr>
        <w:spacing w:after="0" w:line="190" w:lineRule="exact"/>
        <w:rPr>
          <w:sz w:val="20"/>
          <w:szCs w:val="20"/>
          <w:color w:val="auto"/>
        </w:rPr>
      </w:pPr>
    </w:p>
    <w:p>
      <w:pPr>
        <w:ind w:right="78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Robin Harper Cowie </w:t>
      </w:r>
      <w:r>
        <w:rPr>
          <w:rFonts w:ascii="Times New Roman" w:cs="Times New Roman" w:eastAsia="Times New Roman" w:hAnsi="Times New Roman"/>
          <w:sz w:val="18"/>
          <w:szCs w:val="18"/>
          <w:color w:val="auto"/>
        </w:rPr>
        <w:t>has served as our Chief Financial Officer since April 2017. She has been with the Company in multiple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reimbursement positions since March 2011, serving as Vice President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455"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83"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Kieran O’Kane </w:t>
      </w:r>
      <w:r>
        <w:rPr>
          <w:rFonts w:ascii="Times New Roman" w:cs="Times New Roman" w:eastAsia="Times New Roman" w:hAnsi="Times New Roman"/>
          <w:sz w:val="18"/>
          <w:szCs w:val="18"/>
          <w:color w:val="auto"/>
        </w:rPr>
        <w:t>has served as our Chief Commercial Officer since March 2020 and has been with the Company in multiple marketing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82"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Pestano, Ph.D. </w:t>
      </w:r>
      <w:r>
        <w:rPr>
          <w:rFonts w:ascii="Times New Roman" w:cs="Times New Roman" w:eastAsia="Times New Roman" w:hAnsi="Times New Roman"/>
          <w:sz w:val="18"/>
          <w:szCs w:val="18"/>
          <w:color w:val="auto"/>
        </w:rPr>
        <w:t>has served as our Chief Development Officer since October 2018 and has been with the Company in Product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85" w:lineRule="exact"/>
        <w:rPr>
          <w:sz w:val="20"/>
          <w:szCs w:val="20"/>
          <w:color w:val="auto"/>
        </w:rPr>
      </w:pPr>
    </w:p>
    <w:p>
      <w:pPr>
        <w:ind w:right="160"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Georgantas III, Ph.D. </w:t>
      </w:r>
      <w:r>
        <w:rPr>
          <w:rFonts w:ascii="Times New Roman" w:cs="Times New Roman" w:eastAsia="Times New Roman" w:hAnsi="Times New Roman"/>
          <w:sz w:val="18"/>
          <w:szCs w:val="18"/>
          <w:color w:val="auto"/>
        </w:rPr>
        <w:t>has served as our Senior Vice President of Research and Translational Science since August 2019. From 2014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88" w:lineRule="exact"/>
        <w:rPr>
          <w:sz w:val="20"/>
          <w:szCs w:val="20"/>
          <w:color w:val="auto"/>
        </w:rPr>
      </w:pPr>
    </w:p>
    <w:p>
      <w:pPr>
        <w:ind w:right="56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M. Franchi </w:t>
      </w:r>
      <w:r>
        <w:rPr>
          <w:rFonts w:ascii="Times New Roman" w:cs="Times New Roman" w:eastAsia="Times New Roman" w:hAnsi="Times New Roman"/>
          <w:sz w:val="18"/>
          <w:szCs w:val="18"/>
          <w:color w:val="auto"/>
        </w:rPr>
        <w:t>has served as a Director of the Company since April 2020. Ms. Franchi is currently Chief Financial Officer at Replimune,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developing oncolytic immuno-gene therapies. Prior 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455" w:right="3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7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was President and Chief Executive Officer of GenMark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Medical Systems, Inc. from 1991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83"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 Birchview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w:t>
            </w: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and their terms will expire at our first annual meeting of stockholders following this</w:t>
            </w:r>
          </w:p>
        </w:tc>
      </w:tr>
      <w:tr>
        <w:trPr>
          <w:trHeight w:val="234"/>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1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w:t>
            </w:r>
          </w:p>
        </w:tc>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 and their terms will expire at our second annual meeting of stockholders following this</w:t>
            </w:r>
          </w:p>
        </w:tc>
      </w:tr>
      <w:tr>
        <w:trPr>
          <w:trHeight w:val="234"/>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and</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1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w:t>
            </w:r>
          </w:p>
        </w:tc>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and their terms will be expire at our third annual meeting of stockholders following</w:t>
            </w:r>
          </w:p>
        </w:tc>
      </w:tr>
      <w:tr>
        <w:trPr>
          <w:trHeight w:val="234"/>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offering.</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bl>
    <w:p>
      <w:pPr>
        <w:spacing w:after="0" w:line="198"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00"/>
          </w:cols>
          <w:pgMar w:left="320" w:top="455" w:right="3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4" w:lineRule="exact"/>
        <w:rPr>
          <w:sz w:val="20"/>
          <w:szCs w:val="20"/>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adequacy and effectiveness of our disclosure controls and procedures;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130" w:lineRule="exact"/>
        <w:rPr>
          <w:rFonts w:ascii="Times New Roman" w:cs="Times New Roman" w:eastAsia="Times New Roman" w:hAnsi="Times New Roman"/>
          <w:sz w:val="18"/>
          <w:szCs w:val="18"/>
          <w:color w:val="auto"/>
        </w:rPr>
      </w:pPr>
    </w:p>
    <w:p>
      <w:pPr>
        <w:ind w:left="1000" w:right="220" w:hanging="547"/>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 and deciding whether to retain its services;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130"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an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7"/>
          <w:szCs w:val="17"/>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70" w:lineRule="exact"/>
        <w:rPr>
          <w:sz w:val="20"/>
          <w:szCs w:val="20"/>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overseeing overall compensation strategy and policies;</w:t>
      </w:r>
    </w:p>
    <w:p>
      <w:pPr>
        <w:spacing w:after="0" w:line="130"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chief executive officer, other executive officers and senior management, as appropriate;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 as appropriate;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455" w:right="3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the work of compensation consultants, legal counsel or any other advisors and consultants engaged for the purpose of advising the compensation committee;</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equity award plans, compensation plans and similar programs, as well as modification or termination of plans and programs;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the adequacy of its charter.</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85" w:lineRule="exact"/>
        <w:rPr>
          <w:sz w:val="20"/>
          <w:szCs w:val="20"/>
          <w:color w:val="auto"/>
        </w:rPr>
      </w:pPr>
    </w:p>
    <w:p>
      <w:pPr>
        <w:ind w:left="1000" w:right="240" w:hanging="547"/>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nominating and recommending individuals for membership on our Board of Directors;</w:t>
      </w:r>
    </w:p>
    <w:p>
      <w:pPr>
        <w:spacing w:after="0" w:line="130"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amendments to our corporate governance policies; and</w:t>
      </w:r>
    </w:p>
    <w:p>
      <w:pPr>
        <w:spacing w:after="0" w:line="130"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Director Compensation Table</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7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In respect of 2019 service, Messrs. Schuler, Patience, Miller, and Strobeck each received stock options representing the right to purchase 208,696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156,522 shares of our common stock. These stock options vest in a series of twelve</w:t>
      </w:r>
    </w:p>
    <w:p>
      <w:pPr>
        <w:spacing w:after="0" w:line="3" w:lineRule="exact"/>
        <w:rPr>
          <w:sz w:val="20"/>
          <w:szCs w:val="20"/>
          <w:color w:val="auto"/>
        </w:rPr>
      </w:pPr>
    </w:p>
    <w:p>
      <w:pPr>
        <w:ind w:right="80" w:firstLine="8"/>
        <w:spacing w:after="0" w:line="252" w:lineRule="auto"/>
        <w:tabs>
          <w:tab w:leader="none" w:pos="3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equal monthly installments measured from the vesting commencement date. Moreover, Dr. Watts received an RSU award with respect to 156,522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1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220" w:hanging="452"/>
        <w:spacing w:after="0" w:line="261"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RSUs, calculated in accordance with FASB ASC Topic 718 based on the assumption that the value of each RSU was equal to $0.13.</w:t>
      </w:r>
    </w:p>
    <w:p>
      <w:pPr>
        <w:ind w:left="460" w:right="100" w:hanging="452"/>
        <w:spacing w:after="0" w:line="252"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87" w:lineRule="exact"/>
        <w:rPr>
          <w:sz w:val="20"/>
          <w:szCs w:val="20"/>
          <w:color w:val="auto"/>
        </w:rPr>
      </w:pPr>
    </w:p>
    <w:p>
      <w:pPr>
        <w:ind w:right="140" w:firstLine="449"/>
        <w:spacing w:after="0" w:line="274" w:lineRule="auto"/>
        <w:rPr>
          <w:sz w:val="20"/>
          <w:szCs w:val="20"/>
          <w:color w:val="auto"/>
        </w:rPr>
      </w:pPr>
      <w:r>
        <w:rPr>
          <w:rFonts w:ascii="Times New Roman" w:cs="Times New Roman" w:eastAsia="Times New Roman" w:hAnsi="Times New Roman"/>
          <w:sz w:val="17"/>
          <w:szCs w:val="17"/>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8" w:lineRule="exact"/>
        <w:rPr>
          <w:sz w:val="20"/>
          <w:szCs w:val="20"/>
          <w:color w:val="auto"/>
        </w:rPr>
      </w:pPr>
    </w:p>
    <w:p>
      <w:pPr>
        <w:ind w:left="1000" w:hanging="54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Brunel, Former Chief Executive Officer;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Former Chief Operating Officer.</w:t>
      </w:r>
    </w:p>
    <w:p>
      <w:pPr>
        <w:spacing w:after="0" w:line="225"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00"/>
          </w:cols>
          <w:pgMar w:left="320" w:top="455" w:right="3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0"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270,000, 250,000, and 210,000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year ended December 31, 2019, the Board of Directors also awarded Messrs. Brunel, Hutton, and Ms. Harper Cowie stock options (Performance-Vested Options) representing the right to purchase 160,000, 150,000, and 105,000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94"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2019 Year-End” for a summary of the outstanding equity awards held by each of the named executive officers as of 2019 year-end.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Summary Compensation Table</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4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5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David Brunel</w:t>
            </w:r>
          </w:p>
        </w:tc>
        <w:tc>
          <w:tcPr>
            <w:tcW w:w="42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4"/>
              </w:rPr>
              <w:t>2019</w:t>
            </w:r>
          </w:p>
        </w:tc>
        <w:tc>
          <w:tcPr>
            <w:tcW w:w="3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343,750</w:t>
            </w:r>
          </w:p>
        </w:tc>
        <w:tc>
          <w:tcPr>
            <w:tcW w:w="3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6"/>
              </w:rPr>
              <w:t>22,531</w:t>
            </w:r>
          </w:p>
        </w:tc>
        <w:tc>
          <w:tcPr>
            <w:tcW w:w="3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w w:val="95"/>
              </w:rPr>
              <w:t>366,281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Executive Officer </w:t>
            </w:r>
            <w:r>
              <w:rPr>
                <w:rFonts w:ascii="Times New Roman" w:cs="Times New Roman" w:eastAsia="Times New Roman" w:hAnsi="Times New Roman"/>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298,475</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20,959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319,434</w:t>
            </w:r>
          </w:p>
        </w:tc>
        <w:tc>
          <w:tcPr>
            <w:tcW w:w="0" w:type="dxa"/>
            <w:vAlign w:val="bottom"/>
          </w:tcPr>
          <w:p>
            <w:pPr>
              <w:spacing w:after="0"/>
              <w:rPr>
                <w:sz w:val="1"/>
                <w:szCs w:val="1"/>
                <w:color w:val="auto"/>
              </w:rPr>
            </w:pPr>
          </w:p>
        </w:tc>
      </w:tr>
      <w:tr>
        <w:trPr>
          <w:trHeight w:val="234"/>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Former Chief Operating Officer </w:t>
            </w:r>
            <w:r>
              <w:rPr>
                <w:rFonts w:ascii="Times New Roman" w:cs="Times New Roman" w:eastAsia="Times New Roman" w:hAnsi="Times New Roman"/>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Robin Harper Cowie</w:t>
            </w:r>
          </w:p>
        </w:tc>
        <w:tc>
          <w:tcPr>
            <w:tcW w:w="8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263,525</w:t>
            </w:r>
          </w:p>
        </w:tc>
        <w:tc>
          <w:tcPr>
            <w:tcW w:w="126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16,505</w:t>
            </w:r>
          </w:p>
        </w:tc>
        <w:tc>
          <w:tcPr>
            <w:tcW w:w="7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280,030</w:t>
            </w:r>
          </w:p>
        </w:tc>
        <w:tc>
          <w:tcPr>
            <w:tcW w:w="0" w:type="dxa"/>
            <w:vAlign w:val="bottom"/>
          </w:tcPr>
          <w:p>
            <w:pPr>
              <w:spacing w:after="0"/>
              <w:rPr>
                <w:sz w:val="1"/>
                <w:szCs w:val="1"/>
                <w:color w:val="auto"/>
              </w:rPr>
            </w:pPr>
          </w:p>
        </w:tc>
      </w:tr>
      <w:tr>
        <w:trPr>
          <w:trHeight w:val="248"/>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60" w:hanging="452"/>
        <w:spacing w:after="0" w:line="257"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Hutton’s service as our Chief Operating Officer terminated on January 1, 2020, after which he became the President and Chief Executive Officer.</w:t>
      </w:r>
    </w:p>
    <w:p>
      <w:pPr>
        <w:spacing w:after="0" w:line="20" w:lineRule="exact"/>
        <w:rPr>
          <w:rFonts w:ascii="Times New Roman" w:cs="Times New Roman" w:eastAsia="Times New Roman" w:hAnsi="Times New Roman"/>
          <w:sz w:val="17"/>
          <w:szCs w:val="17"/>
          <w:color w:val="auto"/>
        </w:rPr>
      </w:pPr>
    </w:p>
    <w:p>
      <w:pPr>
        <w:ind w:left="460" w:right="160" w:hanging="452"/>
        <w:spacing w:after="0" w:line="250"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of the year ended December 31, 2019, none of the named executive officers held any outstanding restricted stock units or other stock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3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246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24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Exercisable</w:t>
            </w:r>
          </w:p>
        </w:tc>
        <w:tc>
          <w:tcPr>
            <w:tcW w:w="1600" w:type="dxa"/>
            <w:vAlign w:val="bottom"/>
          </w:tcPr>
          <w:p>
            <w:pPr>
              <w:jc w:val="center"/>
              <w:ind w:right="95"/>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 Unexercisable</w:t>
            </w:r>
          </w:p>
        </w:tc>
        <w:tc>
          <w:tcPr>
            <w:tcW w:w="1300" w:type="dxa"/>
            <w:vAlign w:val="bottom"/>
          </w:tcPr>
          <w:p>
            <w:pPr>
              <w:jc w:val="center"/>
              <w:ind w:right="96"/>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Options (#)</w:t>
            </w:r>
          </w:p>
        </w:tc>
        <w:tc>
          <w:tcPr>
            <w:tcW w:w="9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David Brunel</w:t>
            </w: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4/26/2010</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41,824</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2.75</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4/25/2020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4/22/2011</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66,964</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4/21/2021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8/8/2011</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125,000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0.56</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115,000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1/29/2022</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1/30/2012</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50,426</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1/29/2022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2/5/2013</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5,250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2/4/2023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3/11/2013</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111,500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3/10/2023</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2/4/2014</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110,000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2/3/2024</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2/20/2014</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85,365</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4.10</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2/19/2024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4/8/2015</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49,167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4/7/2025</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4/7/2016</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306,083</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54,167</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10/14/2016</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27,563</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10/13/2026</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5/16/2017</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116,667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83,333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5/15/2027</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76,667</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123,333</w:t>
            </w:r>
            <w:r>
              <w:rPr>
                <w:rFonts w:ascii="Times New Roman" w:cs="Times New Roman" w:eastAsia="Times New Roman" w:hAnsi="Times New Roman"/>
                <w:sz w:val="15"/>
                <w:szCs w:val="15"/>
                <w:color w:val="auto"/>
              </w:rPr>
              <w:t>(1)</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400,000</w:t>
            </w: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270,000</w:t>
            </w:r>
            <w:r>
              <w:rPr>
                <w:rFonts w:ascii="Times New Roman" w:cs="Times New Roman" w:eastAsia="Times New Roman" w:hAnsi="Times New Roman"/>
                <w:sz w:val="15"/>
                <w:szCs w:val="15"/>
                <w:color w:val="auto"/>
              </w:rPr>
              <w:t>(2)</w:t>
            </w: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160,000</w:t>
            </w:r>
            <w:r>
              <w:rPr>
                <w:rFonts w:ascii="Times New Roman" w:cs="Times New Roman" w:eastAsia="Times New Roman" w:hAnsi="Times New Roman"/>
                <w:sz w:val="15"/>
                <w:szCs w:val="15"/>
                <w:color w:val="auto"/>
              </w:rPr>
              <w:t>(4)</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4/4/2018</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15"/>
                <w:szCs w:val="15"/>
                <w:color w:val="auto"/>
              </w:rPr>
              <w:t>(3)</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4/3/2028</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2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3/22/2019</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15"/>
                <w:szCs w:val="15"/>
                <w:color w:val="auto"/>
              </w:rPr>
              <w:t>(2)</w:t>
            </w: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150,000</w:t>
            </w:r>
            <w:r>
              <w:rPr>
                <w:rFonts w:ascii="Times New Roman" w:cs="Times New Roman" w:eastAsia="Times New Roman" w:hAnsi="Times New Roman"/>
                <w:sz w:val="15"/>
                <w:szCs w:val="15"/>
                <w:color w:val="auto"/>
              </w:rPr>
              <w:t>(4)</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0.13</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4/22/2011</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15,000</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4/21/2021</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2/4/2014</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60,000</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2/3/2024</w:t>
            </w:r>
          </w:p>
        </w:tc>
      </w:tr>
      <w:tr>
        <w:trPr>
          <w:trHeight w:val="198"/>
        </w:trPr>
        <w:tc>
          <w:tcPr>
            <w:tcW w:w="3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4/8/2015</w:t>
            </w:r>
          </w:p>
        </w:tc>
        <w:tc>
          <w:tcPr>
            <w:tcW w:w="1660" w:type="dxa"/>
            <w:vAlign w:val="bottom"/>
            <w:shd w:val="clear" w:color="auto" w:fill="CCEEFF"/>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40,000</w:t>
            </w:r>
          </w:p>
        </w:tc>
        <w:tc>
          <w:tcPr>
            <w:tcW w:w="146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0.74</w:t>
            </w:r>
          </w:p>
        </w:tc>
        <w:tc>
          <w:tcPr>
            <w:tcW w:w="126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4/7/2025</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4/7/2016</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213,010</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45,500</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4/6/2026</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5/16/2017</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58,333</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41,667</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5/15/2027</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4/4/2018</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47,917</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77,083</w:t>
            </w:r>
            <w:r>
              <w:rPr>
                <w:rFonts w:ascii="Times New Roman" w:cs="Times New Roman" w:eastAsia="Times New Roman" w:hAnsi="Times New Roman"/>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4/3/2028</w:t>
            </w:r>
          </w:p>
        </w:tc>
      </w:tr>
      <w:tr>
        <w:trPr>
          <w:trHeight w:val="234"/>
        </w:trPr>
        <w:tc>
          <w:tcPr>
            <w:tcW w:w="3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3/22/2019</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210,000</w:t>
            </w:r>
            <w:r>
              <w:rPr>
                <w:rFonts w:ascii="Times New Roman" w:cs="Times New Roman" w:eastAsia="Times New Roman" w:hAnsi="Times New Roman"/>
                <w:sz w:val="15"/>
                <w:szCs w:val="15"/>
                <w:color w:val="auto"/>
              </w:rPr>
              <w:t>(2)</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105,000</w:t>
            </w:r>
            <w:r>
              <w:rPr>
                <w:rFonts w:ascii="Times New Roman" w:cs="Times New Roman" w:eastAsia="Times New Roman" w:hAnsi="Times New Roman"/>
                <w:sz w:val="15"/>
                <w:szCs w:val="15"/>
                <w:color w:val="auto"/>
              </w:rPr>
              <w:t>(4)</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sixty (60) successive, equal monthly installments measured from the vesting commencement date.</w:t>
      </w:r>
    </w:p>
    <w:p>
      <w:pPr>
        <w:spacing w:after="0" w:line="27"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Times New Roman" w:cs="Times New Roman" w:eastAsia="Times New Roman" w:hAnsi="Times New Roman"/>
          <w:sz w:val="18"/>
          <w:szCs w:val="18"/>
          <w:color w:val="auto"/>
        </w:rPr>
      </w:pPr>
    </w:p>
    <w:p>
      <w:pPr>
        <w:jc w:val="both"/>
        <w:ind w:left="460" w:right="40" w:hanging="452"/>
        <w:spacing w:after="0" w:line="25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455"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5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2019, the Board of Directors awarded Messrs. Brunel, Hutton, and Ms. Harper Cowie stock options representing the right to purchase 160,000, 150,000 and 105,000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Harper Cowie Offer Letters</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7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Hutton Offer Letters</w:t>
      </w:r>
    </w:p>
    <w:p>
      <w:pPr>
        <w:spacing w:after="0" w:line="1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8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92" w:lineRule="exact"/>
        <w:rPr>
          <w:sz w:val="20"/>
          <w:szCs w:val="20"/>
          <w:color w:val="auto"/>
        </w:rPr>
      </w:pPr>
    </w:p>
    <w:p>
      <w:pPr>
        <w:ind w:firstLine="449"/>
        <w:spacing w:after="0" w:line="273" w:lineRule="auto"/>
        <w:rPr>
          <w:sz w:val="20"/>
          <w:szCs w:val="20"/>
          <w:color w:val="auto"/>
        </w:rPr>
      </w:pPr>
      <w:r>
        <w:rPr>
          <w:rFonts w:ascii="Times New Roman" w:cs="Times New Roman" w:eastAsia="Times New Roman" w:hAnsi="Times New Roman"/>
          <w:sz w:val="17"/>
          <w:szCs w:val="17"/>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00"/>
          </w:cols>
          <w:pgMar w:left="320" w:top="455"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21"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In 2016, our Board of Directors adopted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81"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The number of shares reserved for issuance under the 2016 Incentive Plan as of December 31, 2019 was 10,999,384,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issued in satisfaction of incentive stock option awards.</w:t>
      </w:r>
    </w:p>
    <w:p>
      <w:pPr>
        <w:spacing w:after="0" w:line="16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83"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2019, our employees, directors and consultants hold outstanding stock options granted under the 2016 Incentive Plan for the purchase of up to 9,887,733 shares of our common stock, with 3,626,699 of those options vested as of such date, and outstanding RSUs with respect to 156,522 shares of our common stock.</w:t>
      </w:r>
    </w:p>
    <w:p>
      <w:pPr>
        <w:spacing w:after="0" w:line="17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or committees delegated by our Board of Directors, administers the 2016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3" w:lineRule="exact"/>
        <w:rPr>
          <w:sz w:val="20"/>
          <w:szCs w:val="20"/>
          <w:color w:val="auto"/>
        </w:rPr>
      </w:pPr>
    </w:p>
    <w:p>
      <w:pPr>
        <w:ind w:right="1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are eligible to participate in the 2016 Incentive Plan, if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participation by the plan administrator.</w:t>
      </w:r>
    </w:p>
    <w:p>
      <w:pPr>
        <w:spacing w:after="0" w:line="158"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Our Board of Directors may grant incentive stock options, nonstatutory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20"/>
          </w:cols>
          <w:pgMar w:left="320" w:top="455" w:right="3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Our Board of Directors will decide at the time of grant whether an award will be in the form of restricted stock, RSUs, or other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0"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The 2016 Incentive Plan does not allow options or stock appreciation rights to be transferred other than by will or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7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3"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2016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7"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2016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20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The Board of Directors has the discretion to grant awards under the 2016 Incentive Plan, and therefore it is not possible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73" w:lineRule="exact"/>
        <w:rPr>
          <w:sz w:val="20"/>
          <w:szCs w:val="20"/>
          <w:color w:val="auto"/>
        </w:rPr>
      </w:pPr>
    </w:p>
    <w:p>
      <w:pPr>
        <w:ind w:right="34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has the authority to amend or terminate the 2016 Incentive Plan, subject to any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required by law. No amendment may impair the rights of a holder of an outstanding award without the consent of such holder.</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2006 Employee, Director and Consultant Stock Plan</w:t>
      </w:r>
    </w:p>
    <w:p>
      <w:pPr>
        <w:spacing w:after="0" w:line="121"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62"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60"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At the time the 2006 Incentive Plan was replaced by the 2016 Incentive Plan, 801,585 shares of our common stock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1,488,414 shares of our common stock, with 1,468,054 of those options vested as of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delegated by our board of directors, administers the 2006 Incentive Plan.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3" w:lineRule="exact"/>
        <w:rPr>
          <w:sz w:val="20"/>
          <w:szCs w:val="20"/>
          <w:color w:val="auto"/>
        </w:rPr>
      </w:pPr>
    </w:p>
    <w:p>
      <w:pPr>
        <w:ind w:right="60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Employees, directors and consultants of the Company and any affiliate were eligible to participate in the 2006 Incentive Plan,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for participation by the plan administrator.</w:t>
      </w:r>
    </w:p>
    <w:p>
      <w:pPr>
        <w:spacing w:after="0" w:line="15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and Terms of Awards. </w:t>
      </w:r>
      <w:r>
        <w:rPr>
          <w:rFonts w:ascii="Times New Roman" w:cs="Times New Roman" w:eastAsia="Times New Roman" w:hAnsi="Times New Roman"/>
          <w:sz w:val="18"/>
          <w:szCs w:val="18"/>
          <w:color w:val="auto"/>
        </w:rPr>
        <w:t>Under the 2006 Incentive Plan, we were authorized to grant stock options, stock appreciation rights,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0" w:lineRule="exact"/>
        <w:rPr>
          <w:sz w:val="20"/>
          <w:szCs w:val="20"/>
          <w:color w:val="auto"/>
        </w:rPr>
      </w:pPr>
    </w:p>
    <w:p>
      <w:pPr>
        <w:ind w:right="1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Under the terms of the 2006 Incentive Plan relating to stock options and stock appreciation rights, upon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7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If any change is made in our common stock, without the receipt of consideration by us, such as through a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we experience a corporate transaction under the terms of the 2006 Incentive Plan,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6" w:lineRule="exact"/>
        <w:rPr>
          <w:sz w:val="20"/>
          <w:szCs w:val="20"/>
          <w:color w:val="auto"/>
        </w:rPr>
      </w:pPr>
    </w:p>
    <w:p>
      <w:pPr>
        <w:ind w:right="6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under the terms of the 2006 Incentive Plan, an award may be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vesting and exercisability as may be provided in the award agreement or in any other written agreement between the Company or any affiliate and the participant.</w:t>
      </w:r>
    </w:p>
    <w:p>
      <w:pPr>
        <w:spacing w:after="0" w:line="173"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may, at any time, amend or terminate the 2006 Incentive Plan as it shall deem advisable,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stockholder approval required by law. No amendment may impair the rights of a holder of an outstanding award without the consent of such holder.</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Bonus-to-Options Program</w:t>
      </w:r>
    </w:p>
    <w:p>
      <w:pPr>
        <w:spacing w:after="0" w:line="121" w:lineRule="exact"/>
        <w:rPr>
          <w:sz w:val="20"/>
          <w:szCs w:val="20"/>
          <w:color w:val="auto"/>
        </w:rPr>
      </w:pPr>
    </w:p>
    <w:p>
      <w:pPr>
        <w:ind w:firstLine="449"/>
        <w:spacing w:after="0" w:line="259"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200" w:lineRule="exact"/>
        <w:rPr>
          <w:sz w:val="20"/>
          <w:szCs w:val="20"/>
          <w:color w:val="auto"/>
        </w:rPr>
      </w:pPr>
    </w:p>
    <w:p>
      <w:pPr>
        <w:spacing w:after="0" w:line="203"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8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83"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455" w:right="3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June 30, 2020, our executives held outstanding stock options granted under the Bonus-to-Options Program for the purchase of up to 1,028,367 shares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2020 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Brunel Consulting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3"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89" w:lineRule="exact"/>
        <w:rPr>
          <w:sz w:val="20"/>
          <w:szCs w:val="20"/>
          <w:color w:val="auto"/>
        </w:rPr>
      </w:pPr>
    </w:p>
    <w:p>
      <w:pPr>
        <w:ind w:right="640" w:firstLine="449"/>
        <w:spacing w:after="0" w:line="266" w:lineRule="auto"/>
        <w:rPr>
          <w:sz w:val="20"/>
          <w:szCs w:val="20"/>
          <w:color w:val="auto"/>
        </w:rPr>
      </w:pPr>
      <w:r>
        <w:rPr>
          <w:rFonts w:ascii="Times New Roman" w:cs="Times New Roman" w:eastAsia="Times New Roman" w:hAnsi="Times New Roman"/>
          <w:sz w:val="18"/>
          <w:szCs w:val="18"/>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Prior Equity Grants</w:t>
      </w:r>
    </w:p>
    <w:p>
      <w:pPr>
        <w:spacing w:after="0" w:line="121"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As described above, in September 2020 the Board of Directors of the Company amended the Time-Vested Options and the Performance-Vested Options as follows.</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60"/>
          </w:cols>
          <w:pgMar w:left="320" w:top="455" w:right="4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Financings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0" w:type="dxa"/>
            <w:vAlign w:val="bottom"/>
          </w:tcPr>
          <w:p>
            <w:pPr>
              <w:spacing w:after="0"/>
              <w:rPr>
                <w:sz w:val="1"/>
                <w:szCs w:val="1"/>
                <w:color w:val="auto"/>
              </w:rPr>
            </w:pPr>
          </w:p>
        </w:tc>
      </w:tr>
      <w:tr>
        <w:trPr>
          <w:trHeight w:val="160"/>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12,556,930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John Patience</w:t>
            </w:r>
            <w:r>
              <w:rPr>
                <w:rFonts w:ascii="Times New Roman" w:cs="Times New Roman" w:eastAsia="Times New Roman" w:hAnsi="Times New Roman"/>
                <w:sz w:val="15"/>
                <w:szCs w:val="15"/>
                <w:color w:val="auto"/>
              </w:rPr>
              <w:t>(2)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7,668,930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Manlia Limited</w:t>
            </w:r>
            <w:r>
              <w:rPr>
                <w:rFonts w:ascii="Times New Roman" w:cs="Times New Roman" w:eastAsia="Times New Roman" w:hAnsi="Times New Roman"/>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and entities affiliated with Matthew Strobeck</w:t>
            </w:r>
            <w:r>
              <w:rPr>
                <w:rFonts w:ascii="Times New Roman" w:cs="Times New Roman" w:eastAsia="Times New Roman" w:hAnsi="Times New Roman"/>
                <w:sz w:val="15"/>
                <w:szCs w:val="15"/>
                <w:color w:val="auto"/>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1,660,268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Sciences Alternative Financing and entities affiliated with Life Sciences Alternative Financing</w:t>
            </w:r>
            <w:r>
              <w:rPr>
                <w:rFonts w:ascii="Times New Roman" w:cs="Times New Roman" w:eastAsia="Times New Roman" w:hAnsi="Times New Roman"/>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1,651,389</w:t>
            </w:r>
          </w:p>
        </w:tc>
        <w:tc>
          <w:tcPr>
            <w:tcW w:w="0" w:type="dxa"/>
            <w:vAlign w:val="bottom"/>
          </w:tcPr>
          <w:p>
            <w:pPr>
              <w:spacing w:after="0"/>
              <w:rPr>
                <w:sz w:val="1"/>
                <w:szCs w:val="1"/>
                <w:color w:val="auto"/>
              </w:rPr>
            </w:pPr>
          </w:p>
        </w:tc>
      </w:t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Kennedy, Jr. Revocable Trust UAD 6/19/01</w:t>
            </w:r>
            <w:r>
              <w:rPr>
                <w:rFonts w:ascii="Times New Roman" w:cs="Times New Roman" w:eastAsia="Times New Roman" w:hAnsi="Times New Roman"/>
                <w:sz w:val="15"/>
                <w:szCs w:val="15"/>
                <w:color w:val="auto"/>
              </w:rPr>
              <w:t>(6)</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2,597,236</w:t>
            </w:r>
          </w:p>
        </w:tc>
        <w:tc>
          <w:tcPr>
            <w:tcW w:w="0" w:type="dxa"/>
            <w:vAlign w:val="bottom"/>
          </w:tcPr>
          <w:p>
            <w:pPr>
              <w:spacing w:after="0"/>
              <w:rPr>
                <w:sz w:val="1"/>
                <w:szCs w:val="1"/>
                <w:color w:val="auto"/>
              </w:rPr>
            </w:pPr>
          </w:p>
        </w:tc>
      </w:tr>
      <w:tr>
        <w:trPr>
          <w:trHeight w:val="346"/>
        </w:trPr>
        <w:tc>
          <w:tcPr>
            <w:tcW w:w="876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7"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1"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Cawthorn, a member of our Board of Directors is an affiliate of Manlia Limited, which holds more than 5% of our capital stock.</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Revocable Trust UAD 6/19/01 holds more than 5% of our capital stock.</w:t>
      </w:r>
    </w:p>
    <w:p>
      <w:pPr>
        <w:spacing w:after="0" w:line="207"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 For a description of the material rights and privileges of the preferred stock, see “Description of Capital Stock—Preferred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 Financings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94"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conditions as the consideration to be received by the holders of our equity securities in such transaction. The holders of the December 2019 Notes included a number of our directors and their affiliates.</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8"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 which will not apply to, and will terminate upon, the closing of, this offering. After the closing of this offering, the holders of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00"/>
          </w:cols>
          <w:pgMar w:left="320" w:top="455" w:right="3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320" w:top="455" w:right="3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June 30, 2020:</w:t>
      </w:r>
    </w:p>
    <w:p>
      <w:pPr>
        <w:spacing w:after="0" w:line="131" w:lineRule="exact"/>
        <w:rPr>
          <w:sz w:val="20"/>
          <w:szCs w:val="20"/>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June 30,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We have based percentage ownership of common stock before this offering on shares of common stock outstanding as of , 2020, which includes shares of common stock resulting from the conversion of all outstanding shares of preferred stock immediately upon the closing of this offering, as if this conversion had occurred as of , 2020. Percentage ownership of common stock after this offering assumes the sale of shares of common stock in this offering and no exercise of the underwriters’ over-allotment option.</w:t>
      </w:r>
    </w:p>
    <w:p>
      <w:pPr>
        <w:spacing w:after="0" w:line="180"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Biodesix, Inc., 2970 Wilderness Place, Suite 100, Boulder, Colorado 80301.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28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gridSpan w:val="3"/>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Owned Following</w:t>
            </w:r>
          </w:p>
        </w:tc>
        <w:tc>
          <w:tcPr>
            <w:tcW w:w="0" w:type="dxa"/>
            <w:vAlign w:val="bottom"/>
          </w:tcPr>
          <w:p>
            <w:pPr>
              <w:spacing w:after="0"/>
              <w:rPr>
                <w:sz w:val="1"/>
                <w:szCs w:val="1"/>
                <w:color w:val="auto"/>
              </w:rPr>
            </w:pPr>
          </w:p>
        </w:tc>
      </w:tr>
      <w:tr>
        <w:trPr>
          <w:trHeight w:val="173"/>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060" w:type="dxa"/>
            <w:vAlign w:val="bottom"/>
            <w:vMerge w:val="restart"/>
          </w:tcPr>
          <w:p>
            <w:pPr>
              <w:spacing w:after="0"/>
              <w:rPr>
                <w:sz w:val="15"/>
                <w:szCs w:val="15"/>
                <w:color w:val="auto"/>
              </w:rPr>
            </w:pPr>
          </w:p>
        </w:tc>
        <w:tc>
          <w:tcPr>
            <w:tcW w:w="1340" w:type="dxa"/>
            <w:vAlign w:val="bottom"/>
            <w:tcBorders>
              <w:bottom w:val="single" w:sz="8" w:color="auto"/>
            </w:tcBorders>
            <w:gridSpan w:val="3"/>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3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2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134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jc w:val="right"/>
              <w:ind w:right="1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c>
          <w:tcPr>
            <w:tcW w:w="11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 and entities affiliated with Jack Schuler</w:t>
            </w:r>
            <w:r>
              <w:rPr>
                <w:rFonts w:ascii="Times New Roman" w:cs="Times New Roman" w:eastAsia="Times New Roman" w:hAnsi="Times New Roman"/>
                <w:sz w:val="15"/>
                <w:szCs w:val="15"/>
                <w:color w:val="auto"/>
              </w:rPr>
              <w:t>(1)</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39,726,309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Patience and entities affiliated with John Patience</w:t>
            </w:r>
            <w:r>
              <w:rPr>
                <w:rFonts w:ascii="Times New Roman" w:cs="Times New Roman" w:eastAsia="Times New Roman" w:hAnsi="Times New Roman"/>
                <w:sz w:val="15"/>
                <w:szCs w:val="15"/>
                <w:color w:val="auto"/>
              </w:rPr>
              <w:t>(2)</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27,443,229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Life Sciences Alternative Financing LLC and entities affiliated with Life Sciences Alternative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LLC</w:t>
            </w:r>
            <w:r>
              <w:rPr>
                <w:rFonts w:ascii="Times New Roman" w:cs="Times New Roman" w:eastAsia="Times New Roman" w:hAnsi="Times New Roman"/>
                <w:sz w:val="15"/>
                <w:szCs w:val="15"/>
                <w:color w:val="auto"/>
              </w:rPr>
              <w:t>(3)</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12,301,293</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 and entities affiliated with Robert Cawthorn</w:t>
            </w:r>
            <w:r>
              <w:rPr>
                <w:rFonts w:ascii="Times New Roman" w:cs="Times New Roman" w:eastAsia="Times New Roman" w:hAnsi="Times New Roman"/>
                <w:sz w:val="15"/>
                <w:szCs w:val="15"/>
                <w:color w:val="auto"/>
              </w:rPr>
              <w:t>(4)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Lawrence T. Kennedy, Jr.</w:t>
            </w:r>
            <w:r>
              <w:rPr>
                <w:rFonts w:ascii="Times New Roman" w:cs="Times New Roman" w:eastAsia="Times New Roman" w:hAnsi="Times New Roman"/>
                <w:sz w:val="15"/>
                <w:szCs w:val="15"/>
                <w:color w:val="auto"/>
              </w:rPr>
              <w:t>(5)</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6,597,236</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5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r>
              <w:rPr>
                <w:rFonts w:ascii="Times New Roman" w:cs="Times New Roman" w:eastAsia="Times New Roman" w:hAnsi="Times New Roman"/>
                <w:sz w:val="15"/>
                <w:szCs w:val="15"/>
                <w:color w:val="auto"/>
              </w:rPr>
              <w:t>(6)</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346,667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Robin Harper Cowie</w:t>
            </w:r>
            <w:r>
              <w:rPr>
                <w:rFonts w:ascii="Times New Roman" w:cs="Times New Roman" w:eastAsia="Times New Roman" w:hAnsi="Times New Roman"/>
                <w:sz w:val="15"/>
                <w:szCs w:val="15"/>
                <w:color w:val="auto"/>
              </w:rPr>
              <w:t>(7)</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513,260</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Brunel</w:t>
            </w:r>
            <w:r>
              <w:rPr>
                <w:rFonts w:ascii="Times New Roman" w:cs="Times New Roman" w:eastAsia="Times New Roman" w:hAnsi="Times New Roman"/>
                <w:sz w:val="15"/>
                <w:szCs w:val="15"/>
                <w:color w:val="auto"/>
              </w:rPr>
              <w:t>(8)</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1,973,227</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Schuler</w:t>
            </w:r>
            <w:r>
              <w:rPr>
                <w:rFonts w:ascii="Times New Roman" w:cs="Times New Roman" w:eastAsia="Times New Roman" w:hAnsi="Times New Roman"/>
                <w:sz w:val="15"/>
                <w:szCs w:val="15"/>
                <w:color w:val="auto"/>
              </w:rPr>
              <w:t>(9)</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39,726,309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r>
              <w:rPr>
                <w:rFonts w:ascii="Times New Roman" w:cs="Times New Roman" w:eastAsia="Times New Roman" w:hAnsi="Times New Roman"/>
                <w:sz w:val="15"/>
                <w:szCs w:val="15"/>
                <w:color w:val="auto"/>
              </w:rPr>
              <w:t>(10)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27,443,229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Cawthorn</w:t>
            </w:r>
            <w:r>
              <w:rPr>
                <w:rFonts w:ascii="Times New Roman" w:cs="Times New Roman" w:eastAsia="Times New Roman" w:hAnsi="Times New Roman"/>
                <w:sz w:val="15"/>
                <w:szCs w:val="15"/>
                <w:color w:val="auto"/>
              </w:rPr>
              <w:t>(11)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r>
              <w:rPr>
                <w:rFonts w:ascii="Times New Roman" w:cs="Times New Roman" w:eastAsia="Times New Roman" w:hAnsi="Times New Roman"/>
                <w:sz w:val="15"/>
                <w:szCs w:val="15"/>
                <w:color w:val="auto"/>
              </w:rPr>
              <w:t>(12)</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5,365,866</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Miller</w:t>
            </w:r>
            <w:r>
              <w:rPr>
                <w:rFonts w:ascii="Times New Roman" w:cs="Times New Roman" w:eastAsia="Times New Roman" w:hAnsi="Times New Roman"/>
                <w:sz w:val="15"/>
                <w:szCs w:val="15"/>
                <w:color w:val="auto"/>
              </w:rPr>
              <w:t>(13)</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1,454,075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r>
              <w:rPr>
                <w:rFonts w:ascii="Times New Roman" w:cs="Times New Roman" w:eastAsia="Times New Roman" w:hAnsi="Times New Roman"/>
                <w:sz w:val="15"/>
                <w:szCs w:val="15"/>
                <w:color w:val="auto"/>
              </w:rPr>
              <w:t>(14)</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226,087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15"/>
                <w:szCs w:val="15"/>
                <w:color w:val="auto"/>
              </w:rPr>
              <w:t>(15)</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58,101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r>
              <w:rPr>
                <w:rFonts w:ascii="Times New Roman" w:cs="Times New Roman" w:eastAsia="Times New Roman" w:hAnsi="Times New Roman"/>
                <w:sz w:val="15"/>
                <w:szCs w:val="15"/>
                <w:color w:val="auto"/>
              </w:rPr>
              <w:t>(16)</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17,391</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(14 persons)</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88,425,409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50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886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6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278,261 shares of common stock issuable upon the exercise of options held by Jack Schuler that are vested and exercisable within 60 days of June 30, 2020, (b)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2,047,488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29,163,606 shares of common stock issuable upon conversion of (i) 1,454,545 shares of Series B Preferred Stock, (ii) 1,250,000 shares of Series B-1 Preferred Stock, (iii) 333,333 shares of Series C Preferred Stock, (iv) 3,101,784 shares of Series D Preferred Stock, (v) 1,759,853 shares of Series E Preferred Stock, (vi) 6,273,780 shares of Series F Preferred Stock, (vii) 9,419,362 shares of Series G Preferred Stock, and (viii) 5,366,411 shares of Series H Preferred Stock held by Jack W. Schuler Living Trust and (h)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Tino Hans Schuler, Trust.</w:t>
      </w:r>
    </w:p>
    <w:p>
      <w:pPr>
        <w:spacing w:after="0" w:line="7"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278,261 shares of common stock issuable upon the exercise of options held by John Patience that are vested and exercisable within 60 days of June 30, 2020, (b) 10,858,953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16,306,015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w:t>
      </w:r>
    </w:p>
    <w:p>
      <w:pPr>
        <w:spacing w:after="0" w:line="2"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10,649,904 shares of common stock issuable upon conversion of 10,649,904 shares of Series G Preferred Stock held by IND Funding LLC and (b) 1,651,389 shares of common stock issuable upon conversion of 1,651,389 shares of Series H Preferred Stock held by Life Sciences Alternative Financing LLC.</w:t>
      </w:r>
    </w:p>
    <w:p>
      <w:pPr>
        <w:spacing w:after="0" w:line="1" w:lineRule="exact"/>
        <w:rPr>
          <w:rFonts w:ascii="Times New Roman" w:cs="Times New Roman" w:eastAsia="Times New Roman" w:hAnsi="Times New Roman"/>
          <w:sz w:val="18"/>
          <w:szCs w:val="18"/>
          <w:color w:val="auto"/>
        </w:rPr>
      </w:pPr>
    </w:p>
    <w:p>
      <w:pPr>
        <w:ind w:left="460" w:hanging="452"/>
        <w:spacing w:after="0" w:line="25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 shares of common stock, (b) 278,261 shares of common stock issuable upon the exercise of options held by Robert Cawthorn that are vested and exercisable within 60 days of June 30, 2020 and (c) 10,555,052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455"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120" w:hanging="452"/>
        <w:spacing w:after="0" w:line="255"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4,594,651 shares of common stock issuable upon conversion of (i) 2,666,668 shares of Series G Preferred Stock and (ii) 1,927,983 shares of Series H Preferred Stock held by Lawrence T. Kennedy, Jr. Revocable Trust UAD 6/19/01 and as amended from time to time and (b) 2,002,585 shares of common stock issuable upon conversion of (i) 1,333,332 shares of Series G Preferred Stock and (ii) 669,253 shares of Series H Preferred Stock held by Lawrence T. Kennedy, Jr. Perpetuity Trust UAD 6/30/16.</w:t>
      </w:r>
    </w:p>
    <w:p>
      <w:pPr>
        <w:spacing w:after="0" w:line="2"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346,667 shares of common stock issuable upon the exercise of options held by Scott Hutton that are vested and exercisable within 60 days of June 30, 2020.</w:t>
      </w:r>
    </w:p>
    <w:p>
      <w:pPr>
        <w:ind w:left="460" w:right="44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513,260 shares of common stock issuable upon the exercise of options held by Robin Harper Cowie that are vested and exercisable within 60 days of June 30, 2020.</w:t>
      </w:r>
    </w:p>
    <w:p>
      <w:pPr>
        <w:jc w:val="both"/>
        <w:ind w:left="460" w:right="10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455,477 shares of common stock, (b) 1,333,151 shares of common stock issuable upon the exercise of options held by David Brunel that are vested and exercisable within 60 days of June 30, 2020 and (c) 184,599 shares of common stock issuable upon conversion of (i) 660 shares of Series A-1 Preferred Stock, (ii) 110,399 shares of Series A-3 Preferred Stock and (iii) 73,540 shares of Series B Preferred Stock.</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39,726,309 shares beneficially owned by Jack Schuler and entities affiliated with Jack Schuler, as set forth in footnote (1).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27,443,229 shares beneficially owned by John Patience and entities affiliated with John Patience, as set forth in footnote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10,833,313 shares beneficially owned by Robert Cawthorn and entities affiliated with Robert Cawthorn, as set forth in footnote (4).</w:t>
      </w:r>
    </w:p>
    <w:p>
      <w:pPr>
        <w:spacing w:after="0" w:line="9" w:lineRule="exact"/>
        <w:rPr>
          <w:rFonts w:ascii="Times New Roman" w:cs="Times New Roman" w:eastAsia="Times New Roman" w:hAnsi="Times New Roman"/>
          <w:sz w:val="18"/>
          <w:szCs w:val="18"/>
          <w:color w:val="auto"/>
        </w:rPr>
      </w:pPr>
    </w:p>
    <w:p>
      <w:pPr>
        <w:ind w:left="460" w:right="100" w:hanging="452"/>
        <w:spacing w:after="0" w:line="265" w:lineRule="auto"/>
        <w:tabs>
          <w:tab w:leader="none" w:pos="4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298,261 shares of common stock issuable upon the exercise of options held by Dr. Matthew Strobeck that are vested and exercisable within 60 days of June 30, 2020 and (b) 4,937,172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130,433 shares of common stock issuable upon conversion of 130,433 shares of Series H Preferred Stock held by Clajer Capital LLC.</w:t>
      </w:r>
    </w:p>
    <w:p>
      <w:pPr>
        <w:ind w:left="460" w:right="8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298,261 shares of common stock issuable upon the exercise of options held by Mark Miller that are vested and exercisable within 60 days of June 30, 2020, (b) 1,089,148 shares of common stock issuable upon conversion of (i) 726,750 shares of Series D Preferred Stock and (ii) 362,398 shares of Series E Preferred Stock held by Tiger’s Family LLC and (c) 66,666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1"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226,087 shares of common stock issuable upon the exercise of options held by Dr. Charles Watts that are vested and exercisable within 60 days of June 30, 2020.</w:t>
      </w:r>
    </w:p>
    <w:p>
      <w:pPr>
        <w:ind w:left="46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58,101 shares of common stock issuable upon the exercise of options held by Jean Franchi that are vested and exercisable within 60 days of June 30, 2020.</w:t>
      </w:r>
    </w:p>
    <w:p>
      <w:pPr>
        <w:ind w:left="460" w:right="80" w:hanging="452"/>
        <w:spacing w:after="0" w:line="26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17,391 shares of common stock issuable upon the exercise of options held by Hany Massarany that are vested and exercisable within 60 days of June 30, 2020.</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80"/>
          </w:cols>
          <w:pgMar w:left="320" w:top="455" w:right="39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220"/>
          </w:cols>
          <w:pgMar w:left="320" w:top="455" w:right="359" w:bottom="1440" w:gutter="0" w:footer="0" w:header="0"/>
        </w:sectPr>
      </w:pP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our amended and restated certificate of incorporation will authorize us to issue up to stock, $0.001 par value per share, and shares of preferred stock, $0.001 par value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w:t>
      </w:r>
    </w:p>
    <w:p>
      <w:pPr>
        <w:spacing w:after="0" w:line="452" w:lineRule="exact"/>
        <w:rPr>
          <w:sz w:val="20"/>
          <w:szCs w:val="20"/>
          <w:color w:val="auto"/>
        </w:rPr>
      </w:pPr>
    </w:p>
    <w:p>
      <w:pPr>
        <w:sectPr>
          <w:pgSz w:w="11900" w:h="16838" w:orient="portrait"/>
          <w:cols w:equalWidth="0" w:num="2">
            <w:col w:w="8960" w:space="720"/>
            <w:col w:w="1540"/>
          </w:cols>
          <w:pgMar w:left="320" w:top="455"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2020, there were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shares of common stock issued and outstanding,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stockholders of record.</w:t>
      </w:r>
    </w:p>
    <w:p>
      <w:pPr>
        <w:spacing w:after="0" w:line="200" w:lineRule="exact"/>
        <w:rPr>
          <w:sz w:val="20"/>
          <w:szCs w:val="20"/>
          <w:color w:val="auto"/>
        </w:rPr>
      </w:pPr>
    </w:p>
    <w:p>
      <w:pPr>
        <w:sectPr>
          <w:pgSz w:w="11900" w:h="16838" w:orient="portrait"/>
          <w:cols w:equalWidth="0" w:num="4">
            <w:col w:w="1040" w:space="720"/>
            <w:col w:w="1280" w:space="720"/>
            <w:col w:w="4060" w:space="720"/>
            <w:col w:w="2680"/>
          </w:cols>
          <w:pgMar w:left="320" w:top="455" w:right="35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have been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374"/>
        <w:spacing w:after="0" w:line="282" w:lineRule="auto"/>
        <w:rPr>
          <w:sz w:val="20"/>
          <w:szCs w:val="20"/>
          <w:color w:val="auto"/>
        </w:rPr>
      </w:pPr>
      <w:r>
        <w:rPr>
          <w:rFonts w:ascii="Times New Roman" w:cs="Times New Roman" w:eastAsia="Times New Roman" w:hAnsi="Times New Roman"/>
          <w:sz w:val="18"/>
          <w:szCs w:val="18"/>
          <w:color w:val="auto"/>
        </w:rPr>
        <w:t>, 2020, after giving effect to the conversion of all outstanding shares of preferred stock into shares of common stock issued and outstanding, held by stockholders of record.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there</w:t>
      </w:r>
    </w:p>
    <w:p>
      <w:pPr>
        <w:spacing w:after="0" w:line="479" w:lineRule="exact"/>
        <w:rPr>
          <w:sz w:val="20"/>
          <w:szCs w:val="20"/>
          <w:color w:val="auto"/>
        </w:rPr>
      </w:pPr>
    </w:p>
    <w:p>
      <w:pPr>
        <w:sectPr>
          <w:pgSz w:w="11900" w:h="16838" w:orient="portrait"/>
          <w:cols w:equalWidth="0" w:num="3">
            <w:col w:w="1220" w:space="720"/>
            <w:col w:w="6440" w:space="460"/>
            <w:col w:w="2380"/>
          </w:cols>
          <w:pgMar w:left="320" w:top="455" w:right="3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right="440" w:firstLine="44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20"/>
          </w:cols>
          <w:pgMar w:left="320" w:top="455" w:right="359" w:bottom="1440" w:gutter="0" w:footer="0" w:header="0"/>
          <w:type w:val="continuous"/>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460"/>
        <w:spacing w:after="0"/>
        <w:tabs>
          <w:tab w:leader="none" w:pos="1780" w:val="left"/>
          <w:tab w:leader="none" w:pos="3800" w:val="left"/>
          <w:tab w:leader="none" w:pos="932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2020, there were</w:t>
      </w:r>
      <w:r>
        <w:rPr>
          <w:sz w:val="20"/>
          <w:szCs w:val="20"/>
          <w:color w:val="auto"/>
        </w:rPr>
        <w:tab/>
      </w:r>
      <w:r>
        <w:rPr>
          <w:rFonts w:ascii="Times New Roman" w:cs="Times New Roman" w:eastAsia="Times New Roman" w:hAnsi="Times New Roman"/>
          <w:sz w:val="18"/>
          <w:szCs w:val="18"/>
          <w:color w:val="auto"/>
        </w:rPr>
        <w:t>shares of preferred stock outstanding, which will be converted into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the offering. On the closing of this offering and under our amended and restated certificate of incorporation, our Board of Directors</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Financings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We have issued preferred stock from time to time to finance our operations or to make acquisitions. The purchasers of some of our preferred stock are covered persons or their affiliates.</w:t>
      </w:r>
    </w:p>
    <w:p>
      <w:pPr>
        <w:spacing w:after="0" w:line="162"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76"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6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Debt</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80"/>
          </w:cols>
          <w:pgMar w:left="320" w:top="455" w:right="39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December 2019 Notes were scheduled to mature in August 2020, but in August 2020 we extended the maturity date of this debt to June 30,</w:t>
      </w:r>
    </w:p>
    <w:p>
      <w:pPr>
        <w:spacing w:after="0" w:line="2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9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0"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00"/>
          </w:cols>
          <w:pgMar w:left="320" w:top="455" w:right="3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accrued interest of $0.4 million is included in the convertible debt balance included on the accompanying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right="200" w:firstLine="449"/>
        <w:spacing w:after="0" w:line="261" w:lineRule="auto"/>
        <w:rPr>
          <w:sz w:val="20"/>
          <w:szCs w:val="20"/>
          <w:color w:val="auto"/>
        </w:rPr>
      </w:pPr>
      <w:r>
        <w:rPr>
          <w:rFonts w:ascii="Times New Roman" w:cs="Times New Roman" w:eastAsia="Times New Roman" w:hAnsi="Times New Roman"/>
          <w:sz w:val="18"/>
          <w:szCs w:val="18"/>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1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2020</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40" w:type="dxa"/>
            <w:vAlign w:val="bottom"/>
            <w:gridSpan w:val="4"/>
            <w:vMerge w:val="continue"/>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5"/>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5"/>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3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2020, options to purchase an aggregate of</w:t>
            </w:r>
          </w:p>
        </w:tc>
        <w:tc>
          <w:tcPr>
            <w:tcW w:w="6000" w:type="dxa"/>
            <w:vAlign w:val="bottom"/>
            <w:gridSpan w:val="13"/>
          </w:tcPr>
          <w:p>
            <w:pPr>
              <w:jc w:val="right"/>
              <w:ind w:right="80"/>
              <w:spacing w:after="0"/>
              <w:rPr>
                <w:sz w:val="20"/>
                <w:szCs w:val="20"/>
                <w:color w:val="auto"/>
              </w:rPr>
            </w:pPr>
            <w:r>
              <w:rPr>
                <w:rFonts w:ascii="Times New Roman" w:cs="Times New Roman" w:eastAsia="Times New Roman" w:hAnsi="Times New Roman"/>
                <w:sz w:val="18"/>
                <w:szCs w:val="18"/>
                <w:color w:val="auto"/>
              </w:rPr>
              <w:t>shares of common stock were outstanding under our 2006 Incentive Plan and</w:t>
            </w:r>
          </w:p>
        </w:tc>
        <w:tc>
          <w:tcPr>
            <w:tcW w:w="0" w:type="dxa"/>
            <w:vAlign w:val="bottom"/>
          </w:tcPr>
          <w:p>
            <w:pPr>
              <w:spacing w:after="0"/>
              <w:rPr>
                <w:sz w:val="1"/>
                <w:szCs w:val="1"/>
                <w:color w:val="auto"/>
              </w:rPr>
            </w:pPr>
          </w:p>
        </w:tc>
      </w:tr>
      <w:tr>
        <w:trPr>
          <w:trHeight w:val="216"/>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additional shares of common stock were reserved for future issuance under our 2006 Incentive Plan. As of</w:t>
            </w:r>
          </w:p>
        </w:tc>
        <w:tc>
          <w:tcPr>
            <w:tcW w:w="120" w:type="dxa"/>
            <w:vAlign w:val="bottom"/>
          </w:tcPr>
          <w:p>
            <w:pPr>
              <w:spacing w:after="0"/>
              <w:rPr>
                <w:sz w:val="18"/>
                <w:szCs w:val="18"/>
                <w:color w:val="auto"/>
              </w:rPr>
            </w:pPr>
          </w:p>
        </w:tc>
        <w:tc>
          <w:tcPr>
            <w:tcW w:w="266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color w:val="auto"/>
              </w:rPr>
              <w:t>, 2020, options to purchase an</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aggregate of</w:t>
            </w:r>
          </w:p>
        </w:tc>
        <w:tc>
          <w:tcPr>
            <w:tcW w:w="6940" w:type="dxa"/>
            <w:vAlign w:val="bottom"/>
            <w:gridSpan w:val="7"/>
          </w:tcPr>
          <w:p>
            <w:pPr>
              <w:jc w:val="right"/>
              <w:ind w:right="48"/>
              <w:spacing w:after="0"/>
              <w:rPr>
                <w:sz w:val="20"/>
                <w:szCs w:val="20"/>
                <w:color w:val="auto"/>
              </w:rPr>
            </w:pPr>
            <w:r>
              <w:rPr>
                <w:rFonts w:ascii="Times New Roman" w:cs="Times New Roman" w:eastAsia="Times New Roman" w:hAnsi="Times New Roman"/>
                <w:sz w:val="18"/>
                <w:szCs w:val="18"/>
                <w:color w:val="auto"/>
              </w:rPr>
              <w:t>shares of common stock were outstanding under our 2016 Incentive Plan, and subsequent to</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2020, we granted options</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purchase an additional</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of common stock. As of</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2020,</w:t>
            </w:r>
          </w:p>
        </w:tc>
        <w:tc>
          <w:tcPr>
            <w:tcW w:w="4580" w:type="dxa"/>
            <w:vAlign w:val="bottom"/>
            <w:gridSpan w:val="12"/>
          </w:tcPr>
          <w:p>
            <w:pPr>
              <w:jc w:val="right"/>
              <w:ind w:right="180"/>
              <w:spacing w:after="0"/>
              <w:rPr>
                <w:sz w:val="20"/>
                <w:szCs w:val="20"/>
                <w:color w:val="auto"/>
              </w:rPr>
            </w:pPr>
            <w:r>
              <w:rPr>
                <w:rFonts w:ascii="Times New Roman" w:cs="Times New Roman" w:eastAsia="Times New Roman" w:hAnsi="Times New Roman"/>
                <w:sz w:val="18"/>
                <w:szCs w:val="18"/>
                <w:color w:val="auto"/>
              </w:rPr>
              <w:t>shares of common stock were reserved for future issuance</w:t>
            </w: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our 2016 Incentive Plan. Subsequent to</w:t>
            </w:r>
          </w:p>
        </w:tc>
        <w:tc>
          <w:tcPr>
            <w:tcW w:w="2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2020, we reserved an additional</w:t>
            </w:r>
          </w:p>
        </w:tc>
        <w:tc>
          <w:tcPr>
            <w:tcW w:w="4580" w:type="dxa"/>
            <w:vAlign w:val="bottom"/>
            <w:gridSpan w:val="12"/>
          </w:tcPr>
          <w:p>
            <w:pPr>
              <w:jc w:val="right"/>
              <w:ind w:right="220"/>
              <w:spacing w:after="0"/>
              <w:rPr>
                <w:sz w:val="20"/>
                <w:szCs w:val="20"/>
                <w:color w:val="auto"/>
              </w:rPr>
            </w:pPr>
            <w:r>
              <w:rPr>
                <w:rFonts w:ascii="Times New Roman" w:cs="Times New Roman" w:eastAsia="Times New Roman" w:hAnsi="Times New Roman"/>
                <w:sz w:val="18"/>
                <w:szCs w:val="18"/>
                <w:color w:val="auto"/>
              </w:rPr>
              <w:t>shares of common stock for future issuance under our</w:t>
            </w:r>
          </w:p>
        </w:tc>
        <w:tc>
          <w:tcPr>
            <w:tcW w:w="0" w:type="dxa"/>
            <w:vAlign w:val="bottom"/>
          </w:tcPr>
          <w:p>
            <w:pPr>
              <w:spacing w:after="0"/>
              <w:rPr>
                <w:sz w:val="1"/>
                <w:szCs w:val="1"/>
                <w:color w:val="auto"/>
              </w:rPr>
            </w:pPr>
          </w:p>
        </w:tc>
      </w:tr>
    </w:tbl>
    <w:p>
      <w:pPr>
        <w:ind w:right="340"/>
        <w:spacing w:after="0" w:line="260" w:lineRule="auto"/>
        <w:rPr>
          <w:sz w:val="20"/>
          <w:szCs w:val="20"/>
          <w:color w:val="auto"/>
        </w:rPr>
      </w:pPr>
      <w:r>
        <w:rPr>
          <w:rFonts w:ascii="Times New Roman" w:cs="Times New Roman" w:eastAsia="Times New Roman" w:hAnsi="Times New Roman"/>
          <w:sz w:val="18"/>
          <w:szCs w:val="18"/>
          <w:color w:val="auto"/>
        </w:rPr>
        <w:t>2016 Incentive Plan. For additional information regarding the terms of these plans, see the section titled “Executive Compensation—Employee Benefit Plans.”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20" w:firstLine="449"/>
        <w:spacing w:after="0" w:line="276" w:lineRule="auto"/>
        <w:rPr>
          <w:sz w:val="20"/>
          <w:szCs w:val="20"/>
          <w:color w:val="auto"/>
        </w:rPr>
      </w:pPr>
      <w:r>
        <w:rPr>
          <w:rFonts w:ascii="Times New Roman" w:cs="Times New Roman" w:eastAsia="Times New Roman" w:hAnsi="Times New Roman"/>
          <w:sz w:val="17"/>
          <w:szCs w:val="17"/>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securities possess registration rights pursuant to the terms of the IRA and are described in additional detail below. We, along with , as well as other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0"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460"/>
        <w:spacing w:after="0"/>
        <w:tabs>
          <w:tab w:leader="none" w:pos="336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8"/>
          <w:szCs w:val="18"/>
          <w:color w:val="auto"/>
        </w:rPr>
        <w:t>shares of common stock issuable upon conversion of outstanding shares of preferred stock will be entitled to</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20"/>
          </w:cols>
          <w:pgMar w:left="320" w:top="455" w:right="3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00" w:right="280" w:hanging="54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00" w:right="120" w:hanging="547"/>
        <w:spacing w:after="0" w:line="25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00" w:right="140" w:hanging="547"/>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00" w:right="240" w:hanging="54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Upon the Closing of this Offering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520" w:hanging="539"/>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permit our Board of Directors to issue up to shares of preferred stock, with any rights, preferences and privileges as they may designate, including the right to approve an acquisition or other change of control;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20"/>
          </w:cols>
          <w:pgMar w:left="320" w:top="455"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00" w:right="160" w:hanging="54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00" w:right="18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00" w:right="12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ind w:left="1000" w:right="40" w:hanging="54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455"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list our common stock on The Nasdaq Global Market under the symbol “BDSX”.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ectPr>
          <w:pgSz w:w="11900" w:h="16838" w:orient="portrait"/>
          <w:cols w:equalWidth="0" w:num="1">
            <w:col w:w="11200"/>
          </w:cols>
          <w:pgMar w:left="320" w:top="455" w:right="37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will be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The transfer agent’s address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its telephone number</w:t>
      </w:r>
    </w:p>
    <w:p>
      <w:pPr>
        <w:spacing w:after="0" w:line="384" w:lineRule="exact"/>
        <w:rPr>
          <w:sz w:val="20"/>
          <w:szCs w:val="20"/>
          <w:color w:val="auto"/>
        </w:rPr>
      </w:pPr>
    </w:p>
    <w:p>
      <w:pPr>
        <w:sectPr>
          <w:pgSz w:w="11900" w:h="16838" w:orient="portrait"/>
          <w:cols w:equalWidth="0" w:num="4">
            <w:col w:w="120" w:space="340"/>
            <w:col w:w="4440" w:space="720"/>
            <w:col w:w="2100" w:space="720"/>
            <w:col w:w="2760"/>
          </w:cols>
          <w:pgMar w:left="320" w:top="455"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00"/>
          </w:cols>
          <w:pgMar w:left="320" w:top="455" w:right="379" w:bottom="1440" w:gutter="0" w:footer="0" w:header="0"/>
          <w:type w:val="continuous"/>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left="460"/>
        <w:spacing w:after="0"/>
        <w:tabs>
          <w:tab w:leader="none" w:pos="4520" w:val="left"/>
          <w:tab w:leader="none" w:pos="8140" w:val="left"/>
        </w:tabs>
        <w:rPr>
          <w:sz w:val="20"/>
          <w:szCs w:val="20"/>
          <w:color w:val="auto"/>
        </w:rPr>
      </w:pPr>
      <w:r>
        <w:rPr>
          <w:rFonts w:ascii="Times New Roman" w:cs="Times New Roman" w:eastAsia="Times New Roman" w:hAnsi="Times New Roman"/>
          <w:sz w:val="18"/>
          <w:szCs w:val="18"/>
          <w:color w:val="auto"/>
        </w:rPr>
        <w:t>Based on the number of shares outstanding on</w:t>
      </w:r>
      <w:r>
        <w:rPr>
          <w:sz w:val="20"/>
          <w:szCs w:val="20"/>
          <w:color w:val="auto"/>
        </w:rPr>
        <w:tab/>
      </w:r>
      <w:r>
        <w:rPr>
          <w:rFonts w:ascii="Times New Roman" w:cs="Times New Roman" w:eastAsia="Times New Roman" w:hAnsi="Times New Roman"/>
          <w:sz w:val="18"/>
          <w:szCs w:val="18"/>
          <w:color w:val="auto"/>
        </w:rPr>
        <w:t>, 2020, upon the closing of this offering,</w:t>
      </w:r>
      <w:r>
        <w:rPr>
          <w:sz w:val="20"/>
          <w:szCs w:val="20"/>
          <w:color w:val="auto"/>
        </w:rPr>
        <w:tab/>
      </w:r>
      <w:r>
        <w:rPr>
          <w:rFonts w:ascii="Times New Roman" w:cs="Times New Roman" w:eastAsia="Times New Roman" w:hAnsi="Times New Roman"/>
          <w:sz w:val="17"/>
          <w:szCs w:val="17"/>
          <w:color w:val="auto"/>
        </w:rPr>
        <w:t>shares of common stock will be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6"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8"/>
          <w:szCs w:val="18"/>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7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455" w:right="359" w:bottom="1440" w:gutter="0" w:footer="0" w:header="0"/>
        </w:sectPr>
      </w:pPr>
    </w:p>
    <w:p>
      <w:pPr>
        <w:spacing w:after="0" w:line="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number of shares of common stock then outstanding, which will equal approximately</w:t>
      </w:r>
    </w:p>
    <w:p>
      <w:pPr>
        <w:spacing w:after="0" w:line="27" w:lineRule="exact"/>
        <w:rPr>
          <w:sz w:val="20"/>
          <w:szCs w:val="20"/>
          <w:color w:val="auto"/>
        </w:rPr>
      </w:pPr>
    </w:p>
    <w:p>
      <w:pPr>
        <w:spacing w:after="0"/>
        <w:tabs>
          <w:tab w:leader="none" w:pos="6580" w:val="left"/>
        </w:tabs>
        <w:rPr>
          <w:sz w:val="20"/>
          <w:szCs w:val="20"/>
          <w:color w:val="auto"/>
        </w:rPr>
      </w:pPr>
      <w:r>
        <w:rPr>
          <w:rFonts w:ascii="Times New Roman" w:cs="Times New Roman" w:eastAsia="Times New Roman" w:hAnsi="Times New Roman"/>
          <w:sz w:val="18"/>
          <w:szCs w:val="18"/>
          <w:color w:val="auto"/>
        </w:rPr>
        <w:t>of this offering based on the number of shares of common stock outstanding as of</w:t>
      </w:r>
      <w:r>
        <w:rPr>
          <w:sz w:val="20"/>
          <w:szCs w:val="20"/>
          <w:color w:val="auto"/>
        </w:rPr>
        <w:tab/>
      </w:r>
      <w:r>
        <w:rPr>
          <w:rFonts w:ascii="Times New Roman" w:cs="Times New Roman" w:eastAsia="Times New Roman" w:hAnsi="Times New Roman"/>
          <w:sz w:val="18"/>
          <w:szCs w:val="18"/>
          <w:color w:val="auto"/>
        </w:rPr>
        <w:t>, 2020; 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the closing</w:t>
      </w:r>
    </w:p>
    <w:p>
      <w:pPr>
        <w:spacing w:after="0" w:line="357" w:lineRule="exact"/>
        <w:rPr>
          <w:sz w:val="20"/>
          <w:szCs w:val="20"/>
          <w:color w:val="auto"/>
        </w:rPr>
      </w:pPr>
    </w:p>
    <w:p>
      <w:pPr>
        <w:sectPr>
          <w:pgSz w:w="11900" w:h="16838" w:orient="portrait"/>
          <w:cols w:equalWidth="0" w:num="3">
            <w:col w:w="520" w:space="480"/>
            <w:col w:w="7300" w:space="320"/>
            <w:col w:w="2600"/>
          </w:cols>
          <w:pgMar w:left="320" w:top="455" w:right="359" w:bottom="1440" w:gutter="0" w:footer="0" w:header="0"/>
          <w:type w:val="continuous"/>
        </w:sectPr>
      </w:pPr>
    </w:p>
    <w:p>
      <w:pPr>
        <w:ind w:left="1000" w:right="240" w:hanging="547"/>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the sale;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20"/>
          </w:cols>
          <w:pgMar w:left="320" w:top="455" w:right="359" w:bottom="1440" w:gutter="0" w:footer="0" w:header="0"/>
          <w:type w:val="continuous"/>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20"/>
          </w:cols>
          <w:pgMar w:left="320" w:top="455" w:right="3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4640" w:val="left"/>
        </w:tabs>
        <w:rPr>
          <w:sz w:val="20"/>
          <w:szCs w:val="20"/>
          <w:color w:val="auto"/>
        </w:rPr>
      </w:pPr>
      <w:r>
        <w:rPr>
          <w:rFonts w:ascii="Times New Roman" w:cs="Times New Roman" w:eastAsia="Times New Roman" w:hAnsi="Times New Roman"/>
          <w:sz w:val="18"/>
          <w:szCs w:val="18"/>
          <w:color w:val="auto"/>
        </w:rPr>
        <w:t>Upon the closing of this offering, the holders of</w:t>
      </w:r>
      <w:r>
        <w:rPr>
          <w:sz w:val="20"/>
          <w:szCs w:val="20"/>
          <w:color w:val="auto"/>
        </w:rPr>
        <w:tab/>
      </w:r>
      <w:r>
        <w:rPr>
          <w:rFonts w:ascii="Times New Roman" w:cs="Times New Roman" w:eastAsia="Times New Roman" w:hAnsi="Times New Roman"/>
          <w:sz w:val="17"/>
          <w:szCs w:val="17"/>
          <w:color w:val="auto"/>
        </w:rPr>
        <w:t>shares of our common stock issuable upon conversion of outstanding shares of preferred</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20"/>
          </w:cols>
          <w:pgMar w:left="320" w:top="455" w:right="5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NON-UNITED STATES HOLDERS OF OUR COMMON STOCK</w:t>
      </w:r>
    </w:p>
    <w:p>
      <w:pPr>
        <w:spacing w:after="0" w:line="207"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89" w:lineRule="exact"/>
        <w:rPr>
          <w:sz w:val="20"/>
          <w:szCs w:val="20"/>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investors therein);</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United States federal income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or dealers in securities;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pension funds;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accrual-method taxpayers subject to special tax accounting rules under Section 451(b) of the Code;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79" w:lineRule="exact"/>
        <w:rPr>
          <w:sz w:val="20"/>
          <w:szCs w:val="20"/>
          <w:color w:val="auto"/>
        </w:rPr>
      </w:pPr>
    </w:p>
    <w:p>
      <w:pPr>
        <w:ind w:right="440"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REGARDING THE PARTICULAR UNITED STATES FEDERAL INCOME TAX CONSEQUENCES TO THEM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40"/>
          </w:cols>
          <w:pgMar w:left="320" w:top="455" w:right="3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7"/>
          <w:szCs w:val="17"/>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81" w:lineRule="exact"/>
        <w:rPr>
          <w:sz w:val="20"/>
          <w:szCs w:val="20"/>
          <w:color w:val="auto"/>
        </w:rPr>
      </w:pPr>
    </w:p>
    <w:p>
      <w:pPr>
        <w:ind w:left="1000" w:hanging="54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00" w:right="380" w:hanging="547"/>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00" w:right="540" w:hanging="547"/>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87"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67" w:lineRule="exact"/>
        <w:rPr>
          <w:sz w:val="20"/>
          <w:szCs w:val="20"/>
          <w:color w:val="auto"/>
        </w:rPr>
      </w:pPr>
    </w:p>
    <w:p>
      <w:pPr>
        <w:ind w:left="1000" w:right="80" w:hanging="547"/>
        <w:spacing w:after="0" w:line="312"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45" w:lineRule="exact"/>
        <w:rPr>
          <w:rFonts w:ascii="Times New Roman" w:cs="Times New Roman" w:eastAsia="Times New Roman" w:hAnsi="Times New Roman"/>
          <w:sz w:val="17"/>
          <w:szCs w:val="17"/>
          <w:color w:val="auto"/>
        </w:rPr>
      </w:pPr>
    </w:p>
    <w:p>
      <w:pPr>
        <w:ind w:left="1000" w:right="80" w:hanging="547"/>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00" w:right="360" w:hanging="547"/>
        <w:spacing w:after="0" w:line="261"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76"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40"/>
          </w:cols>
          <w:pgMar w:left="320" w:top="455" w:right="3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92"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9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this legislation on their investment in our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20"/>
          </w:cols>
          <w:pgMar w:left="320" w:top="455" w:right="3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right="320" w:firstLine="449"/>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4360" w:type="dxa"/>
            <w:vAlign w:val="bottom"/>
          </w:tcPr>
          <w:p>
            <w:pPr>
              <w:jc w:val="center"/>
              <w:ind w:left="36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4360" w:type="dxa"/>
            <w:vAlign w:val="bottom"/>
          </w:tcPr>
          <w:p>
            <w:pPr>
              <w:jc w:val="center"/>
              <w:ind w:left="360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Per</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3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55" w:right="339" w:bottom="1440" w:gutter="0" w:footer="0" w:header="0"/>
        </w:sect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0" w:lineRule="exact"/>
        <w:rPr>
          <w:sz w:val="20"/>
          <w:szCs w:val="20"/>
          <w:color w:val="auto"/>
        </w:rPr>
      </w:pPr>
    </w:p>
    <w:p>
      <w:pPr>
        <w:sectPr>
          <w:pgSz w:w="11900" w:h="16838" w:orient="portrait"/>
          <w:cols w:equalWidth="0" w:num="2">
            <w:col w:w="10820" w:space="80"/>
            <w:col w:w="340"/>
          </w:cols>
          <w:pgMar w:left="320" w:top="45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40"/>
          </w:cols>
          <w:pgMar w:left="320" w:top="455" w:right="339" w:bottom="1440" w:gutter="0" w:footer="0" w:header="0"/>
          <w:type w:val="continuous"/>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common stock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trading symbol “BDSX”.</w:t>
      </w:r>
    </w:p>
    <w:p>
      <w:pPr>
        <w:spacing w:after="0" w:line="225"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1" w:lineRule="exact"/>
        <w:rPr>
          <w:sz w:val="20"/>
          <w:szCs w:val="20"/>
          <w:color w:val="auto"/>
        </w:rPr>
      </w:pPr>
    </w:p>
    <w:p>
      <w:pPr>
        <w:ind w:left="1000" w:right="60" w:hanging="547"/>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1" w:lineRule="exact"/>
        <w:rPr>
          <w:rFonts w:ascii="Times New Roman" w:cs="Times New Roman" w:eastAsia="Times New Roman" w:hAnsi="Times New Roman"/>
          <w:sz w:val="18"/>
          <w:szCs w:val="18"/>
          <w:color w:val="auto"/>
        </w:rPr>
      </w:pPr>
    </w:p>
    <w:p>
      <w:pPr>
        <w:ind w:left="1000" w:right="160" w:hanging="547"/>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00" w:hanging="547"/>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to do not apply to:</w:t>
      </w:r>
    </w:p>
    <w:p>
      <w:pPr>
        <w:spacing w:after="0" w:line="131" w:lineRule="exact"/>
        <w:rPr>
          <w:sz w:val="20"/>
          <w:szCs w:val="20"/>
          <w:color w:val="auto"/>
        </w:rPr>
      </w:pPr>
    </w:p>
    <w:p>
      <w:pPr>
        <w:ind w:left="1000" w:hanging="547"/>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30" w:lineRule="exact"/>
        <w:rPr>
          <w:rFonts w:ascii="Times New Roman" w:cs="Times New Roman" w:eastAsia="Times New Roman" w:hAnsi="Times New Roman"/>
          <w:sz w:val="18"/>
          <w:szCs w:val="18"/>
          <w:color w:val="auto"/>
        </w:rPr>
      </w:pPr>
    </w:p>
    <w:p>
      <w:pPr>
        <w:ind w:left="1000" w:right="700" w:hanging="547"/>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shares of common stock upon the exercise of an option or a warrant or the conversion of a security outstanding on the date of this prospectus of which the underwriters have been advised in writing;</w:t>
      </w:r>
    </w:p>
    <w:p>
      <w:pPr>
        <w:spacing w:after="0" w:line="67"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or</w:t>
      </w:r>
    </w:p>
    <w:p>
      <w:pPr>
        <w:spacing w:after="0" w:line="81" w:lineRule="exact"/>
        <w:rPr>
          <w:rFonts w:ascii="Times New Roman" w:cs="Times New Roman" w:eastAsia="Times New Roman" w:hAnsi="Times New Roman"/>
          <w:sz w:val="18"/>
          <w:szCs w:val="18"/>
          <w:color w:val="auto"/>
        </w:rPr>
      </w:pPr>
    </w:p>
    <w:p>
      <w:pPr>
        <w:ind w:left="1000" w:hanging="547"/>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60"/>
          </w:cols>
          <w:pgMar w:left="320" w:top="455" w:right="41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20"/>
          </w:cols>
          <w:pgMar w:left="320" w:top="455" w:right="3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00" w:hanging="422"/>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00" w:right="300" w:hanging="432"/>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6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20"/>
          </w:cols>
          <w:pgMar w:left="320" w:top="455" w:right="3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offer and the shares to be offered so as to enable an investor to decide to purchase shares, the expression “Prospectus Regulation” means Regulation (EU) 2017/1129 (as amended).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6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00" w:hanging="432"/>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right="240" w:firstLine="449"/>
        <w:spacing w:after="0" w:line="26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20"/>
          </w:cols>
          <w:pgMar w:left="320" w:top="455" w:right="3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40"/>
          </w:cols>
          <w:pgMar w:left="320" w:top="455"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00"/>
          </w:cols>
          <w:pgMar w:left="320" w:top="455" w:right="3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that we file electronically with the SEC. We also maintain a website at </w:t>
      </w:r>
      <w:r>
        <w:rPr>
          <w:rFonts w:ascii="Times New Roman" w:cs="Times New Roman" w:eastAsia="Times New Roman" w:hAnsi="Times New Roman"/>
          <w:sz w:val="18"/>
          <w:szCs w:val="18"/>
          <w:i w:val="1"/>
          <w:iCs w:val="1"/>
          <w:color w:val="auto"/>
        </w:rPr>
        <w:t>www.biodesix.com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60"/>
          </w:cols>
          <w:pgMar w:left="320" w:top="455" w:right="4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Balance Sheets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234"/>
        </w:trPr>
        <w:tc>
          <w:tcPr>
            <w:tcW w:w="10780" w:type="dxa"/>
            <w:vAlign w:val="bottom"/>
          </w:tcPr>
          <w:p>
            <w:pPr>
              <w:ind w:left="36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F-42</w:t>
            </w:r>
          </w:p>
        </w:tc>
        <w:tc>
          <w:tcPr>
            <w:tcW w:w="0" w:type="dxa"/>
            <w:vAlign w:val="bottom"/>
          </w:tcPr>
          <w:p>
            <w:pPr>
              <w:spacing w:after="0"/>
              <w:rPr>
                <w:sz w:val="1"/>
                <w:szCs w:val="1"/>
                <w:color w:val="auto"/>
              </w:rPr>
            </w:pPr>
          </w:p>
        </w:tc>
      </w:tr>
      <w:tr>
        <w:trPr>
          <w:trHeight w:val="365"/>
        </w:trPr>
        <w:tc>
          <w:tcPr>
            <w:tcW w:w="107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and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15,868</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1,334</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w:t>
            </w:r>
          </w:p>
        </w:tc>
        <w:tc>
          <w:tcPr>
            <w:tcW w:w="8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271,344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11,674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Paycheck protection program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53,613</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185,432,719 (2020) and 174,237,067 (2019) authorized;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118,766,273 (2020 and 2019) issued and outstanding; liquidation preference of $202,582 (2020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193,959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220,000,000 (2020) and 190,000,000 (2019) authorized; 1,629,696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(2020) and 1,513,498 (2019) issued and outstanding</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96"/>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(246,444</w:t>
            </w: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45,478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5"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5"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CONVERTIBLE PREFERRED STOCK AND STOCKHOLDERS’ DEFICIT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4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5"/>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$27,465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Balance—June 30, 2020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34,537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23,923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27,465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(248,835)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(246,444)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220" w:type="dxa"/>
            <w:vAlign w:val="bottom"/>
            <w:vMerge w:val="restart"/>
          </w:tcPr>
          <w:p>
            <w:pPr>
              <w:spacing w:after="0"/>
              <w:rPr>
                <w:sz w:val="13"/>
                <w:szCs w:val="13"/>
                <w:color w:val="auto"/>
              </w:rPr>
            </w:pP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vMerge w:val="restart"/>
          </w:tcPr>
          <w:p>
            <w:pPr>
              <w:spacing w:after="0"/>
              <w:rPr>
                <w:sz w:val="13"/>
                <w:szCs w:val="13"/>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5"/>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$17,468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H Preferred Stock, net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costs of $44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8,695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0" w:type="dxa"/>
            <w:vAlign w:val="bottom"/>
          </w:tcPr>
          <w:p>
            <w:pPr>
              <w:spacing w:after="0"/>
              <w:rPr>
                <w:sz w:val="1"/>
                <w:szCs w:val="1"/>
                <w:color w:val="auto"/>
              </w:rPr>
            </w:pPr>
          </w:p>
        </w:tc>
      </w:tr>
      <w:tr>
        <w:trPr>
          <w:trHeight w:val="207"/>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46,147</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34,537</w:t>
            </w: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5"/>
              </w:rPr>
              <w:t>23,923</w:t>
            </w:r>
          </w:p>
        </w:tc>
        <w:tc>
          <w:tcPr>
            <w:tcW w:w="2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27,465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193,959</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(214,737</w:t>
            </w:r>
          </w:p>
        </w:tc>
        <w:tc>
          <w:tcPr>
            <w:tcW w:w="280" w:type="dxa"/>
            <w:vAlign w:val="bottom"/>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(17,971)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(14,599)</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tcPr>
          <w:p>
            <w:pPr>
              <w:spacing w:after="0"/>
              <w:rPr>
                <w:sz w:val="19"/>
                <w:szCs w:val="19"/>
                <w:color w:val="auto"/>
              </w:rPr>
            </w:pPr>
          </w:p>
        </w:tc>
      </w:tr>
      <w:tr>
        <w:trPr>
          <w:trHeight w:val="103"/>
        </w:trPr>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32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CONDENSED STATEMENTS OF CASH FLOWS (UNAUDITED)</w:t>
      </w:r>
    </w:p>
    <w:p>
      <w:pPr>
        <w:spacing w:after="0" w:line="4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six months ended June 30, 2020 and 2019.</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775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u w:val="single" w:color="auto"/>
          <w:color w:val="auto"/>
        </w:rPr>
        <w:t>2019</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$3,340</w:t>
      </w:r>
      <w:r>
        <w:rPr>
          <w:sz w:val="20"/>
          <w:szCs w:val="20"/>
          <w:color w:val="auto"/>
        </w:rPr>
        <w:tab/>
      </w: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80"/>
          </w:cols>
          <w:pgMar w:left="320" w:top="455" w:right="399" w:bottom="1440" w:gutter="0" w:footer="0" w:header="0"/>
          <w:type w:val="continuous"/>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92"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8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455" w:right="3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20" w:firstLine="449"/>
        <w:spacing w:after="0" w:line="289"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455" w:right="3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00"/>
          </w:cols>
          <w:pgMar w:left="320" w:top="455" w:right="3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six months ended June 30, 2020 and 2019.</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June 30, 2020 and 2019,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449"/>
        <w:spacing w:after="0" w:line="266"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455" w:right="3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42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Not Yet Adopted</w:t>
      </w:r>
    </w:p>
    <w:p>
      <w:pPr>
        <w:spacing w:after="0" w:line="1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Net loss per share and unaudited pro format net loss per share</w:t>
      </w:r>
    </w:p>
    <w:p>
      <w:pPr>
        <w:spacing w:after="0" w:line="121"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8"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253,887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390,772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133,866</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60" w:hanging="452"/>
        <w:spacing w:after="0" w:line="266"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76"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 except for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4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150,536</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271,344</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right="320" w:hanging="452"/>
        <w:spacing w:after="0" w:line="282"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June 30, 2020, as determined by the Company’s board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5"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directors with assistance from a valuation firm. The ultimate conversion price will be based on the fair value of the Company’s common stock at the completion of an initial public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9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8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3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6420" w:type="dxa"/>
            <w:vAlign w:val="bottom"/>
            <w:gridSpan w:val="2"/>
          </w:tcPr>
          <w:p>
            <w:pPr>
              <w:jc w:val="right"/>
              <w:ind w:right="4836"/>
              <w:spacing w:after="0"/>
              <w:rPr>
                <w:sz w:val="20"/>
                <w:szCs w:val="20"/>
                <w:color w:val="auto"/>
              </w:rPr>
            </w:pPr>
            <w:r>
              <w:rPr>
                <w:rFonts w:ascii="Times New Roman" w:cs="Times New Roman" w:eastAsia="Times New Roman" w:hAnsi="Times New Roman"/>
                <w:sz w:val="18"/>
                <w:szCs w:val="18"/>
                <w:color w:val="auto"/>
              </w:rPr>
              <w:t>F-17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5" w:right="3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1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162"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40" w:type="dxa"/>
            <w:vAlign w:val="bottom"/>
            <w:gridSpan w:val="2"/>
            <w:vMerge w:val="continue"/>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3,261</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29,114</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10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10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29,114</w:t>
            </w:r>
          </w:p>
        </w:tc>
      </w:tr>
      <w:tr>
        <w:trPr>
          <w:trHeight w:val="20"/>
        </w:trPr>
        <w:tc>
          <w:tcPr>
            <w:tcW w:w="10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455"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89"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expense for each of the six months ended June 30, 2020 and 2019 was $0.4 million.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$16,900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13,144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14,145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F-22</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Notes Payable</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9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455" w:right="3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convertible notes payable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4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Note Payable</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76"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87"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cannot assure that the PPP Loan will be forgiven, in whole or in part.</w:t>
      </w:r>
    </w:p>
    <w:p>
      <w:pPr>
        <w:spacing w:after="0" w:line="185" w:lineRule="exact"/>
        <w:rPr>
          <w:sz w:val="20"/>
          <w:szCs w:val="20"/>
          <w:color w:val="auto"/>
        </w:rPr>
      </w:pPr>
    </w:p>
    <w:p>
      <w:pPr>
        <w:ind w:right="140" w:firstLine="4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PPP Loan as debt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12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20" w:firstLine="449"/>
        <w:spacing w:after="0" w:line="273" w:lineRule="auto"/>
        <w:rPr>
          <w:sz w:val="20"/>
          <w:szCs w:val="20"/>
          <w:color w:val="auto"/>
        </w:rPr>
      </w:pPr>
      <w:r>
        <w:rPr>
          <w:rFonts w:ascii="Times New Roman" w:cs="Times New Roman" w:eastAsia="Times New Roman" w:hAnsi="Times New Roman"/>
          <w:sz w:val="17"/>
          <w:szCs w:val="17"/>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7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0"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87"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notes payable as of June 30, 2020 and December 31, 2019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56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5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$24,389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5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45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5980" w:type="dxa"/>
            <w:vAlign w:val="bottom"/>
            <w:gridSpan w:val="3"/>
          </w:tcPr>
          <w:p>
            <w:pPr>
              <w:jc w:val="right"/>
              <w:ind w:right="4740"/>
              <w:spacing w:after="0"/>
              <w:rPr>
                <w:sz w:val="20"/>
                <w:szCs w:val="20"/>
                <w:color w:val="auto"/>
              </w:rPr>
            </w:pPr>
            <w:r>
              <w:rPr>
                <w:rFonts w:ascii="Times New Roman" w:cs="Times New Roman" w:eastAsia="Times New Roman" w:hAnsi="Times New Roman"/>
                <w:sz w:val="18"/>
                <w:szCs w:val="18"/>
                <w:color w:val="auto"/>
              </w:rPr>
              <w:t>F-26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2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72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June 30, 2020 are as follows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10,166</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24,612</w:t>
            </w:r>
          </w:p>
        </w:tc>
      </w:tr>
      <w:tr>
        <w:trPr>
          <w:trHeight w:val="20"/>
        </w:trPr>
        <w:tc>
          <w:tcPr>
            <w:tcW w:w="16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162" w:lineRule="exact"/>
        <w:rPr>
          <w:sz w:val="20"/>
          <w:szCs w:val="20"/>
          <w:color w:val="auto"/>
        </w:rPr>
      </w:pPr>
    </w:p>
    <w:p>
      <w:pPr>
        <w:ind w:right="3420" w:firstLine="449"/>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as of June 30, 2020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9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1,885</w:t>
            </w:r>
          </w:p>
        </w:tc>
      </w:tr>
      <w:tr>
        <w:trPr>
          <w:trHeight w:val="20"/>
        </w:trPr>
        <w:tc>
          <w:tcPr>
            <w:tcW w:w="16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455" w:right="3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June 30, 2020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74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3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53,031,883</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76,464,035</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13,972,954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11,781,710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2,356,597</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185,432,719</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F-28</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$2.00 (adjusted for stock splits, dividends, and recapitalizations) and gross cash proceeds to the Company (before underwriting discounts, commissions, and fees) are at least $40 million.</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320" w:top="455" w:right="3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jc w:val="both"/>
        <w:ind w:right="220" w:firstLine="449"/>
        <w:spacing w:after="0" w:line="257"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83"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0.45</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June 30, 2020 (in thousands, except price and life):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11,562</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3,884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$0.44 – $0.63</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0.57</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2,626</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Total—June 30, 2020</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15,672</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$0.34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auto"/>
        </w:rPr>
        <w:t>There were 315,000 and 157,000 restricted stock units outstanding at June 30, 2020 and December 31, 2019, respectively, none of which had vested as of June 30, 2020.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455"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4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$ 382</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life based on the review of historical exercise behavior of option grants with similar vesting periods. The expense recorded for options granted under the Plan is net of estimated forfeitures of 10%.</w:t>
      </w:r>
    </w:p>
    <w:p>
      <w:pPr>
        <w:spacing w:after="0" w:line="18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8"/>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55</w:t>
            </w:r>
          </w:p>
        </w:tc>
        <w:tc>
          <w:tcPr>
            <w:tcW w:w="9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62"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As of June 30, 2020, the Company has issued a total of 1,218,140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June 30, 2020, 1,028,367 options outside of the 2006 Plan are outstanding and exercisable and have a weighted average exercise price of $1.87, a weighted average remaining life of six years, and were fully vested on the grant date. There was no unrecognized remaining stock-based compensation balance for shares issued outside of the 2006 Plan as of June 30,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Series E</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3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7.5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condensed financial statements were available for issuance.</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0"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In September 2020, the Company terminated its option to license rights within the United States from Oncimmune to an additional indication for their product.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Biodesix,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2020, except for earnings per share and Note 1(aa), as to which the date is August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KPMG LLP is a Delaware limited liability partnership and the U.S. member</w:t>
      </w:r>
    </w:p>
    <w:p>
      <w:pPr>
        <w:ind w:left="3540"/>
        <w:spacing w:after="0" w:line="226" w:lineRule="auto"/>
        <w:rPr>
          <w:sz w:val="20"/>
          <w:szCs w:val="20"/>
          <w:color w:val="auto"/>
        </w:rPr>
      </w:pPr>
      <w:r>
        <w:rPr>
          <w:rFonts w:ascii="Times New Roman" w:cs="Times New Roman" w:eastAsia="Times New Roman" w:hAnsi="Times New Roman"/>
          <w:sz w:val="14"/>
          <w:szCs w:val="14"/>
          <w:color w:val="auto"/>
        </w:rPr>
        <w:t>firm of the KPMG network of independent member firms affiliated with</w:t>
      </w:r>
    </w:p>
    <w:p>
      <w:pPr>
        <w:ind w:left="3540"/>
        <w:spacing w:after="0"/>
        <w:rPr>
          <w:sz w:val="20"/>
          <w:szCs w:val="20"/>
          <w:color w:val="auto"/>
        </w:rPr>
      </w:pPr>
      <w:r>
        <w:rPr>
          <w:rFonts w:ascii="Times New Roman" w:cs="Times New Roman" w:eastAsia="Times New Roman" w:hAnsi="Times New Roman"/>
          <w:sz w:val="14"/>
          <w:szCs w:val="14"/>
          <w:color w:val="auto"/>
        </w:rPr>
        <w:t>KPMG International Cooperative (“KPMG International”), a Swiss entity.</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80"/>
          </w:cols>
          <w:pgMar w:left="320" w:top="455" w:right="39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8,188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30,637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25,899</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3,451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3,863</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1,441,925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1,185,858</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155,126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455" w:right="3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$0.001 par value, 190,000,000 (2019) and 180,000,000 (2018) authorized; 1,513,498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 1,275,791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(228,539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455" w:right="3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455" w:right="3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15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$ 7,040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$ 41,266</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$ 32,736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CONVERTIBLE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14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96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Balance—December 31, 2017</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33,497</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$ 25,061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(174,411)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ASC 606 Adoption</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Stock—net of</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1,489</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1,489</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costs of $11</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 related to</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10,650</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7,987</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7,987</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business combination</w:t>
            </w: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6,956</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$44</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H for debt conversion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10,512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Balance—December 31, 2018</w:t>
            </w: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46,147</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$ 34,537</w:t>
            </w:r>
          </w:p>
        </w:tc>
        <w:tc>
          <w:tcPr>
            <w:tcW w:w="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17,468</w:t>
            </w:r>
          </w:p>
        </w:tc>
        <w:tc>
          <w:tcPr>
            <w:tcW w:w="22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w:t>
            </w:r>
          </w:p>
        </w:tc>
        <w:tc>
          <w:tcPr>
            <w:tcW w:w="220" w:type="dxa"/>
            <w:vAlign w:val="bottom"/>
          </w:tcPr>
          <w:p>
            <w:pPr>
              <w:spacing w:after="0"/>
              <w:rPr>
                <w:sz w:val="13"/>
                <w:szCs w:val="13"/>
                <w:color w:val="auto"/>
              </w:rPr>
            </w:pPr>
          </w:p>
        </w:tc>
        <w:tc>
          <w:tcPr>
            <w:tcW w:w="1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(200,138)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H Preferred Stock, net of issuance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9,997</w:t>
            </w: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9,997</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of $3</w:t>
            </w: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Balance—December 31, 2019</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46,147</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$ 34,537</w:t>
            </w: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23,923</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27,465</w:t>
            </w:r>
          </w:p>
        </w:tc>
        <w:tc>
          <w:tcPr>
            <w:tcW w:w="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193,959</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3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(230,864)</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(17,677)</w:t>
            </w:r>
          </w:p>
        </w:tc>
        <w:tc>
          <w:tcPr>
            <w:tcW w:w="120" w:type="dxa"/>
            <w:vAlign w:val="bottom"/>
          </w:tcPr>
          <w:p>
            <w:pPr>
              <w:spacing w:after="0"/>
              <w:rPr>
                <w:sz w:val="19"/>
                <w:szCs w:val="19"/>
                <w:color w:val="auto"/>
              </w:rPr>
            </w:pPr>
          </w:p>
        </w:tc>
      </w:tr>
      <w:tr>
        <w:trPr>
          <w:trHeight w:val="49"/>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r>
      <w:tr>
        <w:trPr>
          <w:trHeight w:val="27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10,283</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(22,518)</w:t>
            </w: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19,032</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5,356</w:t>
            </w: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non-cash activity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20" w:type="dxa"/>
            <w:vAlign w:val="bottom"/>
          </w:tcPr>
          <w:p>
            <w:pPr>
              <w:spacing w:after="0"/>
              <w:rPr>
                <w:sz w:val="15"/>
                <w:szCs w:val="15"/>
                <w:color w:val="auto"/>
              </w:rPr>
            </w:pPr>
          </w:p>
        </w:tc>
        <w:tc>
          <w:tcPr>
            <w:tcW w:w="17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455" w:right="3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Organization and Nature of Operations</w:t>
      </w:r>
    </w:p>
    <w:p>
      <w:pPr>
        <w:spacing w:after="0" w:line="121"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Segment Information</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Comprehensive Loss</w:t>
      </w:r>
    </w:p>
    <w:p>
      <w:pPr>
        <w:spacing w:after="0" w:line="121"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00"/>
          </w:cols>
          <w:pgMar w:left="320" w:top="455" w:right="3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Concentration of Risk</w:t>
      </w:r>
    </w:p>
    <w:p>
      <w:pPr>
        <w:spacing w:after="0" w:line="121" w:lineRule="exact"/>
        <w:rPr>
          <w:sz w:val="20"/>
          <w:szCs w:val="20"/>
          <w:color w:val="auto"/>
        </w:rPr>
      </w:pPr>
    </w:p>
    <w:p>
      <w:pPr>
        <w:ind w:right="180" w:firstLine="449"/>
        <w:spacing w:after="0" w:line="277" w:lineRule="auto"/>
        <w:rPr>
          <w:sz w:val="20"/>
          <w:szCs w:val="20"/>
          <w:color w:val="auto"/>
        </w:rPr>
      </w:pPr>
      <w:r>
        <w:rPr>
          <w:rFonts w:ascii="Times New Roman" w:cs="Times New Roman" w:eastAsia="Times New Roman" w:hAnsi="Times New Roman"/>
          <w:sz w:val="17"/>
          <w:szCs w:val="17"/>
          <w:color w:val="auto"/>
        </w:rPr>
        <w:t>The Company is subject to credit risk from its accounts receivable related to services provided to its customers. Reimbursement on behalf of customers covered by Medicare accounted for 59% and 60%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Restricted Cash</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3"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Accounts Receivable</w:t>
      </w:r>
    </w:p>
    <w:p>
      <w:pPr>
        <w:spacing w:after="0" w:line="121"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76"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Inventory</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utilizing the straight-line method over the estimated useful lives, ranging from three to five years.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20"/>
          </w:cols>
          <w:pgMar w:left="320" w:top="455" w:right="3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Intangible Assets</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may affect the recoverability of the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reviews include an analysis of current results and take into consideration the undiscounted value of projected operating cash flows. See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for further information.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Long-Lived Assets</w:t>
      </w:r>
    </w:p>
    <w:p>
      <w:pPr>
        <w:spacing w:after="0" w:line="121"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Deferred Rent</w:t>
      </w:r>
    </w:p>
    <w:p>
      <w:pPr>
        <w:spacing w:after="0" w:line="121"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Goodwill</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455"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10,804</w:t>
            </w: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The Company did not have any goodwill impairments for the years ended December 31, 2019 and 2018.</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1" w:lineRule="exact"/>
        <w:rPr>
          <w:rFonts w:ascii="Times New Roman" w:cs="Times New Roman" w:eastAsia="Times New Roman" w:hAnsi="Times New Roman"/>
          <w:sz w:val="18"/>
          <w:szCs w:val="18"/>
          <w:color w:val="auto"/>
        </w:rPr>
      </w:pPr>
    </w:p>
    <w:p>
      <w:pPr>
        <w:ind w:left="1000" w:right="580" w:hanging="54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2019 and 2018 revenue from these services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$ 24,552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62"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recognizes revenue for these patients when contracts as defined in ASC 606 are established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consideration to which it expects to be entitled or when the Company receives substantially all of the consideration subsequent to the performance obligations being satisfied.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455" w:right="3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 Deferred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primarily consists of services fee payments received in advance.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 and Accrued 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 Stock-Based Compensation</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 Income Taxes</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 Warrant Liability</w:t>
      </w:r>
    </w:p>
    <w:p>
      <w:pPr>
        <w:spacing w:after="0" w:line="121"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455" w:right="35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 Changes in Fair Value of Contingent Consideration</w:t>
      </w:r>
    </w:p>
    <w:p>
      <w:pPr>
        <w:spacing w:after="0" w:line="121" w:lineRule="exact"/>
        <w:rPr>
          <w:sz w:val="20"/>
          <w:szCs w:val="20"/>
          <w:color w:val="auto"/>
        </w:rPr>
      </w:pPr>
    </w:p>
    <w:p>
      <w:pPr>
        <w:jc w:val="both"/>
        <w:ind w:right="3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0"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 Fair Value of Financial Instruments</w:t>
      </w:r>
    </w:p>
    <w:p>
      <w:pPr>
        <w:spacing w:after="0" w:line="121"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62"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(x) Business Combinations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 Recently Issued Accounting Standards Adopted</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60"/>
          </w:cols>
          <w:pgMar w:left="320" w:top="455" w:right="41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87"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 Recently Issued Accounting Standards Not Yet Adopted</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-719455</wp:posOffset>
            </wp:positionV>
            <wp:extent cx="285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(aa) Net loss per share and unaudited pro format net loss per share</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00"/>
          </w:cols>
          <w:pgMar w:left="320" w:top="455" w:right="3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per share amounts):</w:t>
      </w:r>
    </w:p>
    <w:p>
      <w:pPr>
        <w:spacing w:after="0" w:line="182"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(30,726)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(26,166)</w:t>
            </w: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(22.07)</w:t>
            </w:r>
          </w:p>
        </w:tc>
      </w:tr>
    </w:tbl>
    <w:p>
      <w:pPr>
        <w:spacing w:after="0" w:line="198"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0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6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119,257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110,562</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125,429</w:t>
            </w:r>
            <w:r>
              <w:rPr>
                <w:rFonts w:ascii="Times New Roman" w:cs="Times New Roman" w:eastAsia="Times New Roman" w:hAnsi="Times New Roman"/>
                <w:sz w:val="15"/>
                <w:szCs w:val="15"/>
                <w:color w:val="auto"/>
              </w:rPr>
              <w:t>(1)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122,087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60" w:right="100" w:hanging="452"/>
        <w:spacing w:after="0" w:line="266" w:lineRule="auto"/>
        <w:tabs>
          <w:tab w:leader="none" w:pos="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Unaudited pro forma net loss per share</w:t>
      </w:r>
    </w:p>
    <w:p>
      <w:pPr>
        <w:spacing w:after="0" w:line="11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455" w:right="3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7"/>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117,541</w:t>
            </w:r>
          </w:p>
        </w:tc>
      </w:tr>
      <w:tr>
        <w:trPr>
          <w:trHeight w:val="223"/>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36,143</w:t>
            </w:r>
            <w:r>
              <w:rPr>
                <w:rFonts w:ascii="Times New Roman" w:cs="Times New Roman" w:eastAsia="Times New Roman" w:hAnsi="Times New Roman"/>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155,126</w:t>
            </w:r>
          </w:p>
        </w:tc>
        <w:tc>
          <w:tcPr>
            <w:tcW w:w="220" w:type="dxa"/>
            <w:vAlign w:val="bottom"/>
            <w:shd w:val="clear" w:color="auto" w:fill="CCEEFF"/>
          </w:tcPr>
          <w:p>
            <w:pPr>
              <w:spacing w:after="0"/>
              <w:rPr>
                <w:sz w:val="18"/>
                <w:szCs w:val="18"/>
                <w:color w:val="auto"/>
              </w:rPr>
            </w:pPr>
          </w:p>
        </w:tc>
      </w:tr>
      <w:tr>
        <w:trPr>
          <w:trHeight w:val="228"/>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886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6" w:lineRule="exact"/>
        <w:rPr>
          <w:sz w:val="20"/>
          <w:szCs w:val="20"/>
          <w:color w:val="auto"/>
        </w:rPr>
      </w:pPr>
    </w:p>
    <w:p>
      <w:pPr>
        <w:ind w:left="460" w:right="100" w:hanging="452"/>
        <w:spacing w:after="0" w:line="266"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2—Liquidity</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292"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Note 3—Business Combinations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Oncimmune Limited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31, 2019, the Company purchased select assets and liabilities from Oncimmune Limited (“Oncimmune”) for total consideration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455" w:right="3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23"/>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the Company has finalized its accounting for this business combination.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Integrated Diagnostics,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June 30, 2018, the Company purchased select assets and liabilities from Integrated Diagnostics, Inc. (“Indi”) for total consideration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86"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aggregate consideration paid by the Company and the allocation of the purchase price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56"/>
              <w:spacing w:after="0"/>
              <w:rPr>
                <w:sz w:val="20"/>
                <w:szCs w:val="20"/>
                <w:color w:val="auto"/>
              </w:rPr>
            </w:pPr>
            <w:r>
              <w:rPr>
                <w:rFonts w:ascii="Times New Roman" w:cs="Times New Roman" w:eastAsia="Times New Roman" w:hAnsi="Times New Roman"/>
                <w:sz w:val="18"/>
                <w:szCs w:val="18"/>
                <w:color w:val="auto"/>
              </w:rPr>
              <w:t>F-51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89"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acquired, amortization method and estimated useful lives as of June 30, 2018 was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84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Accounting</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8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determination of where assets and liabilities fall within this hierarchy is based upon the lowest level of input that is significant to the fair value measurement.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455" w:right="3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29,114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1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Times New Roman" w:cs="Times New Roman" w:eastAsia="Times New Roman" w:hAnsi="Times New Roman"/>
                <w:sz w:val="18"/>
                <w:szCs w:val="18"/>
                <w:color w:val="auto"/>
              </w:rPr>
              <w:t>F-53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Pr>
          <w:p>
            <w:pPr>
              <w:spacing w:after="0"/>
              <w:rPr>
                <w:sz w:val="15"/>
                <w:szCs w:val="15"/>
                <w:color w:val="auto"/>
              </w:rPr>
            </w:pPr>
          </w:p>
        </w:tc>
        <w:tc>
          <w:tcPr>
            <w:tcW w:w="16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$ 29,114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12 for further discussion of preferred stock warrants.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87"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455" w:right="3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87"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560" w:type="dxa"/>
            <w:vAlign w:val="bottom"/>
          </w:tcPr>
          <w:p>
            <w:pPr>
              <w:spacing w:after="0"/>
              <w:rPr>
                <w:sz w:val="15"/>
                <w:szCs w:val="15"/>
                <w:color w:val="auto"/>
              </w:rPr>
            </w:pPr>
          </w:p>
        </w:tc>
        <w:tc>
          <w:tcPr>
            <w:tcW w:w="16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1,894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6,956</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(6,386)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600" w:hanging="4996"/>
        <w:spacing w:after="0" w:line="454" w:lineRule="auto"/>
        <w:rPr>
          <w:sz w:val="20"/>
          <w:szCs w:val="20"/>
          <w:color w:val="auto"/>
        </w:rPr>
      </w:pPr>
      <w:r>
        <w:rPr>
          <w:rFonts w:ascii="Times New Roman" w:cs="Times New Roman" w:eastAsia="Times New Roman" w:hAnsi="Times New Roman"/>
          <w:sz w:val="18"/>
          <w:szCs w:val="18"/>
          <w:color w:val="auto"/>
        </w:rPr>
        <w:t>Depreciation expense for each of the years ended December 31, 2019 and 2018 was $0.8 million and $0.7 million, respectively. F-55</w:t>
      </w:r>
    </w:p>
    <w:p>
      <w:pPr>
        <w:sectPr>
          <w:pgSz w:w="11900" w:h="16838" w:orient="portrait"/>
          <w:cols w:equalWidth="0" w:num="1">
            <w:col w:w="11240"/>
          </w:cols>
          <w:pgMar w:left="320" w:top="455" w:right="3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15,092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amortization expense of $2.0 million and $1.0 million for the years ended December 31,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related to the remaining net intangible assets is scheduled to amortize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455" w:right="3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90"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accrued interest of $0.1 million is included in the convertible debt balance included on the accompanying balance sheet.</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455" w:right="3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87" w:lineRule="exact"/>
        <w:rPr>
          <w:sz w:val="20"/>
          <w:szCs w:val="20"/>
          <w:color w:val="auto"/>
        </w:rPr>
      </w:pPr>
    </w:p>
    <w:p>
      <w:pPr>
        <w:ind w:right="36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7—Long-Term Debt</w:t>
      </w:r>
    </w:p>
    <w:p>
      <w:pPr>
        <w:spacing w:after="0" w:line="121"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76"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80"/>
          </w:cols>
          <w:pgMar w:left="320" w:top="455" w:right="39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payable as of December 31, 2019 and 2018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CCEEFF"/>
            </w:tcBorders>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5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Times New Roman" w:cs="Times New Roman" w:eastAsia="Times New Roman" w:hAnsi="Times New Roman"/>
                <w:sz w:val="18"/>
                <w:szCs w:val="18"/>
                <w:color w:val="auto"/>
              </w:rPr>
              <w:t>F-59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liabilities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8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62"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62"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455" w:right="3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Co-Development Agreement</w:t>
      </w:r>
    </w:p>
    <w:p>
      <w:pPr>
        <w:spacing w:after="0" w:line="12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455" w:right="3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consecutive twelve-month period or for any material breach by the Company of the supply agreement. The Company incurred royalty expense of $0.1 million during 2019 under this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10—Convertible Preferred Stock</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details, by series, the Company’s convertible preferred stock at December 31, 2019 (in thousands, except shares and original issue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3"/>
                <w:szCs w:val="13"/>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H</w:t>
      </w:r>
    </w:p>
    <w:p>
      <w:pPr>
        <w:spacing w:after="0" w:line="119" w:lineRule="exact"/>
        <w:rPr>
          <w:sz w:val="20"/>
          <w:szCs w:val="20"/>
          <w:color w:val="auto"/>
        </w:rPr>
      </w:pPr>
    </w:p>
    <w:p>
      <w:pPr>
        <w:ind w:right="700" w:firstLine="449"/>
        <w:spacing w:after="0" w:line="282" w:lineRule="auto"/>
        <w:rPr>
          <w:sz w:val="20"/>
          <w:szCs w:val="20"/>
          <w:color w:val="auto"/>
        </w:rPr>
      </w:pPr>
      <w:r>
        <w:rPr>
          <w:rFonts w:ascii="Times New Roman" w:cs="Times New Roman" w:eastAsia="Times New Roman" w:hAnsi="Times New Roman"/>
          <w:sz w:val="18"/>
          <w:szCs w:val="18"/>
          <w:color w:val="auto"/>
        </w:rPr>
        <w:t>In February and March 2019, the Company issued 8,695,621 shares of Series H Preferred Stock at $1.15 per share for total cash proceeds of $10.0 million.</w:t>
      </w:r>
    </w:p>
    <w:p>
      <w:pPr>
        <w:spacing w:after="0" w:line="162"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G</w:t>
      </w:r>
    </w:p>
    <w:p>
      <w:pPr>
        <w:spacing w:after="0" w:line="11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76"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62"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455" w:right="3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$2.00 (adjusted for stock splits, dividends, and recapitalizations) and gross cash proceeds to the Company (before underwriting discounts, commissions, and fees) are at least $40 million.</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62"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80"/>
          </w:cols>
          <w:pgMar w:left="320" w:top="455" w:right="39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 Options</w:t>
      </w:r>
    </w:p>
    <w:p>
      <w:pPr>
        <w:spacing w:after="0" w:line="12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8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8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455" w:right="3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0.36</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0.21</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options outstanding and exercisable as of December 31, 2019 (in thousands, except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5"/>
                <w:szCs w:val="15"/>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8,688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2,931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$0.44 – $0.63</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0.57</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Total—December 31, 2019</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11,376</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$0.29</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Life reflect the weighted average exercise price and weighted average remaining contractual life, respectively.</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 average assumptions (dollars in thousands):</w:t>
      </w:r>
    </w:p>
    <w:p>
      <w:pPr>
        <w:spacing w:after="0" w:line="18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7"/>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5.94 years</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F-65</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76"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employee stock-based compensation expense on statements of income line items for the periods indicated (in thousands):</w:t>
      </w:r>
    </w:p>
    <w:p>
      <w:pPr>
        <w:spacing w:after="0" w:line="182"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62"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has issued a total of 1,218,140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1,116,295 options outside of the 2006 Incentive Plan are outstanding and exercisable and have a weighted average exercise price of $1.94, a weighted average remaining life of six years, and were fully vested on the grant date. There was no unrecognized remaining stock-based compensation balance for shares issued outside of the 2006 Incentive Plan as of December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455" w:right="3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for convertible preferred stock warrants outstanding (in thousands, except weighted average exercise price):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Series G</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9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w w:val="95"/>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8.0 years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13—Subsequent Events</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through the auditors’ report date, which is the date the financial statements were available for issuance.</w:t>
      </w:r>
    </w:p>
    <w:p>
      <w:pPr>
        <w:spacing w:after="0" w:line="16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3"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76"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455" w:right="339" w:bottom="1440" w:gutter="0" w:footer="0" w:header="0"/>
        </w:sectPr>
      </w:pPr>
    </w:p>
    <w:bookmarkStart w:id="277" w:name="page278"/>
    <w:bookmarkEnd w:id="27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3790315</wp:posOffset>
            </wp:positionV>
            <wp:extent cx="1997075" cy="3511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103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listing fee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be filed by amendment.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87"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455" w:right="3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2017.</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Issuances of Capital Stock</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jc w:val="both"/>
        <w:ind w:right="400" w:firstLine="449"/>
        <w:spacing w:after="0" w:line="312" w:lineRule="auto"/>
        <w:rPr>
          <w:sz w:val="20"/>
          <w:szCs w:val="20"/>
          <w:color w:val="auto"/>
        </w:rPr>
      </w:pPr>
      <w:r>
        <w:rPr>
          <w:rFonts w:ascii="Times New Roman" w:cs="Times New Roman" w:eastAsia="Times New Roman" w:hAnsi="Times New Roman"/>
          <w:sz w:val="17"/>
          <w:szCs w:val="17"/>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Issuances</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Registrant issued a warrant to purchase 613,333 shares of Series G Preferred Stock at an exercise price of $0.75 per share to a lender in connection with a loan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 Issuances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455" w:right="37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and Common Stock Issuances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January 1, 2017 through April 2020, the Registrant granted to certain of its directors, employees, consultants and other service providers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options to purchase 5,448,478 shares of common stock with per share exercise prices ranging from $0.07 to $1.15 and have issued shares of its common stock upon exercise of such options.</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0" w:type="dxa"/>
            <w:vAlign w:val="bottom"/>
          </w:tcPr>
          <w:p>
            <w:pPr>
              <w:spacing w:after="0"/>
              <w:rPr>
                <w:sz w:val="13"/>
                <w:szCs w:val="1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4"/>
                <w:szCs w:val="24"/>
                <w:color w:val="auto"/>
              </w:rPr>
            </w:pPr>
          </w:p>
        </w:tc>
        <w:tc>
          <w:tcPr>
            <w:tcW w:w="5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Fifteenth Amended and Restated Certificate of Incorporation of Biodesix, Inc., as currently in effect.</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Biodesix, Inc., to be in effect upon the closing of the offering.</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Biodesix, Inc., as currently in effect.</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of Amended and Restated Bylaws of Biodesix, Inc., to be in effect upon the closing of the offering.</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06"/>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Eleventh Amended and Restated Investor Rights Agreement, by and among Biodesix, Inc. and the investors listed on Exhibit A thereto,</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dated October 10, 2018.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Warrant held by Innovatus Life Sciences Lending Fund I, LP, to Purchase Series G Preferred Stock, dated February 23, 3018.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Secured Promissory Note held by Innovatus Life Sciences Lending Fund I, LP, in Biodesix, Inc., dated February 23, 2018.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Form of Opinion of Sidley Austin LLP.</w:t>
            </w:r>
          </w:p>
        </w:tc>
        <w:tc>
          <w:tcPr>
            <w:tcW w:w="0" w:type="dxa"/>
            <w:vAlign w:val="bottom"/>
          </w:tcPr>
          <w:p>
            <w:pPr>
              <w:spacing w:after="0"/>
              <w:rPr>
                <w:sz w:val="1"/>
                <w:szCs w:val="1"/>
                <w:color w:val="auto"/>
              </w:rPr>
            </w:pPr>
          </w:p>
        </w:tc>
      </w:tr>
      <w:tr>
        <w:trPr>
          <w:trHeight w:val="324"/>
        </w:trPr>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8"/>
              </w:rPr>
              <w:t>10.1*+</w:t>
            </w: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Biodesix, Inc. Amended and Restated 2006 Employee, Director and Consultant Stock Plan, as amended to date.</w:t>
            </w:r>
          </w:p>
        </w:tc>
        <w:tc>
          <w:tcPr>
            <w:tcW w:w="0" w:type="dxa"/>
            <w:vAlign w:val="bottom"/>
          </w:tcPr>
          <w:p>
            <w:pPr>
              <w:spacing w:after="0"/>
              <w:rPr>
                <w:sz w:val="1"/>
                <w:szCs w:val="1"/>
                <w:color w:val="auto"/>
              </w:rPr>
            </w:pPr>
          </w:p>
        </w:tc>
      </w:tr>
      <w:tr>
        <w:trPr>
          <w:trHeight w:val="306"/>
        </w:trPr>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8"/>
              </w:rPr>
              <w:t>10.2*+</w:t>
            </w: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Forms of Stock Option Grant Notice, Option Agreement and Notice of Exercise under Amended and Restated 2006 Employee, Director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and Consultant Stock Plan.</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80"/>
          </w:cols>
          <w:pgMar w:left="320" w:top="455" w:right="39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00" w:type="dxa"/>
            <w:vAlign w:val="bottom"/>
            <w:gridSpan w:val="2"/>
            <w:vMerge w:val="restart"/>
          </w:tcPr>
          <w:p>
            <w:pPr>
              <w:ind w:left="4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5700" w:type="dxa"/>
            <w:vAlign w:val="bottom"/>
            <w:gridSpan w:val="2"/>
            <w:vMerge w:val="continue"/>
          </w:tcPr>
          <w:p>
            <w:pPr>
              <w:spacing w:after="0"/>
              <w:rPr>
                <w:sz w:val="15"/>
                <w:szCs w:val="15"/>
                <w:color w:val="auto"/>
              </w:rPr>
            </w:pPr>
          </w:p>
        </w:tc>
        <w:tc>
          <w:tcPr>
            <w:tcW w:w="19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Biodesix, Inc. 2016 Equity Incentive Plan, as amended to date.</w:t>
            </w: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Forms of Stock Option Grant Notice, Option Agreement and Notice of Exercise under 2016 Equity Incentive Plan.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Biodesix, Inc., Third Amended Bonus-to-Options Program, adopted by the Board of Directors on December 31, 2015.</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Forms of Stock Option Grant Notice and Option Agreement under the Biodesix, Inc. Bonus-To-Options Program</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by and between Biodesix, Inc. and each of its directors and executive officers.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Non-Employee Director Compensation Policy to be in effect upon the closing of this offering.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Executive Employment Agreement, by and between Biodesix, Inc. and</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effective as of</w:t>
            </w:r>
          </w:p>
        </w:tc>
        <w:tc>
          <w:tcPr>
            <w:tcW w:w="268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 Lease between Aero-Tech Investments, LLC and Biodesix, Inc., dated October 5, 2011.</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Lease Assignment of De Soto Facility, dated November 1, 2019.</w:t>
            </w: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Loan and Security Agreement, by and among Innovatus Life Sciences Lending Fund I, LP, the Lenders listed therein, and Biodesix, Inc.,</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dated February 23, 2018, as amended to date.</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Patent Assignment between Biodesix, Inc., and Integrated Diagnostics, Inc., dated June 30, 2018.</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IP Assignment Agreement between Oncimmune Limited, and Biodesix, Inc., dated October 31, 2019.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IP License Agreement between Oncimmune Limited, and Biodesix, Inc., dated October 31, 2019.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Non-Exclusive License Agreement between Bio-Rad Laboratories, Inc., and Biodesix, Inc., dated August 1, 2019.</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between Biodesix, Inc., and Oncimmune, dated October 31, 2019.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7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between Bio-Rad Laboratories, Inc., and Biodesix, Inc., dated August 1, 2019.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Co-Development and Collaboration Agreement between AVEO Pharmaceuticals, Inc., and Biodesix, Inc., dated April 9, 2014, as amended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October 14, 2016.</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Contingent Value Rights Agreement between Biodesix, Inc. and Holders on Schedule A mentioned within, dated February 22, 2016.</w:t>
            </w: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10.21†*</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Asset Purchase Agreement among Biodesix, Inc., Integrated Diagnostics, Inc., and the stockholders of Integrated Diagnostics, Inc., listed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therein, dated June 30, 2018.</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Asset Purchase Agreement between Oncimmune Limited and Biodesix, Inc., dated June 27, 2019, as amended to date.</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10.23†*</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COVID-19 Testing Laboratory Services Agreement by and between Biodesix, Inc., and Centura Health Corporation, dated April 3, 2020.</w:t>
            </w: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10.24†*</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First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dated April 23, 2020.</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10.25†*</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Second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dated May 27, 2020.</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10.26†*</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Third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dated August 7, 2020.</w:t>
            </w: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10.27†*</w:t>
            </w:r>
          </w:p>
        </w:tc>
        <w:tc>
          <w:tcPr>
            <w:tcW w:w="10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Contract Agreement between Biodesix, Inc. and the Colorado Department of Public Health and Environment, dated September 11, 2020.</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II-4</w:t>
            </w: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80" w:type="dxa"/>
            <w:vAlign w:val="bottom"/>
            <w:gridSpan w:val="2"/>
            <w:vMerge w:val="restart"/>
          </w:tcPr>
          <w:p>
            <w:pPr>
              <w:ind w:left="5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6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6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6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6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Power of Attorney (see signature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460" w:right="60" w:hanging="452"/>
        <w:spacing w:after="0" w:line="250" w:lineRule="auto"/>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76"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will be deemed to be part of this Registration Statement as of the time it was declared effective.</w:t>
      </w:r>
    </w:p>
    <w:p>
      <w:pPr>
        <w:spacing w:after="0" w:line="112" w:lineRule="exact"/>
        <w:rPr>
          <w:rFonts w:ascii="Times New Roman" w:cs="Times New Roman" w:eastAsia="Times New Roman" w:hAnsi="Times New Roman"/>
          <w:sz w:val="17"/>
          <w:szCs w:val="17"/>
          <w:color w:val="auto"/>
        </w:rPr>
      </w:pPr>
    </w:p>
    <w:p>
      <w:pPr>
        <w:jc w:val="both"/>
        <w:ind w:left="1000" w:right="160" w:hanging="432"/>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20"/>
          </w:cols>
          <w:pgMar w:left="320" w:top="455" w:right="3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 in the City of Boulder, State of Colorado on</w:t>
            </w:r>
          </w:p>
        </w:tc>
        <w:tc>
          <w:tcPr>
            <w:tcW w:w="38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2020.</w:t>
            </w:r>
          </w:p>
        </w:tc>
      </w:tr>
      <w:tr>
        <w:trPr>
          <w:trHeight w:val="441"/>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736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5"/>
        </w:trPr>
        <w:tc>
          <w:tcPr>
            <w:tcW w:w="7360" w:type="dxa"/>
            <w:vAlign w:val="bottom"/>
          </w:tcPr>
          <w:p>
            <w:pPr>
              <w:ind w:left="67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Scott Hutton</w:t>
            </w:r>
          </w:p>
        </w:tc>
      </w:tr>
      <w:tr>
        <w:trPr>
          <w:trHeight w:val="234"/>
        </w:trPr>
        <w:tc>
          <w:tcPr>
            <w:tcW w:w="736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94"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74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1720" w:type="dxa"/>
            <w:vAlign w:val="bottom"/>
          </w:tcPr>
          <w:p>
            <w:pPr>
              <w:spacing w:after="0"/>
              <w:rPr>
                <w:sz w:val="19"/>
                <w:szCs w:val="19"/>
                <w:color w:val="auto"/>
              </w:rPr>
            </w:pPr>
          </w:p>
        </w:tc>
        <w:tc>
          <w:tcPr>
            <w:tcW w:w="5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720" w:type="dxa"/>
            <w:vAlign w:val="bottom"/>
          </w:tcPr>
          <w:p>
            <w:pPr>
              <w:spacing w:after="0"/>
              <w:rPr>
                <w:sz w:val="19"/>
                <w:szCs w:val="19"/>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Cawthorn</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240"/>
          </w:cols>
          <w:pgMar w:left="320" w:top="455" w:right="33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920"/>
      </w:cols>
      <w:pgMar w:left="320" w:top="45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decimal"/>
      <w:start w:val="3"/>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lowerRoman"/>
      <w:start w:val="2"/>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1)"/>
      <w:numFmt w:val="lowerRoman"/>
      <w:start w:val="3"/>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lvl w:ilvl="1">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lvl w:ilvl="1">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lvl w:ilvl="1">
      <w:lvlJc w:val="left"/>
      <w:lvlText w:val="•"/>
      <w:numFmt w:val="bullet"/>
      <w:start w:val="1"/>
    </w:lvl>
  </w:abstractNum>
  <w:abstractNum w:abstractNumId="73">
    <w:nsid w:val="6A5F7029"/>
    <w:multiLevelType w:val="hybridMultilevel"/>
    <w:lvl w:ilvl="0">
      <w:lvlJc w:val="left"/>
      <w:lvlText w:val="•"/>
      <w:numFmt w:val="bullet"/>
      <w:start w:val="1"/>
    </w:lvl>
    <w:lvl w:ilvl="1">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1)"/>
      <w:numFmt w:val="decimal"/>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1)"/>
      <w:numFmt w:val="decimal"/>
      <w:start w:val="12"/>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1)"/>
      <w:numFmt w:val="decimal"/>
      <w:start w:val="1"/>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1)"/>
      <w:numFmt w:val="decimal"/>
      <w:start w:val="4"/>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5"/>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1)"/>
      <w:numFmt w:val="lowerLetter"/>
      <w:start w:val="1"/>
    </w:lvl>
  </w:abstractNum>
  <w:abstractNum w:abstractNumId="113">
    <w:nsid w:val="1DF029D3"/>
    <w:multiLevelType w:val="hybridMultilevel"/>
    <w:lvl w:ilvl="0">
      <w:lvlJc w:val="left"/>
      <w:lvlText w:val="(%1)"/>
      <w:numFmt w:val="lowerLetter"/>
      <w:start w:val="1"/>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1)"/>
      <w:numFmt w:val="decimal"/>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decimal"/>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2020-10-05T06:05:40Z</dcterms:created>
  <dcterms:modified xsi:type="dcterms:W3CDTF">2020-10-05T06:05:40Z</dcterms:modified>
</cp:coreProperties>
</file>