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6, 2022</w:t>
      </w:r>
    </w:p>
    <w:p>
      <w:pPr>
        <w:spacing w:after="0" w:line="31" w:lineRule="exact"/>
        <w:rPr>
          <w:sz w:val="24"/>
          <w:szCs w:val="24"/>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20" w:type="dxa"/>
        <w:tblCellMar>
          <w:top w:w="0" w:type="dxa"/>
          <w:left w:w="0" w:type="dxa"/>
          <w:bottom w:w="0" w:type="dxa"/>
          <w:right w:w="0" w:type="dxa"/>
        </w:tblCellMar>
      </w:tblPr>
      <w:tr>
        <w:trPr>
          <w:trHeight w:val="214"/>
        </w:trPr>
        <w:tc>
          <w:tcPr>
            <w:tcW w:w="5840" w:type="dxa"/>
            <w:vAlign w:val="bottom"/>
          </w:tcPr>
          <w:p>
            <w:pPr>
              <w:jc w:val="center"/>
              <w:ind w:right="32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0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20-3986492</w:t>
            </w:r>
          </w:p>
        </w:tc>
      </w:tr>
      <w:tr>
        <w:trPr>
          <w:trHeight w:val="148"/>
        </w:trPr>
        <w:tc>
          <w:tcPr>
            <w:tcW w:w="5840" w:type="dxa"/>
            <w:vAlign w:val="bottom"/>
          </w:tcPr>
          <w:p>
            <w:pPr>
              <w:jc w:val="center"/>
              <w:ind w:right="3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0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840" w:type="dxa"/>
            <w:vAlign w:val="bottom"/>
          </w:tcPr>
          <w:p>
            <w:pPr>
              <w:jc w:val="center"/>
              <w:ind w:right="32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0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5840" w:type="dxa"/>
            <w:vAlign w:val="bottom"/>
          </w:tcPr>
          <w:p>
            <w:pPr>
              <w:jc w:val="center"/>
              <w:ind w:right="3239"/>
              <w:spacing w:after="0"/>
              <w:rPr>
                <w:sz w:val="20"/>
                <w:szCs w:val="20"/>
                <w:color w:val="auto"/>
              </w:rPr>
            </w:pPr>
            <w:r>
              <w:rPr>
                <w:rFonts w:ascii="Times New Roman" w:cs="Times New Roman" w:eastAsia="Times New Roman" w:hAnsi="Times New Roman"/>
                <w:sz w:val="18"/>
                <w:szCs w:val="18"/>
                <w:b w:val="1"/>
                <w:bCs w:val="1"/>
                <w:color w:val="auto"/>
              </w:rPr>
              <w:t>2970 Wilderness Place, Suite 100</w:t>
            </w:r>
          </w:p>
        </w:tc>
        <w:tc>
          <w:tcPr>
            <w:tcW w:w="1700" w:type="dxa"/>
            <w:vAlign w:val="bottom"/>
          </w:tcPr>
          <w:p>
            <w:pPr>
              <w:spacing w:after="0"/>
              <w:rPr>
                <w:sz w:val="24"/>
                <w:szCs w:val="24"/>
                <w:color w:val="auto"/>
              </w:rPr>
            </w:pPr>
          </w:p>
        </w:tc>
      </w:tr>
      <w:tr>
        <w:trPr>
          <w:trHeight w:val="227"/>
        </w:trPr>
        <w:tc>
          <w:tcPr>
            <w:tcW w:w="5840" w:type="dxa"/>
            <w:vAlign w:val="bottom"/>
          </w:tcPr>
          <w:p>
            <w:pPr>
              <w:jc w:val="center"/>
              <w:ind w:right="3239"/>
              <w:spacing w:after="0"/>
              <w:rPr>
                <w:sz w:val="20"/>
                <w:szCs w:val="20"/>
                <w:color w:val="auto"/>
              </w:rPr>
            </w:pPr>
            <w:r>
              <w:rPr>
                <w:rFonts w:ascii="Times New Roman" w:cs="Times New Roman" w:eastAsia="Times New Roman" w:hAnsi="Times New Roman"/>
                <w:sz w:val="18"/>
                <w:szCs w:val="18"/>
                <w:b w:val="1"/>
                <w:bCs w:val="1"/>
                <w:color w:val="auto"/>
                <w:w w:val="97"/>
              </w:rPr>
              <w:t>Boulder, Colorado</w:t>
            </w:r>
          </w:p>
        </w:tc>
        <w:tc>
          <w:tcPr>
            <w:tcW w:w="170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80301</w:t>
            </w:r>
          </w:p>
        </w:tc>
      </w:tr>
      <w:tr>
        <w:trPr>
          <w:trHeight w:val="190"/>
        </w:trPr>
        <w:tc>
          <w:tcPr>
            <w:tcW w:w="5840" w:type="dxa"/>
            <w:vAlign w:val="bottom"/>
          </w:tcPr>
          <w:p>
            <w:pPr>
              <w:jc w:val="center"/>
              <w:ind w:right="3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0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5840" w:type="dxa"/>
            <w:vAlign w:val="bottom"/>
          </w:tcPr>
          <w:p>
            <w:pPr>
              <w:jc w:val="center"/>
              <w:ind w:left="2039"/>
              <w:spacing w:after="0"/>
              <w:rPr>
                <w:sz w:val="20"/>
                <w:szCs w:val="20"/>
                <w:color w:val="auto"/>
              </w:rPr>
            </w:pPr>
            <w:r>
              <w:rPr>
                <w:rFonts w:ascii="Times New Roman" w:cs="Times New Roman" w:eastAsia="Times New Roman" w:hAnsi="Times New Roman"/>
                <w:sz w:val="18"/>
                <w:szCs w:val="18"/>
                <w:b w:val="1"/>
                <w:bCs w:val="1"/>
                <w:color w:val="auto"/>
              </w:rPr>
              <w:t>Biodesix, Inc. 2020 Equity Incentive Plan</w:t>
            </w:r>
          </w:p>
        </w:tc>
        <w:tc>
          <w:tcPr>
            <w:tcW w:w="1700" w:type="dxa"/>
            <w:vAlign w:val="bottom"/>
          </w:tcPr>
          <w:p>
            <w:pPr>
              <w:spacing w:after="0"/>
              <w:rPr>
                <w:sz w:val="24"/>
                <w:szCs w:val="24"/>
                <w:color w:val="auto"/>
              </w:rPr>
            </w:pPr>
          </w:p>
        </w:tc>
      </w:tr>
      <w:tr>
        <w:trPr>
          <w:trHeight w:val="190"/>
        </w:trPr>
        <w:tc>
          <w:tcPr>
            <w:tcW w:w="5840" w:type="dxa"/>
            <w:vAlign w:val="bottom"/>
          </w:tcPr>
          <w:p>
            <w:pPr>
              <w:jc w:val="center"/>
              <w:ind w:left="2039"/>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700" w:type="dxa"/>
            <w:vAlign w:val="bottom"/>
          </w:tcPr>
          <w:p>
            <w:pPr>
              <w:spacing w:after="0"/>
              <w:rPr>
                <w:sz w:val="16"/>
                <w:szCs w:val="16"/>
                <w:color w:val="auto"/>
              </w:rPr>
            </w:pP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Scott Hutton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2970 Wilderness Place, Suite 100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Boulder, Colorado 80301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(303) 417-0500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This Registration Statement on Form S-8 is being filed by Biodesix, Inc. (the “Registrant”) for the purpose of registering an additional 1,231,586 shares of the Registrant’s common stock, par value $0.001 per share (the “Common Stock”) issuable under the Biodesix, Inc. 2020 Equity Incentive Plan (the “2020 Plan”), as a result of the operation of the automatic annual increase provision therein effective January 1, 2022. The shares of the Registrant’s Common Stock previously reserved for issuance under the 2020 Plan were registered on the Registrant’s Registration Statement on Form S-8 filed with the Securities and Exchange Commission (the “Commission”) on November 2, 2020 (File No. 333-249805) (the “Prior Form S-8”).</w:t>
      </w:r>
    </w:p>
    <w:p>
      <w:pPr>
        <w:spacing w:after="0" w:line="168"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relates to securities of the same class as that to which the Prior Form S-8 relates, and is submitted in accordance with General Instruction E to Form S-8 regarding Registration of Additional Securities. Pursuant to General Instruction E of Form S-8, the contents of the Prior Form S-8, to the extent relating to the registration of Common Stock issuable under the 2020 Plan, are incorporated herein by reference and made part of this Registration Statement on Form S-8, except as amended 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Registrant hereby incorporates by reference in this Registration Statement the following documents and information previously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112" w:lineRule="exact"/>
        <w:rPr>
          <w:sz w:val="20"/>
          <w:szCs w:val="20"/>
          <w:color w:val="auto"/>
        </w:rPr>
      </w:pPr>
    </w:p>
    <w:p>
      <w:pPr>
        <w:ind w:left="960" w:right="4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Commission on March 14, 2022, including all material incorporated by reference therein;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1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Commission on May 11, 2022;</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auto"/>
          </w:rPr>
          <w:t xml:space="preserve">The Registrant’s Current Reports on Form 8-K, filed with the Commission on </w:t>
        </w:r>
        <w:r>
          <w:rPr>
            <w:rFonts w:ascii="Times New Roman" w:cs="Times New Roman" w:eastAsia="Times New Roman" w:hAnsi="Times New Roman"/>
            <w:sz w:val="18"/>
            <w:szCs w:val="18"/>
            <w:u w:val="single" w:color="auto"/>
            <w:color w:val="0000EE"/>
          </w:rPr>
          <w:t>January 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11, 2022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May 25, 2022</w:t>
        </w:r>
      </w:hyperlink>
      <w:hyperlink r:id="rId19">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960" w:right="24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October 26, 2020, pursuant to Section 12(b) of the Securities Exchange Act of 1934, as amended (the “Exchange Act”), including any amendment or report for the purpose of updating such description.</w:t>
      </w:r>
    </w:p>
    <w:p>
      <w:pPr>
        <w:spacing w:after="0" w:line="176" w:lineRule="exact"/>
        <w:rPr>
          <w:rFonts w:ascii="Times New Roman" w:cs="Times New Roman" w:eastAsia="Times New Roman" w:hAnsi="Times New Roman"/>
          <w:sz w:val="18"/>
          <w:szCs w:val="18"/>
          <w:color w:val="0000EE"/>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and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respective dates of filing of such documents (such documents, and the documents enumerated above, being hereinafter referred to as “Incorporated Documents”).</w:t>
      </w:r>
    </w:p>
    <w:p>
      <w:pPr>
        <w:spacing w:after="0" w:line="183" w:lineRule="exact"/>
        <w:rPr>
          <w:rFonts w:ascii="Times New Roman" w:cs="Times New Roman" w:eastAsia="Times New Roman" w:hAnsi="Times New Roman"/>
          <w:sz w:val="18"/>
          <w:szCs w:val="18"/>
          <w:color w:val="0000EE"/>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20"/>
          </w:cols>
          <w:pgMar w:left="440" w:top="26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0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880" w:right="800" w:hanging="786"/>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3">
        <w:r>
          <w:rPr>
            <w:rFonts w:ascii="Times New Roman" w:cs="Times New Roman" w:eastAsia="Times New Roman" w:hAnsi="Times New Roman"/>
            <w:sz w:val="18"/>
            <w:szCs w:val="18"/>
            <w:u w:val="single" w:color="auto"/>
            <w:color w:val="0000EE"/>
          </w:rPr>
          <w:t>Amended and Restated Certificate of Incorporation of Biodesix, Inc. (incorporated by reference to Exhibit 3.2 of the Registrant’s</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Registration Statement on Form S-1 (No. 333-249260), filed with the Commission on October 21, 2020).</w:t>
        </w:r>
      </w:hyperlink>
    </w:p>
    <w:p>
      <w:pPr>
        <w:spacing w:after="0" w:line="54" w:lineRule="exact"/>
        <w:rPr>
          <w:sz w:val="20"/>
          <w:szCs w:val="20"/>
          <w:color w:val="auto"/>
        </w:rPr>
      </w:pPr>
    </w:p>
    <w:p>
      <w:pPr>
        <w:ind w:left="880" w:right="320" w:hanging="786"/>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24">
        <w:r>
          <w:rPr>
            <w:rFonts w:ascii="Times New Roman" w:cs="Times New Roman" w:eastAsia="Times New Roman" w:hAnsi="Times New Roman"/>
            <w:sz w:val="18"/>
            <w:szCs w:val="18"/>
            <w:u w:val="single" w:color="auto"/>
            <w:color w:val="0000EE"/>
          </w:rPr>
          <w:t>Amended and Restated Bylaws of Biodesix, Inc. (incorporated by reference to Exhibit 3.4 of the Registrant’s Registration Statement on</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Form S-1 (No. 333-249260), filed with the Commission on October 21, 2020).</w:t>
        </w:r>
      </w:hyperlink>
    </w:p>
    <w:p>
      <w:pPr>
        <w:spacing w:after="0" w:line="54" w:lineRule="exact"/>
        <w:rPr>
          <w:sz w:val="20"/>
          <w:szCs w:val="20"/>
          <w:color w:val="auto"/>
        </w:rPr>
      </w:pPr>
    </w:p>
    <w:p>
      <w:pPr>
        <w:ind w:left="880" w:hanging="786"/>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25">
        <w:r>
          <w:rPr>
            <w:rFonts w:ascii="Times New Roman" w:cs="Times New Roman" w:eastAsia="Times New Roman" w:hAnsi="Times New Roman"/>
            <w:sz w:val="18"/>
            <w:szCs w:val="18"/>
            <w:u w:val="single" w:color="auto"/>
            <w:color w:val="0000EE"/>
          </w:rPr>
          <w:t>Biodesix, Inc. 2020 Equity Incentive Plan (incorporated by reference to Exhibit 10.5 to the Registrant’s Registration Statement on Form S-1</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(No. 333-249260), filed with the Commission on October 26, 2020).</w:t>
        </w:r>
      </w:hyperlink>
    </w:p>
    <w:p>
      <w:pPr>
        <w:spacing w:after="0" w:line="54" w:lineRule="exact"/>
        <w:rPr>
          <w:sz w:val="20"/>
          <w:szCs w:val="20"/>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Sidley Austin LLP with respect to validity of issuance of securities.</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Sidley Austin LLP (included in Exhibit 5.1).</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of the Registration Statement).</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Each document marked with an asterisk is filed herewith.</w:t>
      </w:r>
    </w:p>
    <w:p>
      <w:pPr>
        <w:sectPr>
          <w:pgSz w:w="11900" w:h="16838" w:orient="portrait"/>
          <w:cols w:equalWidth="0" w:num="1">
            <w:col w:w="10960"/>
          </w:cols>
          <w:pgMar w:left="440" w:top="266"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Boulder, Colorado, on the 6th day of June, 2022.</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Biodesix,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Scott Hutton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of the undersigned officers and directors of Biodesix, Inc. does hereby severally constitute and appoint Scott Hutton and Robin Harper Cowie, and each of them acting alone, his or her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and any applicable securities exchange or securities self-regulatory body,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60" w:type="dxa"/>
            <w:vAlign w:val="bottom"/>
            <w:gridSpan w:val="3"/>
          </w:tcPr>
          <w:p>
            <w:pPr>
              <w:jc w:val="center"/>
              <w:ind w:left="732"/>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20"/>
        </w:trPr>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25"/>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Scott Hutton</w:t>
            </w:r>
          </w:p>
        </w:tc>
        <w:tc>
          <w:tcPr>
            <w:tcW w:w="4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76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Scott Hutton</w:t>
            </w:r>
          </w:p>
        </w:tc>
        <w:tc>
          <w:tcPr>
            <w:tcW w:w="46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Robin Harper Cowie</w:t>
            </w:r>
          </w:p>
        </w:tc>
        <w:tc>
          <w:tcPr>
            <w:tcW w:w="4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76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Robin Harper Cowie</w:t>
            </w:r>
          </w:p>
        </w:tc>
        <w:tc>
          <w:tcPr>
            <w:tcW w:w="46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Ryan Siurek</w:t>
            </w:r>
          </w:p>
        </w:tc>
        <w:tc>
          <w:tcPr>
            <w:tcW w:w="4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76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Ryan Siurek</w:t>
            </w:r>
          </w:p>
        </w:tc>
        <w:tc>
          <w:tcPr>
            <w:tcW w:w="46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John Patience</w:t>
            </w:r>
          </w:p>
        </w:tc>
        <w:tc>
          <w:tcPr>
            <w:tcW w:w="4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John Patience</w:t>
            </w: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c>
          <w:tcPr>
            <w:tcW w:w="4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Jean Franchi</w:t>
            </w: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Jon Faiz Kayyem, Ph.D.</w:t>
            </w:r>
          </w:p>
        </w:tc>
        <w:tc>
          <w:tcPr>
            <w:tcW w:w="4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1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Jon Faiz Kayyem, Ph.D.</w:t>
            </w: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Hany Massarany</w:t>
            </w:r>
          </w:p>
        </w:tc>
        <w:tc>
          <w:tcPr>
            <w:tcW w:w="4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Hany Massarany</w:t>
            </w: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Jack Schuler</w:t>
            </w:r>
          </w:p>
        </w:tc>
        <w:tc>
          <w:tcPr>
            <w:tcW w:w="4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Jack Schuler</w:t>
            </w: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ectPr>
          <w:pgSz w:w="11900" w:h="16838" w:orient="portrait"/>
          <w:cols w:equalWidth="0" w:num="1">
            <w:col w:w="11000"/>
          </w:cols>
          <w:pgMar w:left="440" w:top="266" w:right="4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16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TITLE</w:t>
            </w:r>
          </w:p>
        </w:tc>
        <w:tc>
          <w:tcPr>
            <w:tcW w:w="3000" w:type="dxa"/>
            <w:vAlign w:val="bottom"/>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260" w:type="dxa"/>
            <w:vAlign w:val="bottom"/>
          </w:tcPr>
          <w:p>
            <w:pPr>
              <w:spacing w:after="0"/>
              <w:rPr>
                <w:sz w:val="15"/>
                <w:szCs w:val="15"/>
                <w:color w:val="auto"/>
              </w:rPr>
            </w:pPr>
          </w:p>
        </w:tc>
      </w:tr>
      <w:tr>
        <w:trPr>
          <w:trHeight w:val="425"/>
        </w:trPr>
        <w:tc>
          <w:tcPr>
            <w:tcW w:w="41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Matthew Strobeck, Ph.D.</w:t>
            </w: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60" w:type="dxa"/>
            <w:vAlign w:val="bottom"/>
            <w:gridSpan w:val="3"/>
          </w:tcPr>
          <w:p>
            <w:pPr>
              <w:jc w:val="center"/>
              <w:ind w:left="2650"/>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Matthew Strobeck, Ph.D.</w:t>
            </w: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Charles Watts, M.D.</w:t>
            </w: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60" w:type="dxa"/>
            <w:vAlign w:val="bottom"/>
            <w:gridSpan w:val="3"/>
          </w:tcPr>
          <w:p>
            <w:pPr>
              <w:jc w:val="center"/>
              <w:ind w:left="2650"/>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Charles Watts, M.D.</w:t>
            </w: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ectPr>
          <w:pgSz w:w="11900" w:h="16838" w:orient="portrait"/>
          <w:cols w:equalWidth="0" w:num="1">
            <w:col w:w="10600"/>
          </w:cols>
          <w:pgMar w:left="440" w:top="263" w:right="8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555 CALIFORNIA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106299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62990" cy="274320"/>
                    </a:xfrm>
                    <a:prstGeom prst="rect">
                      <a:avLst/>
                    </a:prstGeom>
                    <a:noFill/>
                  </pic:spPr>
                </pic:pic>
              </a:graphicData>
            </a:graphic>
          </wp:anchor>
        </w:drawing>
      </w:r>
    </w:p>
    <w:p>
      <w:pPr>
        <w:ind w:left="3540"/>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+1 415 772 1200</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+1 415 772 7400 FAX</w:t>
      </w:r>
    </w:p>
    <w:p>
      <w:pPr>
        <w:spacing w:after="0" w:line="23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AMERICA • ASIA PACIFIC • EUROPE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2970 Wilderness Place,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Boulder, CO 80301</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1,231,586 Shares of Common Stock, $0.001 par value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We refer to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by Biodesix,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1,231,586 shares of Common Stock, $0.001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which may be issued under the Biodesix, Inc. 2020 Equity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and the aggregate shares of Common Stock to be registered under the Registration Statement, the “</w:t>
      </w:r>
      <w:r>
        <w:rPr>
          <w:rFonts w:ascii="Times New Roman" w:cs="Times New Roman" w:eastAsia="Times New Roman" w:hAnsi="Times New Roman"/>
          <w:sz w:val="18"/>
          <w:szCs w:val="18"/>
          <w:u w:val="single" w:color="auto"/>
          <w:color w:val="auto"/>
        </w:rPr>
        <w:t>Registered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We have examined the 2020 Plan, the Registration Statement, the Amended and Restated Certificate of Incorporation of the Company, the Amended and Restated Bylaws of the Company, the resolutions of the Company’s Board of Directors authorizing the 2020 Plan and the issuance of the Registered Shares thereunder and the resolutions of the Company’s stockholders authorizing the 2020 Plan.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88"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Based on the foregoing, we are of the opinion that each Registered Share that is newly issued pursuant to the 2020 Plan will be validly issued, fully paid and non-assessable when: (i) the Registration Statement, as finally amended, shall have become effective under the Securities Act; (ii) such Registered Share shall have been duly issued and delivered in accordance with the 2020 Plan; and (iii) certificates representing such Registered Share shall have been duly executed, countersigned and registered and duly delivered to the person entitled thereto against payment of the agreed consideration therefor (in an amount not less than the par value thereof) or, if any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2020 Plan.</w:t>
      </w:r>
    </w:p>
    <w:p>
      <w:pPr>
        <w:sectPr>
          <w:pgSz w:w="11900" w:h="16838" w:orient="portrait"/>
          <w:cols w:equalWidth="0" w:num="1">
            <w:col w:w="11020"/>
          </w:cols>
          <w:pgMar w:left="440" w:top="117" w:right="439" w:bottom="1440" w:gutter="0" w:footer="0" w:header="0"/>
        </w:sectPr>
      </w:pPr>
    </w:p>
    <w:bookmarkStart w:id="6" w:name="page7"/>
    <w:bookmarkEnd w:id="6"/>
    <w:p>
      <w:pPr>
        <w:ind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4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Sidley Austin LLP</w:t>
      </w:r>
    </w:p>
    <w:p>
      <w:pPr>
        <w:sectPr>
          <w:pgSz w:w="11900" w:h="16838" w:orient="portrait"/>
          <w:cols w:equalWidth="0" w:num="1">
            <w:col w:w="10860"/>
          </w:cols>
          <w:pgMar w:left="440" w:top="270" w:right="5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use of our report dated March 14, 2022, with respect to the financial statements of Biodesix, Inc.,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2022</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50" w:lineRule="exact"/>
        <w:rPr>
          <w:sz w:val="20"/>
          <w:szCs w:val="20"/>
          <w:color w:val="auto"/>
        </w:rPr>
      </w:pPr>
    </w:p>
    <w:tbl>
      <w:tblPr>
        <w:tblLayout w:type="fixed"/>
        <w:tblInd w:w="134" w:type="dxa"/>
        <w:tblCellMar>
          <w:top w:w="0" w:type="dxa"/>
          <w:left w:w="0" w:type="dxa"/>
          <w:bottom w:w="0" w:type="dxa"/>
          <w:right w:w="0" w:type="dxa"/>
        </w:tblCellMar>
      </w:tblPr>
      <w:tr>
        <w:trPr>
          <w:trHeight w:val="144"/>
        </w:trPr>
        <w:tc>
          <w:tcPr>
            <w:tcW w:w="2060" w:type="dxa"/>
            <w:vAlign w:val="bottom"/>
            <w:tcBorders>
              <w:top w:val="single" w:sz="8" w:color="auto"/>
              <w:lef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118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62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3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1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206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2060" w:type="dxa"/>
            <w:vAlign w:val="bottom"/>
            <w:tcBorders>
              <w:left w:val="single" w:sz="8" w:color="auto"/>
              <w:bottom w:val="single" w:sz="8" w:color="auto"/>
            </w:tcBorders>
          </w:tcPr>
          <w:p>
            <w:pPr>
              <w:jc w:val="center"/>
              <w:ind w:left="804"/>
              <w:spacing w:after="0"/>
              <w:rPr>
                <w:sz w:val="20"/>
                <w:szCs w:val="20"/>
                <w:color w:val="auto"/>
              </w:rPr>
            </w:pPr>
            <w:r>
              <w:rPr>
                <w:rFonts w:ascii="Times New Roman" w:cs="Times New Roman" w:eastAsia="Times New Roman" w:hAnsi="Times New Roman"/>
                <w:sz w:val="13"/>
                <w:szCs w:val="13"/>
                <w:color w:val="auto"/>
                <w:w w:val="95"/>
              </w:rPr>
              <w:t>Security Type</w:t>
            </w:r>
          </w:p>
        </w:tc>
        <w:tc>
          <w:tcPr>
            <w:tcW w:w="76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Registered</w:t>
            </w:r>
            <w:r>
              <w:rPr>
                <w:rFonts w:ascii="Times New Roman" w:cs="Times New Roman" w:eastAsia="Times New Roman" w:hAnsi="Times New Roman"/>
                <w:sz w:val="10"/>
                <w:szCs w:val="10"/>
                <w:color w:val="auto"/>
                <w:w w:val="98"/>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Unit</w:t>
            </w:r>
            <w:r>
              <w:rPr>
                <w:rFonts w:ascii="Times New Roman" w:cs="Times New Roman" w:eastAsia="Times New Roman" w:hAnsi="Times New Roman"/>
                <w:sz w:val="10"/>
                <w:szCs w:val="10"/>
                <w:color w:val="auto"/>
                <w:w w:val="97"/>
              </w:rPr>
              <w:t>(2)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Price</w:t>
            </w:r>
            <w:r>
              <w:rPr>
                <w:rFonts w:ascii="Times New Roman" w:cs="Times New Roman" w:eastAsia="Times New Roman" w:hAnsi="Times New Roman"/>
                <w:sz w:val="10"/>
                <w:szCs w:val="10"/>
                <w:color w:val="auto"/>
                <w:w w:val="98"/>
              </w:rPr>
              <w:t>(2)</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6"/>
        </w:trPr>
        <w:tc>
          <w:tcPr>
            <w:tcW w:w="2060" w:type="dxa"/>
            <w:vAlign w:val="bottom"/>
            <w:tcBorders>
              <w:left w:val="single" w:sz="8" w:color="auto"/>
            </w:tcBorders>
          </w:tcPr>
          <w:p>
            <w:pPr>
              <w:jc w:val="center"/>
              <w:ind w:left="82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7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Common</w:t>
            </w:r>
          </w:p>
        </w:tc>
        <w:tc>
          <w:tcPr>
            <w:tcW w:w="9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457(c)</w:t>
            </w:r>
          </w:p>
        </w:tc>
        <w:tc>
          <w:tcPr>
            <w:tcW w:w="13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 $0.001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3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1,231,586</w:t>
            </w:r>
            <w:r>
              <w:rPr>
                <w:rFonts w:ascii="Times New Roman" w:cs="Times New Roman" w:eastAsia="Times New Roman" w:hAnsi="Times New Roman"/>
                <w:sz w:val="15"/>
                <w:szCs w:val="15"/>
                <w:color w:val="auto"/>
              </w:rPr>
              <w:t>(3)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$1.40</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$1,724,220.40</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0.0000927</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$159.84</w:t>
            </w:r>
          </w:p>
        </w:tc>
        <w:tc>
          <w:tcPr>
            <w:tcW w:w="0" w:type="dxa"/>
            <w:vAlign w:val="bottom"/>
          </w:tcPr>
          <w:p>
            <w:pPr>
              <w:spacing w:after="0"/>
              <w:rPr>
                <w:sz w:val="1"/>
                <w:szCs w:val="1"/>
                <w:color w:val="auto"/>
              </w:rPr>
            </w:pPr>
          </w:p>
        </w:tc>
      </w:tr>
      <w:tr>
        <w:trPr>
          <w:trHeight w:val="239"/>
        </w:trPr>
        <w:tc>
          <w:tcPr>
            <w:tcW w:w="2060" w:type="dxa"/>
            <w:vAlign w:val="bottom"/>
            <w:tcBorders>
              <w:left w:val="single" w:sz="8" w:color="auto"/>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center"/>
              <w:ind w:right="564"/>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3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$1,724,220.40</w:t>
            </w:r>
          </w:p>
        </w:tc>
        <w:tc>
          <w:tcPr>
            <w:tcW w:w="11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$159.84</w:t>
            </w:r>
          </w:p>
        </w:tc>
        <w:tc>
          <w:tcPr>
            <w:tcW w:w="0" w:type="dxa"/>
            <w:vAlign w:val="bottom"/>
          </w:tcPr>
          <w:p>
            <w:pPr>
              <w:spacing w:after="0"/>
              <w:rPr>
                <w:sz w:val="1"/>
                <w:szCs w:val="1"/>
                <w:color w:val="auto"/>
              </w:rPr>
            </w:pPr>
          </w:p>
        </w:tc>
      </w:tr>
      <w:tr>
        <w:trPr>
          <w:trHeight w:val="237"/>
        </w:trPr>
        <w:tc>
          <w:tcPr>
            <w:tcW w:w="2060" w:type="dxa"/>
            <w:vAlign w:val="bottom"/>
            <w:tcBorders>
              <w:left w:val="single" w:sz="8" w:color="auto"/>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2060" w:type="dxa"/>
            <w:vAlign w:val="bottom"/>
            <w:tcBorders>
              <w:left w:val="single" w:sz="8" w:color="auto"/>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Net Fee Due</w:t>
            </w: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424" w:right="80" w:hanging="424"/>
        <w:spacing w:after="0" w:line="261" w:lineRule="auto"/>
        <w:tabs>
          <w:tab w:leader="none" w:pos="424"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Pursuant to Rule 416 of the Securities Act of 1933, as amended (the “Securities Act”), this Registration Statement also covers such additional and indeterminate number of shares of common stock, par value $0.001 per share (the “Common Stock”) of Biodesix, Inc. (the “Registrant”), as may become issuable pursuant to the provisions of the plans relating to adjustments for changes resulting from a share dividend, share split or similar change.</w:t>
      </w:r>
    </w:p>
    <w:p>
      <w:pPr>
        <w:spacing w:after="0" w:line="85" w:lineRule="exact"/>
        <w:rPr>
          <w:rFonts w:ascii="Times New Roman" w:cs="Times New Roman" w:eastAsia="Times New Roman" w:hAnsi="Times New Roman"/>
          <w:sz w:val="15"/>
          <w:szCs w:val="15"/>
          <w:color w:val="auto"/>
        </w:rPr>
      </w:pPr>
    </w:p>
    <w:p>
      <w:pPr>
        <w:ind w:left="424" w:right="180" w:hanging="424"/>
        <w:spacing w:after="0" w:line="266" w:lineRule="auto"/>
        <w:tabs>
          <w:tab w:leader="none" w:pos="424"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Estimated pursuant to Rule 457(h) under the Securities Act solely for the purpose of calculating the registration fee. The price of $1.40 per share represents the average high and low prices of the Common Stock as quoted on the Nasdaq Global Select Market on June 2, 2022, a date within five business days prior to the filing of this Registration Statement, in accordance with Rule 457(c) of the Securities Act.</w:t>
      </w:r>
    </w:p>
    <w:p>
      <w:pPr>
        <w:spacing w:after="0" w:line="81" w:lineRule="exact"/>
        <w:rPr>
          <w:rFonts w:ascii="Times New Roman" w:cs="Times New Roman" w:eastAsia="Times New Roman" w:hAnsi="Times New Roman"/>
          <w:sz w:val="15"/>
          <w:szCs w:val="15"/>
          <w:color w:val="auto"/>
        </w:rPr>
      </w:pPr>
    </w:p>
    <w:p>
      <w:pPr>
        <w:ind w:left="424" w:right="20" w:hanging="424"/>
        <w:spacing w:after="0" w:line="256" w:lineRule="auto"/>
        <w:tabs>
          <w:tab w:leader="none" w:pos="424"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shares of Common Stock that were automatically added to the shares authorized for issuance under the Biodesix, Inc. 2020 Equity Incentive Plan (the “2020 Plan”) on January 1, 2022 pursuant to an “evergreen” provision contained in the 2020 Plan. Pursuant to such provision, on the first day of each calendar year, beginning with the calendar year ending December 31, 2022, and continuing until, and including, the calendar year ending December 31, 2030, the number of shares authorized for issuance under the 2020 Plan is automatically increased by a number equal to the lesser of (i) 4% of the number of shares of Common Stock issued and outstanding as of the December 31st of the immediately preceding calendar year and (ii) such lesser amount determined by the Registrant’s board of directors.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jpeg"/><Relationship Id="rId31" Type="http://schemas.openxmlformats.org/officeDocument/2006/relationships/image" Target="media/image16.png"/><Relationship Id="rId32" Type="http://schemas.openxmlformats.org/officeDocument/2006/relationships/image" Target="media/image17.png"/><Relationship Id="rId17" Type="http://schemas.openxmlformats.org/officeDocument/2006/relationships/hyperlink" Target="http://www.sec.gov/ix?doc=/Archives/edgar/data/1439725/000095017022003495/bdsx-20211231.htm" TargetMode="External"/><Relationship Id="rId18" Type="http://schemas.openxmlformats.org/officeDocument/2006/relationships/hyperlink" Target="http://www.sec.gov/ix?doc=/Archives/edgar/data/1439725/000095017022009126/bdsx-20220331.htm" TargetMode="External"/><Relationship Id="rId19" Type="http://schemas.openxmlformats.org/officeDocument/2006/relationships/hyperlink" Target="http://www.sec.gov/ix?doc=/Archives/edgar/data/1439725/000095017022005536/bdsx-20220407.htm" TargetMode="External"/><Relationship Id="rId20" Type="http://schemas.openxmlformats.org/officeDocument/2006/relationships/hyperlink" Target="http://www.sec.gov/ix?doc=/Archives/edgar/data/1439725/000119312522159676/d323176d8k.htm" TargetMode="External"/><Relationship Id="rId21" Type="http://schemas.openxmlformats.org/officeDocument/2006/relationships/hyperlink" Target="http://www.sec.gov/Archives/edgar/data/1439725/000119312520275716/d94177d8a12b.htm" TargetMode="External"/><Relationship Id="rId23" Type="http://schemas.openxmlformats.org/officeDocument/2006/relationships/hyperlink" Target="http://www.sec.gov/Archives/edgar/data/1439725/000119312520273369/d937421dex32.htm" TargetMode="External"/><Relationship Id="rId24" Type="http://schemas.openxmlformats.org/officeDocument/2006/relationships/hyperlink" Target="http://www.sec.gov/Archives/edgar/data/1439725/000119312520273369/d937421dex34.htm" TargetMode="External"/><Relationship Id="rId25" Type="http://schemas.openxmlformats.org/officeDocument/2006/relationships/hyperlink" Target="http://www.sec.gov/Archives/edgar/data/1439725/000119312520275630/d937421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2022-06-06T15:49:08Z</dcterms:created>
  <dcterms:modified xsi:type="dcterms:W3CDTF">2022-06-06T15:49:08Z</dcterms:modified>
</cp:coreProperties>
</file>