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80" w:right="1620" w:hanging="3859"/>
        <w:spacing w:after="0" w:line="313" w:lineRule="auto"/>
        <w:tabs>
          <w:tab w:leader="none" w:pos="47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jc w:val="center"/>
        <w:spacing w:after="0"/>
        <w:rPr>
          <w:sz w:val="20"/>
          <w:szCs w:val="20"/>
          <w:color w:val="auto"/>
        </w:rPr>
      </w:pPr>
      <w:r>
        <w:rPr>
          <w:rFonts w:ascii="Arial" w:cs="Arial" w:eastAsia="Arial" w:hAnsi="Arial"/>
          <w:sz w:val="18"/>
          <w:szCs w:val="18"/>
          <w:b w:val="1"/>
          <w:bCs w:val="1"/>
          <w:color w:val="auto"/>
        </w:rPr>
        <w:t>OR</w:t>
      </w:r>
    </w:p>
    <w:p>
      <w:pPr>
        <w:ind w:left="480" w:hanging="459"/>
        <w:spacing w:after="0" w:line="209"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77" w:lineRule="exact"/>
        <w:rPr>
          <w:sz w:val="24"/>
          <w:szCs w:val="24"/>
          <w:color w:val="auto"/>
        </w:rPr>
      </w:pPr>
    </w:p>
    <w:p>
      <w:pPr>
        <w:ind w:left="41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p>
      <w:pPr>
        <w:spacing w:after="0" w:line="200" w:lineRule="exact"/>
        <w:rPr>
          <w:sz w:val="24"/>
          <w:szCs w:val="24"/>
          <w:color w:val="auto"/>
        </w:rPr>
      </w:pPr>
    </w:p>
    <w:p>
      <w:pPr>
        <w:spacing w:after="0" w:line="205" w:lineRule="exact"/>
        <w:rPr>
          <w:sz w:val="24"/>
          <w:szCs w:val="24"/>
          <w:color w:val="auto"/>
        </w:rPr>
      </w:pPr>
    </w:p>
    <w:p>
      <w:pPr>
        <w:jc w:val="center"/>
        <w:ind w:left="3560"/>
        <w:spacing w:after="0"/>
        <w:rPr>
          <w:sz w:val="20"/>
          <w:szCs w:val="20"/>
          <w:color w:val="auto"/>
        </w:rPr>
      </w:pPr>
      <w:r>
        <w:rPr>
          <w:rFonts w:ascii="Arial" w:cs="Arial" w:eastAsia="Arial" w:hAnsi="Arial"/>
          <w:sz w:val="32"/>
          <w:szCs w:val="32"/>
          <w:b w:val="1"/>
          <w:bCs w:val="1"/>
          <w:color w:val="auto"/>
        </w:rPr>
        <w:t>B</w:t>
      </w:r>
      <w:r>
        <w:rPr>
          <w:rFonts w:ascii="Arial" w:cs="Arial" w:eastAsia="Arial" w:hAnsi="Arial"/>
          <w:sz w:val="25"/>
          <w:szCs w:val="25"/>
          <w:b w:val="1"/>
          <w:bCs w:val="1"/>
          <w:color w:val="auto"/>
        </w:rPr>
        <w:t>IODESIX</w:t>
      </w:r>
      <w:r>
        <w:rPr>
          <w:rFonts w:ascii="Arial" w:cs="Arial" w:eastAsia="Arial" w:hAnsi="Arial"/>
          <w:sz w:val="32"/>
          <w:szCs w:val="32"/>
          <w:b w:val="1"/>
          <w:bCs w:val="1"/>
          <w:color w:val="auto"/>
        </w:rPr>
        <w:t>, I</w:t>
      </w:r>
      <w:r>
        <w:rPr>
          <w:rFonts w:ascii="Arial" w:cs="Arial" w:eastAsia="Arial" w:hAnsi="Arial"/>
          <w:sz w:val="25"/>
          <w:szCs w:val="25"/>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8"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20-3986492</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65" w:lineRule="exact"/>
        <w:rPr>
          <w:sz w:val="24"/>
          <w:szCs w:val="24"/>
          <w:color w:val="auto"/>
        </w:rPr>
      </w:pPr>
    </w:p>
    <w:p>
      <w:pPr>
        <w:sectPr>
          <w:pgSz w:w="11900" w:h="16838" w:orient="portrait"/>
          <w:cols w:equalWidth="0" w:num="2">
            <w:col w:w="7700" w:space="240"/>
            <w:col w:w="3300"/>
          </w:cols>
          <w:pgMar w:left="320" w:top="665" w:right="339" w:bottom="1440" w:gutter="0" w:footer="0" w:header="0"/>
          <w:type w:val="continuous"/>
        </w:sectPr>
      </w:pPr>
    </w:p>
    <w:tbl>
      <w:tblPr>
        <w:tblLayout w:type="fixed"/>
        <w:tblInd w:w="1780" w:type="dxa"/>
        <w:tblCellMar>
          <w:top w:w="0" w:type="dxa"/>
          <w:left w:w="0" w:type="dxa"/>
          <w:bottom w:w="0" w:type="dxa"/>
          <w:right w:w="0" w:type="dxa"/>
        </w:tblCellMar>
      </w:tblPr>
      <w:tr>
        <w:trPr>
          <w:trHeight w:val="161"/>
        </w:trPr>
        <w:tc>
          <w:tcPr>
            <w:tcW w:w="4220" w:type="dxa"/>
            <w:vAlign w:val="bottom"/>
          </w:tcPr>
          <w:p>
            <w:pPr>
              <w:jc w:val="center"/>
              <w:ind w:right="2071"/>
              <w:spacing w:after="0"/>
              <w:rPr>
                <w:sz w:val="20"/>
                <w:szCs w:val="20"/>
                <w:color w:val="auto"/>
              </w:rPr>
            </w:pPr>
            <w:r>
              <w:rPr>
                <w:rFonts w:ascii="Arial" w:cs="Arial" w:eastAsia="Arial" w:hAnsi="Arial"/>
                <w:sz w:val="14"/>
                <w:szCs w:val="14"/>
                <w:b w:val="1"/>
                <w:bCs w:val="1"/>
                <w:color w:val="auto"/>
                <w:w w:val="91"/>
              </w:rPr>
              <w:t>2970 Wilderness Place, Suite 100</w:t>
            </w:r>
          </w:p>
        </w:tc>
        <w:tc>
          <w:tcPr>
            <w:tcW w:w="2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80301</w:t>
            </w:r>
          </w:p>
        </w:tc>
        <w:tc>
          <w:tcPr>
            <w:tcW w:w="0" w:type="dxa"/>
            <w:vAlign w:val="bottom"/>
          </w:tcPr>
          <w:p>
            <w:pPr>
              <w:spacing w:after="0"/>
              <w:rPr>
                <w:sz w:val="1"/>
                <w:szCs w:val="1"/>
                <w:color w:val="auto"/>
              </w:rPr>
            </w:pPr>
          </w:p>
        </w:tc>
      </w:tr>
      <w:tr>
        <w:trPr>
          <w:trHeight w:val="166"/>
        </w:trPr>
        <w:tc>
          <w:tcPr>
            <w:tcW w:w="4220" w:type="dxa"/>
            <w:vAlign w:val="bottom"/>
          </w:tcPr>
          <w:p>
            <w:pPr>
              <w:jc w:val="center"/>
              <w:ind w:right="2091"/>
              <w:spacing w:after="0"/>
              <w:rPr>
                <w:sz w:val="20"/>
                <w:szCs w:val="20"/>
                <w:color w:val="auto"/>
              </w:rPr>
            </w:pPr>
            <w:r>
              <w:rPr>
                <w:rFonts w:ascii="Arial" w:cs="Arial" w:eastAsia="Arial" w:hAnsi="Arial"/>
                <w:sz w:val="14"/>
                <w:szCs w:val="14"/>
                <w:b w:val="1"/>
                <w:bCs w:val="1"/>
                <w:color w:val="auto"/>
                <w:w w:val="93"/>
              </w:rPr>
              <w:t>Boulder, Colorado 80301</w:t>
            </w: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20" w:type="dxa"/>
            <w:vAlign w:val="bottom"/>
          </w:tcPr>
          <w:p>
            <w:pPr>
              <w:jc w:val="center"/>
              <w:ind w:right="207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20" w:type="dxa"/>
            <w:vAlign w:val="bottom"/>
          </w:tcPr>
          <w:p>
            <w:pPr>
              <w:jc w:val="center"/>
              <w:ind w:left="206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6"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3900" w:type="dxa"/>
            <w:vAlign w:val="bottom"/>
            <w:vMerge w:val="restart"/>
          </w:tcPr>
          <w:p>
            <w:pPr>
              <w:jc w:val="center"/>
              <w:ind w:right="699"/>
              <w:spacing w:after="0"/>
              <w:rPr>
                <w:sz w:val="20"/>
                <w:szCs w:val="20"/>
                <w:color w:val="auto"/>
              </w:rPr>
            </w:pPr>
            <w:r>
              <w:rPr>
                <w:rFonts w:ascii="Arial" w:cs="Arial" w:eastAsia="Arial" w:hAnsi="Arial"/>
                <w:sz w:val="14"/>
                <w:szCs w:val="14"/>
                <w:b w:val="1"/>
                <w:bCs w:val="1"/>
                <w:color w:val="auto"/>
                <w:w w:val="89"/>
              </w:rPr>
              <w:t>Title of each class</w:t>
            </w:r>
          </w:p>
        </w:tc>
        <w:tc>
          <w:tcPr>
            <w:tcW w:w="230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vMerge w:val="restart"/>
          </w:tcPr>
          <w:p>
            <w:pPr>
              <w:jc w:val="center"/>
              <w:ind w:left="799"/>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4"/>
        </w:trPr>
        <w:tc>
          <w:tcPr>
            <w:tcW w:w="3900" w:type="dxa"/>
            <w:vAlign w:val="bottom"/>
            <w:vMerge w:val="continue"/>
          </w:tcPr>
          <w:p>
            <w:pPr>
              <w:spacing w:after="0"/>
              <w:rPr>
                <w:sz w:val="15"/>
                <w:szCs w:val="15"/>
                <w:color w:val="auto"/>
              </w:rPr>
            </w:pPr>
          </w:p>
        </w:tc>
        <w:tc>
          <w:tcPr>
            <w:tcW w:w="230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Pr>
          <w:p>
            <w:pPr>
              <w:jc w:val="center"/>
              <w:ind w:right="699"/>
              <w:spacing w:after="0"/>
              <w:rPr>
                <w:sz w:val="20"/>
                <w:szCs w:val="20"/>
                <w:color w:val="auto"/>
              </w:rPr>
            </w:pPr>
            <w:r>
              <w:rPr>
                <w:rFonts w:ascii="Arial" w:cs="Arial" w:eastAsia="Arial" w:hAnsi="Arial"/>
                <w:sz w:val="18"/>
                <w:szCs w:val="18"/>
                <w:color w:val="auto"/>
                <w:w w:val="89"/>
              </w:rPr>
              <w:t>Common Stock, par value $0.001 per share</w:t>
            </w:r>
          </w:p>
        </w:tc>
        <w:tc>
          <w:tcPr>
            <w:tcW w:w="2300" w:type="dxa"/>
            <w:vAlign w:val="bottom"/>
          </w:tcPr>
          <w:p>
            <w:pPr>
              <w:jc w:val="center"/>
              <w:ind w:right="22"/>
              <w:spacing w:after="0"/>
              <w:rPr>
                <w:sz w:val="20"/>
                <w:szCs w:val="20"/>
                <w:color w:val="auto"/>
              </w:rPr>
            </w:pPr>
            <w:r>
              <w:rPr>
                <w:rFonts w:ascii="Arial" w:cs="Arial" w:eastAsia="Arial" w:hAnsi="Arial"/>
                <w:sz w:val="18"/>
                <w:szCs w:val="18"/>
                <w:color w:val="auto"/>
                <w:w w:val="97"/>
              </w:rPr>
              <w:t>BDSX</w:t>
            </w:r>
          </w:p>
        </w:tc>
        <w:tc>
          <w:tcPr>
            <w:tcW w:w="3540" w:type="dxa"/>
            <w:vAlign w:val="bottom"/>
          </w:tcPr>
          <w:p>
            <w:pPr>
              <w:jc w:val="center"/>
              <w:ind w:left="819"/>
              <w:spacing w:after="0"/>
              <w:rPr>
                <w:sz w:val="20"/>
                <w:szCs w:val="20"/>
                <w:color w:val="auto"/>
              </w:rPr>
            </w:pPr>
            <w:r>
              <w:rPr>
                <w:rFonts w:ascii="Arial" w:cs="Arial" w:eastAsia="Arial" w:hAnsi="Arial"/>
                <w:sz w:val="18"/>
                <w:szCs w:val="18"/>
                <w:color w:val="auto"/>
                <w:w w:val="91"/>
              </w:rPr>
              <w:t>The Nasdaq Global Market</w:t>
            </w:r>
          </w:p>
        </w:tc>
        <w:tc>
          <w:tcPr>
            <w:tcW w:w="0" w:type="dxa"/>
            <w:vAlign w:val="bottom"/>
          </w:tcPr>
          <w:p>
            <w:pPr>
              <w:spacing w:after="0"/>
              <w:rPr>
                <w:sz w:val="1"/>
                <w:szCs w:val="1"/>
                <w:color w:val="auto"/>
              </w:rPr>
            </w:pPr>
          </w:p>
        </w:tc>
      </w:tr>
    </w:tbl>
    <w:p>
      <w:pPr>
        <w:spacing w:after="0" w:line="260" w:lineRule="exact"/>
        <w:rPr>
          <w:sz w:val="24"/>
          <w:szCs w:val="24"/>
          <w:color w:val="auto"/>
        </w:rPr>
      </w:pPr>
    </w:p>
    <w:p>
      <w:pPr>
        <w:jc w:val="both"/>
        <w:ind w:firstLine="50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firstLine="509"/>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jc w:val="both"/>
        <w:ind w:firstLine="50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5"/>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6"/>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62" w:lineRule="exact"/>
        <w:rPr>
          <w:sz w:val="24"/>
          <w:szCs w:val="24"/>
          <w:color w:val="auto"/>
        </w:rPr>
      </w:pPr>
    </w:p>
    <w:p>
      <w:pPr>
        <w:ind w:firstLine="50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spacing w:after="0" w:line="184" w:lineRule="exact"/>
        <w:tabs>
          <w:tab w:leader="none" w:pos="8060" w:val="left"/>
          <w:tab w:leader="none" w:pos="86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20" w:firstLine="509"/>
        <w:spacing w:after="0" w:line="200"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August 1, 2022, the registrant had 39,982,048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20"/>
            <w:vMerge w:val="restart"/>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00" w:type="dxa"/>
            <w:vAlign w:val="bottom"/>
            <w:vMerge w:val="continue"/>
          </w:tcPr>
          <w:p>
            <w:pPr>
              <w:spacing w:after="0"/>
              <w:rPr>
                <w:sz w:val="13"/>
                <w:szCs w:val="13"/>
                <w:color w:val="auto"/>
              </w:rPr>
            </w:pPr>
          </w:p>
        </w:tc>
        <w:tc>
          <w:tcPr>
            <w:tcW w:w="9440" w:type="dxa"/>
            <w:vAlign w:val="bottom"/>
            <w:gridSpan w:val="20"/>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1000" w:type="dxa"/>
            <w:vAlign w:val="bottom"/>
          </w:tcPr>
          <w:p>
            <w:pPr>
              <w:spacing w:after="0" w:line="169"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83"/>
              </w:rPr>
            </w:pPr>
            <w:hyperlink w:anchor="page5">
              <w:r>
                <w:rPr>
                  <w:rFonts w:ascii="Arial" w:cs="Arial" w:eastAsia="Arial" w:hAnsi="Arial"/>
                  <w:sz w:val="18"/>
                  <w:szCs w:val="18"/>
                  <w:color w:val="0000FF"/>
                  <w:w w:val="83"/>
                </w:rPr>
                <w:t>Financial Statements (Unaudited)</w:t>
              </w:r>
            </w:hyperlink>
          </w:p>
        </w:tc>
        <w:tc>
          <w:tcPr>
            <w:tcW w:w="6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440" w:type="dxa"/>
            <w:vAlign w:val="bottom"/>
            <w:gridSpan w:val="11"/>
          </w:tcPr>
          <w:p>
            <w:pPr>
              <w:spacing w:after="0" w:line="169"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Balance Sheets as of</w:t>
              </w:r>
            </w:hyperlink>
          </w:p>
        </w:tc>
        <w:tc>
          <w:tcPr>
            <w:tcW w:w="7000" w:type="dxa"/>
            <w:vAlign w:val="bottom"/>
            <w:gridSpan w:val="9"/>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June 30, 2022 and December 31, 2021</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9440" w:type="dxa"/>
            <w:vAlign w:val="bottom"/>
            <w:gridSpan w:val="20"/>
          </w:tcPr>
          <w:p>
            <w:pPr>
              <w:spacing w:after="0" w:line="169" w:lineRule="exact"/>
              <w:rPr>
                <w:rFonts w:ascii="Arial" w:cs="Arial" w:eastAsia="Arial" w:hAnsi="Arial"/>
                <w:sz w:val="18"/>
                <w:szCs w:val="18"/>
                <w:color w:val="0000FF"/>
              </w:rPr>
            </w:pPr>
            <w:hyperlink w:anchor="page6">
              <w:r>
                <w:rPr>
                  <w:rFonts w:ascii="Arial" w:cs="Arial" w:eastAsia="Arial" w:hAnsi="Arial"/>
                  <w:sz w:val="18"/>
                  <w:szCs w:val="18"/>
                  <w:color w:val="0000FF"/>
                </w:rPr>
                <w:t>Condensed Statements of Operations for the Three and Six Months Ended June 30, 2022 and 2021</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7600" w:type="dxa"/>
            <w:vAlign w:val="bottom"/>
            <w:gridSpan w:val="19"/>
          </w:tcPr>
          <w:p>
            <w:pPr>
              <w:spacing w:after="0" w:line="169"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Statements Stockholders' Equity for the Three and Six Months Ended June 30, 2022 and 2021</w:t>
              </w:r>
            </w:hyperlink>
          </w:p>
        </w:tc>
        <w:tc>
          <w:tcPr>
            <w:tcW w:w="1840" w:type="dxa"/>
            <w:vAlign w:val="bottom"/>
            <w:vMerge w:val="restart"/>
          </w:tcPr>
          <w:p>
            <w:pPr>
              <w:spacing w:after="0"/>
              <w:rPr>
                <w:sz w:val="15"/>
                <w:szCs w:val="15"/>
                <w:color w:val="auto"/>
              </w:rPr>
            </w:pPr>
          </w:p>
        </w:tc>
        <w:tc>
          <w:tcPr>
            <w:tcW w:w="78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84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FF"/>
              </w:rPr>
            </w:pPr>
            <w:hyperlink w:anchor="page8">
              <w:r>
                <w:rPr>
                  <w:rFonts w:ascii="Arial" w:cs="Arial" w:eastAsia="Arial" w:hAnsi="Arial"/>
                  <w:sz w:val="18"/>
                  <w:szCs w:val="18"/>
                  <w:color w:val="0000FF"/>
                </w:rPr>
                <w:t>Condensed Statements of Cash Flows for the Six Months Ended June 30, 2022 and 2021</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980" w:type="dxa"/>
            <w:vAlign w:val="bottom"/>
            <w:gridSpan w:val="3"/>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6380" w:type="dxa"/>
            <w:vAlign w:val="bottom"/>
            <w:gridSpan w:val="16"/>
          </w:tcPr>
          <w:p>
            <w:pPr>
              <w:spacing w:after="0" w:line="169" w:lineRule="exact"/>
              <w:rPr>
                <w:rFonts w:ascii="Arial" w:cs="Arial" w:eastAsia="Arial" w:hAnsi="Arial"/>
                <w:sz w:val="18"/>
                <w:szCs w:val="18"/>
                <w:color w:val="0000FF"/>
              </w:rPr>
            </w:pPr>
            <w:hyperlink w:anchor="page10">
              <w:r>
                <w:rPr>
                  <w:rFonts w:ascii="Arial" w:cs="Arial" w:eastAsia="Arial" w:hAnsi="Arial"/>
                  <w:sz w:val="18"/>
                  <w:szCs w:val="18"/>
                  <w:color w:val="0000FF"/>
                </w:rPr>
                <w:t>Notes to Condensed Financial Statements</w:t>
              </w:r>
            </w:hyperlink>
          </w:p>
        </w:tc>
        <w:tc>
          <w:tcPr>
            <w:tcW w:w="80" w:type="dxa"/>
            <w:vAlign w:val="bottom"/>
            <w:vMerge w:val="continue"/>
          </w:tcPr>
          <w:p>
            <w:pPr>
              <w:spacing w:after="0"/>
              <w:rPr>
                <w:sz w:val="14"/>
                <w:szCs w:val="14"/>
                <w:color w:val="auto"/>
              </w:rPr>
            </w:pPr>
          </w:p>
        </w:tc>
        <w:tc>
          <w:tcPr>
            <w:tcW w:w="298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89"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gridSpan w:val="3"/>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9440" w:type="dxa"/>
            <w:vAlign w:val="bottom"/>
            <w:gridSpan w:val="20"/>
          </w:tcPr>
          <w:p>
            <w:pPr>
              <w:spacing w:after="0" w:line="169" w:lineRule="exact"/>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96"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980" w:type="dxa"/>
            <w:vAlign w:val="bottom"/>
            <w:gridSpan w:val="3"/>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vMerge w:val="continue"/>
          </w:tcPr>
          <w:p>
            <w:pPr>
              <w:spacing w:after="0"/>
              <w:rPr>
                <w:sz w:val="15"/>
                <w:szCs w:val="15"/>
                <w:color w:val="auto"/>
              </w:rPr>
            </w:pPr>
          </w:p>
        </w:tc>
        <w:tc>
          <w:tcPr>
            <w:tcW w:w="4360" w:type="dxa"/>
            <w:vAlign w:val="bottom"/>
            <w:gridSpan w:val="14"/>
          </w:tcPr>
          <w:p>
            <w:pPr>
              <w:spacing w:after="0" w:line="169" w:lineRule="exact"/>
              <w:rPr>
                <w:rFonts w:ascii="Arial" w:cs="Arial" w:eastAsia="Arial" w:hAnsi="Arial"/>
                <w:sz w:val="18"/>
                <w:szCs w:val="18"/>
                <w:color w:val="0000FF"/>
                <w:w w:val="92"/>
              </w:rPr>
            </w:pPr>
            <w:hyperlink w:anchor="page41">
              <w:r>
                <w:rPr>
                  <w:rFonts w:ascii="Arial" w:cs="Arial" w:eastAsia="Arial" w:hAnsi="Arial"/>
                  <w:sz w:val="18"/>
                  <w:szCs w:val="18"/>
                  <w:color w:val="0000FF"/>
                  <w:w w:val="92"/>
                </w:rPr>
                <w:t>Quantitative and Qualitative Disclosures About Market Risk</w:t>
              </w:r>
            </w:hyperlink>
          </w:p>
        </w:tc>
        <w:tc>
          <w:tcPr>
            <w:tcW w:w="2100" w:type="dxa"/>
            <w:vAlign w:val="bottom"/>
            <w:gridSpan w:val="3"/>
            <w:vMerge w:val="restart"/>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78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000" w:type="dxa"/>
            <w:vAlign w:val="bottom"/>
            <w:vMerge w:val="continue"/>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440" w:type="dxa"/>
            <w:vAlign w:val="bottom"/>
            <w:gridSpan w:val="20"/>
          </w:tcPr>
          <w:p>
            <w:pPr>
              <w:spacing w:after="0" w:line="196" w:lineRule="exact"/>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vMerge w:val="continue"/>
          </w:tcPr>
          <w:p>
            <w:pPr>
              <w:spacing w:after="0"/>
              <w:rPr>
                <w:sz w:val="24"/>
                <w:szCs w:val="24"/>
                <w:color w:val="auto"/>
              </w:rPr>
            </w:pPr>
          </w:p>
        </w:tc>
        <w:tc>
          <w:tcPr>
            <w:tcW w:w="9440" w:type="dxa"/>
            <w:vAlign w:val="bottom"/>
            <w:gridSpan w:val="20"/>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89" w:lineRule="exact"/>
              <w:rPr>
                <w:sz w:val="20"/>
                <w:szCs w:val="20"/>
                <w:color w:val="auto"/>
              </w:rPr>
            </w:pPr>
            <w:r>
              <w:rPr>
                <w:rFonts w:ascii="Arial" w:cs="Arial" w:eastAsia="Arial" w:hAnsi="Arial"/>
                <w:sz w:val="18"/>
                <w:szCs w:val="18"/>
                <w:color w:val="auto"/>
              </w:rPr>
              <w:t>Item 1.</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5100" w:type="dxa"/>
            <w:vAlign w:val="bottom"/>
            <w:gridSpan w:val="7"/>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1880" w:type="dxa"/>
            <w:vAlign w:val="bottom"/>
            <w:gridSpan w:val="7"/>
          </w:tcPr>
          <w:p>
            <w:pPr>
              <w:spacing w:after="0" w:line="169" w:lineRule="exact"/>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440" w:type="dxa"/>
            <w:vAlign w:val="bottom"/>
            <w:gridSpan w:val="2"/>
            <w:vMerge w:val="continue"/>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5100" w:type="dxa"/>
            <w:vAlign w:val="bottom"/>
            <w:gridSpan w:val="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89" w:lineRule="exact"/>
              <w:rPr>
                <w:sz w:val="20"/>
                <w:szCs w:val="20"/>
                <w:color w:val="auto"/>
              </w:rPr>
            </w:pPr>
            <w:r>
              <w:rPr>
                <w:rFonts w:ascii="Arial" w:cs="Arial" w:eastAsia="Arial" w:hAnsi="Arial"/>
                <w:sz w:val="18"/>
                <w:szCs w:val="18"/>
                <w:color w:val="auto"/>
              </w:rPr>
              <w:t>Item 1A.</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4"/>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5100" w:type="dxa"/>
            <w:vAlign w:val="bottom"/>
            <w:gridSpan w:val="7"/>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1340" w:type="dxa"/>
            <w:vAlign w:val="bottom"/>
            <w:gridSpan w:val="5"/>
          </w:tcPr>
          <w:p>
            <w:pPr>
              <w:spacing w:after="0" w:line="169" w:lineRule="exact"/>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980" w:type="dxa"/>
            <w:vAlign w:val="bottom"/>
            <w:gridSpan w:val="4"/>
            <w:vMerge w:val="continue"/>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5100" w:type="dxa"/>
            <w:vAlign w:val="bottom"/>
            <w:gridSpan w:val="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89"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520" w:type="dxa"/>
            <w:vAlign w:val="bottom"/>
            <w:gridSpan w:val="17"/>
            <w:vMerge w:val="restart"/>
          </w:tcPr>
          <w:p>
            <w:pPr>
              <w:ind w:left="60"/>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Sales of Equity Securities and Use of Proceeds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920" w:type="dxa"/>
            <w:vAlign w:val="bottom"/>
            <w:gridSpan w:val="3"/>
          </w:tcPr>
          <w:p>
            <w:pPr>
              <w:spacing w:after="0" w:line="169" w:lineRule="exact"/>
              <w:rPr>
                <w:rFonts w:ascii="Arial" w:cs="Arial" w:eastAsia="Arial" w:hAnsi="Arial"/>
                <w:sz w:val="18"/>
                <w:szCs w:val="18"/>
                <w:color w:val="0000FF"/>
                <w:w w:val="85"/>
              </w:rPr>
            </w:pPr>
            <w:hyperlink w:anchor="page42">
              <w:r>
                <w:rPr>
                  <w:rFonts w:ascii="Arial" w:cs="Arial" w:eastAsia="Arial" w:hAnsi="Arial"/>
                  <w:sz w:val="18"/>
                  <w:szCs w:val="18"/>
                  <w:color w:val="0000FF"/>
                  <w:w w:val="85"/>
                </w:rPr>
                <w:t>Unregistered</w:t>
              </w:r>
            </w:hyperlink>
          </w:p>
        </w:tc>
        <w:tc>
          <w:tcPr>
            <w:tcW w:w="8520" w:type="dxa"/>
            <w:vAlign w:val="bottom"/>
            <w:gridSpan w:val="1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89"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100" w:type="dxa"/>
            <w:vAlign w:val="bottom"/>
            <w:gridSpan w:val="7"/>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4340" w:type="dxa"/>
            <w:vAlign w:val="bottom"/>
            <w:gridSpan w:val="13"/>
          </w:tcPr>
          <w:p>
            <w:pPr>
              <w:spacing w:after="0" w:line="169" w:lineRule="exact"/>
              <w:rPr>
                <w:rFonts w:ascii="Arial" w:cs="Arial" w:eastAsia="Arial" w:hAnsi="Arial"/>
                <w:sz w:val="18"/>
                <w:szCs w:val="18"/>
                <w:color w:val="0000FF"/>
              </w:rPr>
            </w:pPr>
            <w:hyperlink w:anchor="page43">
              <w:r>
                <w:rPr>
                  <w:rFonts w:ascii="Arial" w:cs="Arial" w:eastAsia="Arial" w:hAnsi="Arial"/>
                  <w:sz w:val="18"/>
                  <w:szCs w:val="18"/>
                  <w:color w:val="0000FF"/>
                </w:rPr>
                <w:t>Defaults Upon Senior Securities</w:t>
              </w:r>
            </w:hyperlink>
          </w:p>
        </w:tc>
        <w:tc>
          <w:tcPr>
            <w:tcW w:w="5100" w:type="dxa"/>
            <w:vAlign w:val="bottom"/>
            <w:gridSpan w:val="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89"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7120" w:type="dxa"/>
            <w:vAlign w:val="bottom"/>
            <w:gridSpan w:val="11"/>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2320" w:type="dxa"/>
            <w:vAlign w:val="bottom"/>
            <w:gridSpan w:val="9"/>
          </w:tcPr>
          <w:p>
            <w:pPr>
              <w:spacing w:after="0" w:line="169" w:lineRule="exact"/>
              <w:rPr>
                <w:rFonts w:ascii="Arial" w:cs="Arial" w:eastAsia="Arial" w:hAnsi="Arial"/>
                <w:sz w:val="18"/>
                <w:szCs w:val="18"/>
                <w:color w:val="0000FF"/>
              </w:rPr>
            </w:pPr>
            <w:hyperlink w:anchor="page43">
              <w:r>
                <w:rPr>
                  <w:rFonts w:ascii="Arial" w:cs="Arial" w:eastAsia="Arial" w:hAnsi="Arial"/>
                  <w:sz w:val="18"/>
                  <w:szCs w:val="18"/>
                  <w:color w:val="0000FF"/>
                </w:rPr>
                <w:t>Mine Safety Disclosures</w:t>
              </w:r>
            </w:hyperlink>
          </w:p>
        </w:tc>
        <w:tc>
          <w:tcPr>
            <w:tcW w:w="7120" w:type="dxa"/>
            <w:vAlign w:val="bottom"/>
            <w:gridSpan w:val="11"/>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89" w:lineRule="exact"/>
              <w:rPr>
                <w:sz w:val="20"/>
                <w:szCs w:val="20"/>
                <w:color w:val="auto"/>
              </w:rPr>
            </w:pPr>
            <w:r>
              <w:rPr>
                <w:rFonts w:ascii="Arial" w:cs="Arial" w:eastAsia="Arial" w:hAnsi="Arial"/>
                <w:sz w:val="18"/>
                <w:szCs w:val="18"/>
                <w:color w:val="auto"/>
              </w:rPr>
              <w:t>Item 5.</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80" w:type="dxa"/>
            <w:vAlign w:val="bottom"/>
            <w:gridSpan w:val="14"/>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1760" w:type="dxa"/>
            <w:vAlign w:val="bottom"/>
            <w:gridSpan w:val="6"/>
          </w:tcPr>
          <w:p>
            <w:pPr>
              <w:spacing w:after="0" w:line="169" w:lineRule="exact"/>
              <w:rPr>
                <w:rFonts w:ascii="Arial" w:cs="Arial" w:eastAsia="Arial" w:hAnsi="Arial"/>
                <w:sz w:val="18"/>
                <w:szCs w:val="18"/>
                <w:color w:val="0000FF"/>
              </w:rPr>
            </w:pPr>
            <w:hyperlink w:anchor="page43">
              <w:r>
                <w:rPr>
                  <w:rFonts w:ascii="Arial" w:cs="Arial" w:eastAsia="Arial" w:hAnsi="Arial"/>
                  <w:sz w:val="18"/>
                  <w:szCs w:val="18"/>
                  <w:color w:val="0000FF"/>
                </w:rPr>
                <w:t>Other Information</w:t>
              </w:r>
            </w:hyperlink>
          </w:p>
        </w:tc>
        <w:tc>
          <w:tcPr>
            <w:tcW w:w="7680" w:type="dxa"/>
            <w:vAlign w:val="bottom"/>
            <w:gridSpan w:val="14"/>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89" w:lineRule="exact"/>
              <w:rPr>
                <w:sz w:val="20"/>
                <w:szCs w:val="20"/>
                <w:color w:val="auto"/>
              </w:rPr>
            </w:pPr>
            <w:r>
              <w:rPr>
                <w:rFonts w:ascii="Arial" w:cs="Arial" w:eastAsia="Arial" w:hAnsi="Arial"/>
                <w:sz w:val="18"/>
                <w:szCs w:val="18"/>
                <w:color w:val="auto"/>
              </w:rPr>
              <w:t>Item 6.</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120" w:type="dxa"/>
            <w:vAlign w:val="bottom"/>
            <w:gridSpan w:val="16"/>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1320" w:type="dxa"/>
            <w:vAlign w:val="bottom"/>
            <w:gridSpan w:val="4"/>
          </w:tcPr>
          <w:p>
            <w:pPr>
              <w:spacing w:after="0" w:line="169" w:lineRule="exact"/>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8120" w:type="dxa"/>
            <w:vAlign w:val="bottom"/>
            <w:gridSpan w:val="1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720" w:type="dxa"/>
            <w:vAlign w:val="bottom"/>
            <w:gridSpan w:val="18"/>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620" w:type="dxa"/>
            <w:vAlign w:val="bottom"/>
          </w:tcPr>
          <w:p>
            <w:pPr>
              <w:spacing w:after="0" w:line="169" w:lineRule="exact"/>
              <w:rPr>
                <w:rFonts w:ascii="Arial" w:cs="Arial" w:eastAsia="Arial" w:hAnsi="Arial"/>
                <w:sz w:val="18"/>
                <w:szCs w:val="18"/>
                <w:color w:val="0000FF"/>
                <w:w w:val="75"/>
              </w:rPr>
            </w:pPr>
            <w:hyperlink w:anchor="page45">
              <w:r>
                <w:rPr>
                  <w:rFonts w:ascii="Arial" w:cs="Arial" w:eastAsia="Arial" w:hAnsi="Arial"/>
                  <w:sz w:val="18"/>
                  <w:szCs w:val="18"/>
                  <w:color w:val="0000FF"/>
                  <w:w w:val="75"/>
                </w:rPr>
                <w:t>Signature</w:t>
              </w:r>
            </w:hyperlink>
          </w:p>
        </w:tc>
        <w:tc>
          <w:tcPr>
            <w:tcW w:w="100" w:type="dxa"/>
            <w:vAlign w:val="bottom"/>
            <w:vMerge w:val="continue"/>
          </w:tcPr>
          <w:p>
            <w:pPr>
              <w:spacing w:after="0"/>
              <w:rPr>
                <w:sz w:val="14"/>
                <w:szCs w:val="14"/>
                <w:color w:val="auto"/>
              </w:rPr>
            </w:pPr>
          </w:p>
        </w:tc>
        <w:tc>
          <w:tcPr>
            <w:tcW w:w="8720" w:type="dxa"/>
            <w:vAlign w:val="bottom"/>
            <w:gridSpan w:val="18"/>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2021, which was filed on March 14, 2022.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2021, regarding, among other things:</w:t>
      </w:r>
    </w:p>
    <w:p>
      <w:pPr>
        <w:spacing w:after="0" w:line="64" w:lineRule="exact"/>
        <w:rPr>
          <w:sz w:val="20"/>
          <w:szCs w:val="20"/>
          <w:color w:val="auto"/>
        </w:rPr>
      </w:pPr>
    </w:p>
    <w:p>
      <w:pPr>
        <w:jc w:val="both"/>
        <w:ind w:left="900" w:hanging="383"/>
        <w:spacing w:after="0" w:line="24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continuing spread of COVID-19 (including notable and severe mutations of the virus) may have a material adverse effect on our operations, our ability to generate revenues and income, and our ability to maintain compliance with our debt covenants and, under certain circumstances, remain a going concern;</w:t>
      </w:r>
    </w:p>
    <w:p>
      <w:pPr>
        <w:spacing w:after="0" w:line="79"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2"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03"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fluctuation in our operating results, causing our operating results to fall below expectations or any guidance we provide;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Biodesix WorkSafe™ testing program and our ability to meet such demand;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incurrence of substantial liabilities and limiting or halting the marketing and sale of our diagnostic tests due to product liability lawsuits;</w:t>
      </w:r>
    </w:p>
    <w:p>
      <w:pPr>
        <w:spacing w:after="0" w:line="115"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360" w:type="dxa"/>
            <w:vAlign w:val="bottom"/>
          </w:tcPr>
          <w:p>
            <w:pPr>
              <w:jc w:val="center"/>
              <w:ind w:left="379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36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60" w:type="dxa"/>
            <w:vAlign w:val="bottom"/>
          </w:tcPr>
          <w:p>
            <w:pPr>
              <w:jc w:val="center"/>
              <w:ind w:left="3810"/>
              <w:spacing w:after="0"/>
              <w:rPr>
                <w:sz w:val="20"/>
                <w:szCs w:val="20"/>
                <w:color w:val="auto"/>
              </w:rPr>
            </w:pPr>
            <w:r>
              <w:rPr>
                <w:rFonts w:ascii="Arial" w:cs="Arial" w:eastAsia="Arial" w:hAnsi="Arial"/>
                <w:sz w:val="18"/>
                <w:szCs w:val="18"/>
                <w:b w:val="1"/>
                <w:bCs w:val="1"/>
                <w:color w:val="auto"/>
              </w:rPr>
              <w:t>BIODESIX, INC.</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360" w:type="dxa"/>
            <w:vAlign w:val="bottom"/>
          </w:tcPr>
          <w:p>
            <w:pPr>
              <w:jc w:val="center"/>
              <w:ind w:left="3790"/>
              <w:spacing w:after="0"/>
              <w:rPr>
                <w:sz w:val="20"/>
                <w:szCs w:val="20"/>
                <w:color w:val="auto"/>
              </w:rPr>
            </w:pPr>
            <w:r>
              <w:rPr>
                <w:rFonts w:ascii="Arial" w:cs="Arial" w:eastAsia="Arial" w:hAnsi="Arial"/>
                <w:sz w:val="18"/>
                <w:szCs w:val="18"/>
                <w:b w:val="1"/>
                <w:bCs w:val="1"/>
                <w:color w:val="auto"/>
                <w:w w:val="86"/>
              </w:rPr>
              <w:t>Condensed Balance Sheets</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60" w:type="dxa"/>
            <w:vAlign w:val="bottom"/>
          </w:tcPr>
          <w:p>
            <w:pPr>
              <w:jc w:val="center"/>
              <w:ind w:left="3790"/>
              <w:spacing w:after="0"/>
              <w:rPr>
                <w:sz w:val="20"/>
                <w:szCs w:val="20"/>
                <w:color w:val="auto"/>
              </w:rPr>
            </w:pPr>
            <w:r>
              <w:rPr>
                <w:rFonts w:ascii="Arial" w:cs="Arial" w:eastAsia="Arial" w:hAnsi="Arial"/>
                <w:sz w:val="18"/>
                <w:szCs w:val="18"/>
                <w:b w:val="1"/>
                <w:bCs w:val="1"/>
                <w:color w:val="auto"/>
                <w:w w:val="88"/>
              </w:rPr>
              <w:t>(in thousands, except share data)</w:t>
            </w: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24"/>
                <w:szCs w:val="2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December 31, 2021</w:t>
            </w: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23,586</w:t>
            </w:r>
          </w:p>
        </w:tc>
        <w:tc>
          <w:tcPr>
            <w:tcW w:w="100" w:type="dxa"/>
            <w:vAlign w:val="bottom"/>
            <w:shd w:val="clear" w:color="auto" w:fill="CCEEFF"/>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net of allowance for doubtful accounts of $52 and $158</w:t>
            </w:r>
          </w:p>
        </w:tc>
        <w:tc>
          <w:tcPr>
            <w:tcW w:w="2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5,452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3,656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6,019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7,245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35,057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43,613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10,688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11,617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15,031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15,031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380"/>
              <w:spacing w:after="0" w:line="196"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76,097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418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1,791</w:t>
            </w:r>
          </w:p>
        </w:tc>
        <w:tc>
          <w:tcPr>
            <w:tcW w:w="100" w:type="dxa"/>
            <w:vAlign w:val="bottom"/>
            <w:shd w:val="clear" w:color="auto" w:fill="CCEEFF"/>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6,667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7,665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1,315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contingent consideration</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notes payable</w:t>
            </w:r>
          </w:p>
        </w:tc>
        <w:tc>
          <w:tcPr>
            <w:tcW w:w="2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11,771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36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33,074</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28,960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notes payable, net of current portion</w:t>
            </w:r>
          </w:p>
        </w:tc>
        <w:tc>
          <w:tcPr>
            <w:tcW w:w="2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8,596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9,993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Long-term operating lease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22,916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16,028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380"/>
              <w:spacing w:after="0" w:line="196"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34,484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67,558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56,370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60" w:type="dxa"/>
            <w:vAlign w:val="bottom"/>
          </w:tcPr>
          <w:p>
            <w:pPr>
              <w:ind w:left="200"/>
              <w:spacing w:after="0" w:line="162" w:lineRule="exact"/>
              <w:rPr>
                <w:sz w:val="20"/>
                <w:szCs w:val="20"/>
                <w:color w:val="auto"/>
              </w:rPr>
            </w:pPr>
            <w:r>
              <w:rPr>
                <w:rFonts w:ascii="Arial" w:cs="Arial" w:eastAsia="Arial" w:hAnsi="Arial"/>
                <w:sz w:val="18"/>
                <w:szCs w:val="18"/>
                <w:color w:val="auto"/>
              </w:rPr>
              <w:t>Preferred stock, $0.001 par value, 5,000,000 shares authorized;</w:t>
            </w:r>
          </w:p>
        </w:tc>
        <w:tc>
          <w:tcPr>
            <w:tcW w:w="240" w:type="dxa"/>
            <w:vAlign w:val="bottom"/>
          </w:tcPr>
          <w:p>
            <w:pPr>
              <w:spacing w:after="0"/>
              <w:rPr>
                <w:sz w:val="14"/>
                <w:szCs w:val="14"/>
                <w:color w:val="auto"/>
              </w:rPr>
            </w:pPr>
          </w:p>
        </w:tc>
        <w:tc>
          <w:tcPr>
            <w:tcW w:w="180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7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380"/>
              <w:spacing w:after="0"/>
              <w:rPr>
                <w:sz w:val="20"/>
                <w:szCs w:val="20"/>
                <w:color w:val="auto"/>
              </w:rPr>
            </w:pPr>
            <w:r>
              <w:rPr>
                <w:rFonts w:ascii="Arial" w:cs="Arial" w:eastAsia="Arial" w:hAnsi="Arial"/>
                <w:sz w:val="18"/>
                <w:szCs w:val="18"/>
                <w:color w:val="auto"/>
              </w:rPr>
              <w:t>0 (2022 and 2021) shares issued and outstanding</w:t>
            </w:r>
          </w:p>
        </w:tc>
        <w:tc>
          <w:tcPr>
            <w:tcW w:w="240" w:type="dxa"/>
            <w:vAlign w:val="bottom"/>
          </w:tcPr>
          <w:p>
            <w:pPr>
              <w:spacing w:after="0"/>
              <w:rPr>
                <w:sz w:val="18"/>
                <w:szCs w:val="18"/>
                <w:color w:val="auto"/>
              </w:rPr>
            </w:pPr>
          </w:p>
        </w:tc>
        <w:tc>
          <w:tcPr>
            <w:tcW w:w="1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$0.001 par value, 200,000,000 shares authorized;</w:t>
            </w:r>
          </w:p>
        </w:tc>
        <w:tc>
          <w:tcPr>
            <w:tcW w:w="240" w:type="dxa"/>
            <w:vAlign w:val="bottom"/>
            <w:shd w:val="clear" w:color="auto" w:fill="CFF0FC"/>
          </w:tcPr>
          <w:p>
            <w:pPr>
              <w:spacing w:after="0"/>
              <w:rPr>
                <w:sz w:val="14"/>
                <w:szCs w:val="14"/>
                <w:color w:val="auto"/>
              </w:rPr>
            </w:pP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39,978,844 (2022) and 30,789,649 (2021) shares issued and outstanding</w:t>
            </w:r>
          </w:p>
        </w:tc>
        <w:tc>
          <w:tcPr>
            <w:tcW w:w="24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2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341,014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321,669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(333,383 )</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(301,973 )</w:t>
            </w:r>
          </w:p>
        </w:tc>
        <w:tc>
          <w:tcPr>
            <w:tcW w:w="0" w:type="dxa"/>
            <w:vAlign w:val="bottom"/>
          </w:tcPr>
          <w:p>
            <w:pPr>
              <w:spacing w:after="0"/>
              <w:rPr>
                <w:sz w:val="1"/>
                <w:szCs w:val="1"/>
                <w:color w:val="auto"/>
              </w:rPr>
            </w:pPr>
          </w:p>
        </w:tc>
      </w:tr>
      <w:tr>
        <w:trPr>
          <w:trHeight w:val="196"/>
        </w:trPr>
        <w:tc>
          <w:tcPr>
            <w:tcW w:w="73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7,671</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19,727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76,097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-4968240</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-4968240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-3931285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-3931285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-3659505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-3642360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-2345055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-2345055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-1565275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-1565275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-296545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94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rPr>
              <w:t>BIODESIX,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6"/>
        </w:trPr>
        <w:tc>
          <w:tcPr>
            <w:tcW w:w="4100" w:type="dxa"/>
            <w:vAlign w:val="bottom"/>
          </w:tcPr>
          <w:p>
            <w:pPr>
              <w:spacing w:after="0"/>
              <w:rPr>
                <w:sz w:val="24"/>
                <w:szCs w:val="24"/>
                <w:color w:val="auto"/>
              </w:rPr>
            </w:pPr>
          </w:p>
        </w:tc>
        <w:tc>
          <w:tcPr>
            <w:tcW w:w="31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8"/>
              </w:rPr>
              <w:t>Condensed Statements of Operations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100" w:type="dxa"/>
            <w:vAlign w:val="bottom"/>
          </w:tcPr>
          <w:p>
            <w:pPr>
              <w:spacing w:after="0"/>
              <w:rPr>
                <w:sz w:val="20"/>
                <w:szCs w:val="20"/>
                <w:color w:val="auto"/>
              </w:rPr>
            </w:pPr>
          </w:p>
        </w:tc>
        <w:tc>
          <w:tcPr>
            <w:tcW w:w="294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4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7"/>
          </w:tcPr>
          <w:p>
            <w:pPr>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4"/>
                <w:szCs w:val="24"/>
                <w:color w:val="auto"/>
              </w:rPr>
            </w:pPr>
          </w:p>
        </w:tc>
        <w:tc>
          <w:tcPr>
            <w:tcW w:w="2620" w:type="dxa"/>
            <w:vAlign w:val="bottom"/>
            <w:gridSpan w:val="5"/>
          </w:tcPr>
          <w:p>
            <w:pPr>
              <w:jc w:val="right"/>
              <w:ind w:right="341"/>
              <w:spacing w:after="0"/>
              <w:rPr>
                <w:sz w:val="20"/>
                <w:szCs w:val="20"/>
                <w:color w:val="auto"/>
              </w:rPr>
            </w:pPr>
            <w:r>
              <w:rPr>
                <w:rFonts w:ascii="Arial" w:cs="Arial" w:eastAsia="Arial" w:hAnsi="Arial"/>
                <w:sz w:val="18"/>
                <w:szCs w:val="18"/>
                <w:b w:val="1"/>
                <w:bCs w:val="1"/>
                <w:color w:val="auto"/>
                <w:w w:val="93"/>
              </w:rPr>
              <w:t>Six Months Ended June 30,</w:t>
            </w:r>
          </w:p>
        </w:tc>
      </w:tr>
      <w:tr>
        <w:trPr>
          <w:trHeight w:val="196"/>
        </w:trPr>
        <w:tc>
          <w:tcPr>
            <w:tcW w:w="4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4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1540" w:type="dxa"/>
            <w:vAlign w:val="bottom"/>
            <w:shd w:val="clear" w:color="auto" w:fill="CFF0FC"/>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10,950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11,885</w:t>
            </w:r>
          </w:p>
        </w:tc>
        <w:tc>
          <w:tcPr>
            <w:tcW w:w="120" w:type="dxa"/>
            <w:vAlign w:val="bottom"/>
            <w:shd w:val="clear" w:color="auto" w:fill="CCEEFF"/>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17,498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40,751</w:t>
            </w:r>
          </w:p>
        </w:tc>
        <w:tc>
          <w:tcPr>
            <w:tcW w:w="100" w:type="dxa"/>
            <w:vAlign w:val="bottom"/>
            <w:shd w:val="clear" w:color="auto" w:fill="CCEEFF"/>
          </w:tcPr>
          <w:p>
            <w:pPr>
              <w:spacing w:after="0"/>
              <w:rPr>
                <w:sz w:val="17"/>
                <w:szCs w:val="17"/>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Direct costs and expenses</w:t>
            </w:r>
          </w:p>
        </w:tc>
        <w:tc>
          <w:tcPr>
            <w:tcW w:w="1540" w:type="dxa"/>
            <w:vAlign w:val="bottom"/>
            <w:shd w:val="clear" w:color="auto" w:fill="CFF0FC"/>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7,085</w:t>
            </w:r>
          </w:p>
        </w:tc>
        <w:tc>
          <w:tcPr>
            <w:tcW w:w="120" w:type="dxa"/>
            <w:vAlign w:val="bottom"/>
            <w:shd w:val="clear" w:color="auto" w:fill="CCEEFF"/>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25,303</w:t>
            </w:r>
          </w:p>
        </w:tc>
        <w:tc>
          <w:tcPr>
            <w:tcW w:w="100" w:type="dxa"/>
            <w:vAlign w:val="bottom"/>
            <w:shd w:val="clear" w:color="auto" w:fill="CCEEFF"/>
          </w:tcPr>
          <w:p>
            <w:pPr>
              <w:spacing w:after="0"/>
              <w:rPr>
                <w:sz w:val="17"/>
                <w:szCs w:val="17"/>
                <w:color w:val="auto"/>
              </w:rPr>
            </w:pPr>
          </w:p>
        </w:tc>
      </w:tr>
      <w:tr>
        <w:trPr>
          <w:trHeight w:val="203"/>
        </w:trPr>
        <w:tc>
          <w:tcPr>
            <w:tcW w:w="41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3,361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6,567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6,644</w:t>
            </w:r>
          </w:p>
        </w:tc>
        <w:tc>
          <w:tcPr>
            <w:tcW w:w="100" w:type="dxa"/>
            <w:vAlign w:val="bottom"/>
          </w:tcPr>
          <w:p>
            <w:pPr>
              <w:spacing w:after="0"/>
              <w:rPr>
                <w:sz w:val="17"/>
                <w:szCs w:val="17"/>
                <w:color w:val="auto"/>
              </w:rPr>
            </w:pPr>
          </w:p>
        </w:tc>
      </w:tr>
      <w:tr>
        <w:trPr>
          <w:trHeight w:val="203"/>
        </w:trPr>
        <w:tc>
          <w:tcPr>
            <w:tcW w:w="4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marketing, general and administrative</w:t>
            </w:r>
          </w:p>
        </w:tc>
        <w:tc>
          <w:tcPr>
            <w:tcW w:w="1540" w:type="dxa"/>
            <w:vAlign w:val="bottom"/>
            <w:shd w:val="clear" w:color="auto" w:fill="CFF0FC"/>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15,235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11,425</w:t>
            </w:r>
          </w:p>
        </w:tc>
        <w:tc>
          <w:tcPr>
            <w:tcW w:w="120" w:type="dxa"/>
            <w:vAlign w:val="bottom"/>
            <w:shd w:val="clear" w:color="auto" w:fill="CCEEFF"/>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29,722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23,352</w:t>
            </w:r>
          </w:p>
        </w:tc>
        <w:tc>
          <w:tcPr>
            <w:tcW w:w="100" w:type="dxa"/>
            <w:vAlign w:val="bottom"/>
            <w:shd w:val="clear" w:color="auto" w:fill="CCEEFF"/>
          </w:tcPr>
          <w:p>
            <w:pPr>
              <w:spacing w:after="0"/>
              <w:rPr>
                <w:sz w:val="17"/>
                <w:szCs w:val="17"/>
                <w:color w:val="auto"/>
              </w:rPr>
            </w:pPr>
          </w:p>
        </w:tc>
      </w:tr>
      <w:tr>
        <w:trPr>
          <w:trHeight w:val="203"/>
        </w:trPr>
        <w:tc>
          <w:tcPr>
            <w:tcW w:w="410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1,622</w:t>
            </w:r>
          </w:p>
        </w:tc>
        <w:tc>
          <w:tcPr>
            <w:tcW w:w="100" w:type="dxa"/>
            <w:vAlign w:val="bottom"/>
          </w:tcPr>
          <w:p>
            <w:pPr>
              <w:spacing w:after="0"/>
              <w:rPr>
                <w:sz w:val="17"/>
                <w:szCs w:val="17"/>
                <w:color w:val="auto"/>
              </w:rPr>
            </w:pPr>
          </w:p>
        </w:tc>
      </w:tr>
      <w:tr>
        <w:trPr>
          <w:trHeight w:val="203"/>
        </w:trPr>
        <w:tc>
          <w:tcPr>
            <w:tcW w:w="4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Impairment loss on intangible assets</w:t>
            </w:r>
          </w:p>
        </w:tc>
        <w:tc>
          <w:tcPr>
            <w:tcW w:w="1540" w:type="dxa"/>
            <w:vAlign w:val="bottom"/>
            <w:shd w:val="clear" w:color="auto" w:fill="CFF0FC"/>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196"/>
        </w:trPr>
        <w:tc>
          <w:tcPr>
            <w:tcW w:w="41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154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22,576</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22,472</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43,585</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56,921</w:t>
            </w:r>
          </w:p>
        </w:tc>
        <w:tc>
          <w:tcPr>
            <w:tcW w:w="100" w:type="dxa"/>
            <w:vAlign w:val="bottom"/>
            <w:tcBorders>
              <w:top w:val="single" w:sz="8" w:color="CCEEFF"/>
            </w:tcBorders>
          </w:tcPr>
          <w:p>
            <w:pPr>
              <w:spacing w:after="0"/>
              <w:rPr>
                <w:sz w:val="17"/>
                <w:szCs w:val="17"/>
                <w:color w:val="auto"/>
              </w:rPr>
            </w:pPr>
          </w:p>
        </w:tc>
      </w:tr>
      <w:tr>
        <w:trPr>
          <w:trHeight w:val="196"/>
        </w:trPr>
        <w:tc>
          <w:tcPr>
            <w:tcW w:w="4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FF0FC"/>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(11,626</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(10,587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(26,087</w:t>
            </w:r>
          </w:p>
        </w:tc>
        <w:tc>
          <w:tcPr>
            <w:tcW w:w="2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(16,170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540" w:type="dxa"/>
            <w:vAlign w:val="bottom"/>
            <w:shd w:val="clear" w:color="auto" w:fill="CFF0FC"/>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(1,346 )</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(815 )</w:t>
            </w:r>
          </w:p>
        </w:tc>
        <w:tc>
          <w:tcPr>
            <w:tcW w:w="120" w:type="dxa"/>
            <w:vAlign w:val="bottom"/>
            <w:shd w:val="clear" w:color="auto" w:fill="CFF0FC"/>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(2,483 )</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(1,466 )</w:t>
            </w:r>
          </w:p>
        </w:tc>
      </w:tr>
      <w:tr>
        <w:trPr>
          <w:trHeight w:val="203"/>
        </w:trPr>
        <w:tc>
          <w:tcPr>
            <w:tcW w:w="4100" w:type="dxa"/>
            <w:vAlign w:val="bottom"/>
          </w:tcPr>
          <w:p>
            <w:pPr>
              <w:ind w:left="200"/>
              <w:spacing w:after="0" w:line="202" w:lineRule="exact"/>
              <w:rPr>
                <w:sz w:val="20"/>
                <w:szCs w:val="20"/>
                <w:color w:val="auto"/>
              </w:rPr>
            </w:pPr>
            <w:r>
              <w:rPr>
                <w:rFonts w:ascii="Arial" w:cs="Arial" w:eastAsia="Arial" w:hAnsi="Arial"/>
                <w:sz w:val="18"/>
                <w:szCs w:val="18"/>
                <w:color w:val="auto"/>
              </w:rPr>
              <w:t>Loss on extinguishment of liabilities</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(2,952 )</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(2,952 )</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(728 )</w:t>
            </w:r>
          </w:p>
        </w:tc>
      </w:tr>
      <w:tr>
        <w:trPr>
          <w:trHeight w:val="203"/>
        </w:trPr>
        <w:tc>
          <w:tcPr>
            <w:tcW w:w="41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net</w:t>
            </w:r>
          </w:p>
        </w:tc>
        <w:tc>
          <w:tcPr>
            <w:tcW w:w="15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410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(4,198 )</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(815 )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(5,323 )</w:t>
            </w:r>
          </w:p>
        </w:tc>
        <w:tc>
          <w:tcPr>
            <w:tcW w:w="32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(2,193 )</w:t>
            </w:r>
          </w:p>
        </w:tc>
      </w:tr>
      <w:tr>
        <w:trPr>
          <w:trHeight w:val="203"/>
        </w:trPr>
        <w:tc>
          <w:tcPr>
            <w:tcW w:w="410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410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5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(15,824 )</w:t>
            </w:r>
          </w:p>
        </w:tc>
        <w:tc>
          <w:tcPr>
            <w:tcW w:w="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(11,402 )</w:t>
            </w:r>
          </w:p>
        </w:tc>
        <w:tc>
          <w:tcPr>
            <w:tcW w:w="1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(31,410 )</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(18,363 )</w:t>
            </w:r>
          </w:p>
        </w:tc>
      </w:tr>
      <w:tr>
        <w:trPr>
          <w:trHeight w:val="20"/>
        </w:trPr>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1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1540" w:type="dxa"/>
            <w:vAlign w:val="bottom"/>
            <w:shd w:val="clear" w:color="auto" w:fill="CFF0FC"/>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5"/>
                <w:szCs w:val="15"/>
                <w:color w:val="auto"/>
              </w:rPr>
            </w:pPr>
          </w:p>
        </w:tc>
        <w:tc>
          <w:tcPr>
            <w:tcW w:w="200" w:type="dxa"/>
            <w:vAlign w:val="bottom"/>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(0.89</w:t>
            </w:r>
          </w:p>
        </w:tc>
        <w:tc>
          <w:tcPr>
            <w:tcW w:w="220" w:type="dxa"/>
            <w:vAlign w:val="bottom"/>
            <w:shd w:val="clear" w:color="auto" w:fill="CCEEFF"/>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w w:val="90"/>
              </w:rPr>
              <w:t>Weighted-average shares outstanding, basic and diluted</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39,239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35,177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27,020</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-1496695</wp:posOffset>
            </wp:positionV>
            <wp:extent cx="7747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-1496695</wp:posOffset>
            </wp:positionV>
            <wp:extent cx="768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-1496695</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-1496695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-708025</wp:posOffset>
            </wp:positionV>
            <wp:extent cx="7747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-708025</wp:posOffset>
            </wp:positionV>
            <wp:extent cx="768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-708025</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-708025</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-441960</wp:posOffset>
            </wp:positionV>
            <wp:extent cx="7747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-441960</wp:posOffset>
            </wp:positionV>
            <wp:extent cx="7683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-441960</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-441960</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rPr>
              <w:t>BIODESIX, INC.</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740" w:type="dxa"/>
            <w:vAlign w:val="bottom"/>
          </w:tcPr>
          <w:p>
            <w:pPr>
              <w:spacing w:after="0"/>
              <w:rPr>
                <w:sz w:val="24"/>
                <w:szCs w:val="24"/>
                <w:color w:val="auto"/>
              </w:rPr>
            </w:pPr>
          </w:p>
        </w:tc>
        <w:tc>
          <w:tcPr>
            <w:tcW w:w="4320" w:type="dxa"/>
            <w:vAlign w:val="bottom"/>
            <w:gridSpan w:val="7"/>
          </w:tcPr>
          <w:p>
            <w:pPr>
              <w:jc w:val="center"/>
              <w:ind w:right="470"/>
              <w:spacing w:after="0"/>
              <w:rPr>
                <w:sz w:val="20"/>
                <w:szCs w:val="20"/>
                <w:color w:val="auto"/>
              </w:rPr>
            </w:pPr>
            <w:r>
              <w:rPr>
                <w:rFonts w:ascii="Arial" w:cs="Arial" w:eastAsia="Arial" w:hAnsi="Arial"/>
                <w:sz w:val="18"/>
                <w:szCs w:val="18"/>
                <w:b w:val="1"/>
                <w:bCs w:val="1"/>
                <w:color w:val="auto"/>
                <w:w w:val="88"/>
              </w:rPr>
              <w:t>Condensed Statements of Stockholders' Equity</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740" w:type="dxa"/>
            <w:vAlign w:val="bottom"/>
          </w:tcPr>
          <w:p>
            <w:pPr>
              <w:spacing w:after="0"/>
              <w:rPr>
                <w:sz w:val="24"/>
                <w:szCs w:val="24"/>
                <w:color w:val="auto"/>
              </w:rPr>
            </w:pPr>
          </w:p>
        </w:tc>
        <w:tc>
          <w:tcPr>
            <w:tcW w:w="2580" w:type="dxa"/>
            <w:vAlign w:val="bottom"/>
            <w:gridSpan w:val="3"/>
            <w:vMerge w:val="restart"/>
          </w:tcPr>
          <w:p>
            <w:pPr>
              <w:jc w:val="right"/>
              <w:ind w:right="49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Additional</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vMerge w:val="restart"/>
          </w:tcPr>
          <w:p>
            <w:pPr>
              <w:jc w:val="center"/>
              <w:ind w:right="27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58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7"/>
              </w:rPr>
              <w:t>Paid</w:t>
            </w:r>
            <w:r>
              <w:rPr>
                <w:rFonts w:ascii="MS PGothic" w:cs="MS PGothic" w:eastAsia="MS PGothic" w:hAnsi="MS PGothic"/>
                <w:sz w:val="18"/>
                <w:szCs w:val="18"/>
                <w:b w:val="1"/>
                <w:bCs w:val="1"/>
                <w:color w:val="auto"/>
                <w:w w:val="97"/>
              </w:rPr>
              <w:t>‑</w:t>
            </w:r>
            <w:r>
              <w:rPr>
                <w:rFonts w:ascii="Arial" w:cs="Arial" w:eastAsia="Arial" w:hAnsi="Arial"/>
                <w:sz w:val="18"/>
                <w:szCs w:val="18"/>
                <w:b w:val="1"/>
                <w:bCs w:val="1"/>
                <w:color w:val="auto"/>
                <w:w w:val="97"/>
              </w:rPr>
              <w:t>In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120" w:type="dxa"/>
            <w:vAlign w:val="bottom"/>
          </w:tcPr>
          <w:p>
            <w:pPr>
              <w:jc w:val="right"/>
              <w:ind w:right="210"/>
              <w:spacing w:after="0" w:line="196" w:lineRule="exact"/>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17"/>
                <w:szCs w:val="17"/>
                <w:color w:val="auto"/>
              </w:rPr>
            </w:pPr>
          </w:p>
        </w:tc>
        <w:tc>
          <w:tcPr>
            <w:tcW w:w="118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0"/>
              <w:spacing w:after="0" w:line="196" w:lineRule="exact"/>
              <w:rPr>
                <w:sz w:val="20"/>
                <w:szCs w:val="20"/>
                <w:color w:val="auto"/>
              </w:rPr>
            </w:pPr>
            <w:r>
              <w:rPr>
                <w:rFonts w:ascii="Arial" w:cs="Arial" w:eastAsia="Arial" w:hAnsi="Arial"/>
                <w:sz w:val="18"/>
                <w:szCs w:val="18"/>
                <w:b w:val="1"/>
                <w:bCs w:val="1"/>
                <w:color w:val="auto"/>
                <w:w w:val="96"/>
              </w:rPr>
              <w:t>Capital</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70"/>
              <w:spacing w:after="0" w:line="196" w:lineRule="exact"/>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17"/>
                <w:szCs w:val="17"/>
                <w:color w:val="auto"/>
              </w:rPr>
            </w:pPr>
          </w:p>
        </w:tc>
        <w:tc>
          <w:tcPr>
            <w:tcW w:w="130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December 31, 2021</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30,790</w:t>
            </w:r>
          </w:p>
        </w:tc>
        <w:tc>
          <w:tcPr>
            <w:tcW w:w="2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31</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321,669</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(301,973</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Arial" w:cs="Arial" w:eastAsia="Arial" w:hAnsi="Arial"/>
                <w:sz w:val="18"/>
                <w:szCs w:val="18"/>
                <w:color w:val="auto"/>
              </w:rPr>
              <w:t>Issuance of common stock under employee</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stock purchase plan</w:t>
            </w:r>
          </w:p>
        </w:tc>
        <w:tc>
          <w:tcPr>
            <w:tcW w:w="1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8"/>
              </w:rPr>
              <w:t>Issuance of common stock for deferred offering</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2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w:t>
            </w:r>
          </w:p>
        </w:tc>
        <w:tc>
          <w:tcPr>
            <w:tcW w:w="11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Issuance of common stock, net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709</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1,416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1,346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(15,586 )</w:t>
            </w: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(15,586 )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March 31, 2022</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31,889</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89"/>
              </w:rPr>
              <w:t>32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325,308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(317,559 )</w:t>
            </w:r>
          </w:p>
        </w:tc>
        <w:tc>
          <w:tcPr>
            <w:tcW w:w="1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7,781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Issuance of common stock, net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7,928</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14,321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Release of restricted stock units</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1,368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(15,824 )</w:t>
            </w: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(15,824 )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June 30, 2022</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39,979</w:t>
            </w:r>
          </w:p>
        </w:tc>
        <w:tc>
          <w:tcPr>
            <w:tcW w:w="280" w:type="dxa"/>
            <w:vAlign w:val="bottom"/>
          </w:tcPr>
          <w:p>
            <w:pPr>
              <w:spacing w:after="0"/>
              <w:rPr>
                <w:sz w:val="17"/>
                <w:szCs w:val="17"/>
                <w:color w:val="auto"/>
              </w:rPr>
            </w:pPr>
          </w:p>
        </w:tc>
        <w:tc>
          <w:tcPr>
            <w:tcW w:w="1180" w:type="dxa"/>
            <w:vAlign w:val="bottom"/>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89"/>
              </w:rPr>
              <w:t>40</w:t>
            </w:r>
          </w:p>
        </w:tc>
        <w:tc>
          <w:tcPr>
            <w:tcW w:w="2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341,014</w:t>
            </w:r>
          </w:p>
        </w:tc>
        <w:tc>
          <w:tcPr>
            <w:tcW w:w="2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(333,383 )</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7,671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740" w:type="dxa"/>
            <w:vAlign w:val="bottom"/>
          </w:tcPr>
          <w:p>
            <w:pPr>
              <w:spacing w:after="0"/>
              <w:rPr>
                <w:sz w:val="24"/>
                <w:szCs w:val="24"/>
                <w:color w:val="auto"/>
              </w:rPr>
            </w:pPr>
          </w:p>
        </w:tc>
        <w:tc>
          <w:tcPr>
            <w:tcW w:w="2580" w:type="dxa"/>
            <w:vAlign w:val="bottom"/>
            <w:gridSpan w:val="3"/>
            <w:vMerge w:val="restart"/>
          </w:tcPr>
          <w:p>
            <w:pPr>
              <w:jc w:val="right"/>
              <w:ind w:right="49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Additional</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vMerge w:val="restart"/>
          </w:tcPr>
          <w:p>
            <w:pPr>
              <w:jc w:val="center"/>
              <w:ind w:right="27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58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7"/>
              </w:rPr>
              <w:t>Paid</w:t>
            </w:r>
            <w:r>
              <w:rPr>
                <w:rFonts w:ascii="MS PGothic" w:cs="MS PGothic" w:eastAsia="MS PGothic" w:hAnsi="MS PGothic"/>
                <w:sz w:val="18"/>
                <w:szCs w:val="18"/>
                <w:b w:val="1"/>
                <w:bCs w:val="1"/>
                <w:color w:val="auto"/>
                <w:w w:val="97"/>
              </w:rPr>
              <w:t>‑</w:t>
            </w:r>
            <w:r>
              <w:rPr>
                <w:rFonts w:ascii="Arial" w:cs="Arial" w:eastAsia="Arial" w:hAnsi="Arial"/>
                <w:sz w:val="18"/>
                <w:szCs w:val="18"/>
                <w:b w:val="1"/>
                <w:bCs w:val="1"/>
                <w:color w:val="auto"/>
                <w:w w:val="97"/>
              </w:rPr>
              <w:t>In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120" w:type="dxa"/>
            <w:vAlign w:val="bottom"/>
          </w:tcPr>
          <w:p>
            <w:pPr>
              <w:jc w:val="right"/>
              <w:ind w:right="210"/>
              <w:spacing w:after="0" w:line="196" w:lineRule="exact"/>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17"/>
                <w:szCs w:val="17"/>
                <w:color w:val="auto"/>
              </w:rPr>
            </w:pPr>
          </w:p>
        </w:tc>
        <w:tc>
          <w:tcPr>
            <w:tcW w:w="118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0"/>
              <w:spacing w:after="0" w:line="196" w:lineRule="exact"/>
              <w:rPr>
                <w:sz w:val="20"/>
                <w:szCs w:val="20"/>
                <w:color w:val="auto"/>
              </w:rPr>
            </w:pPr>
            <w:r>
              <w:rPr>
                <w:rFonts w:ascii="Arial" w:cs="Arial" w:eastAsia="Arial" w:hAnsi="Arial"/>
                <w:sz w:val="18"/>
                <w:szCs w:val="18"/>
                <w:b w:val="1"/>
                <w:bCs w:val="1"/>
                <w:color w:val="auto"/>
                <w:w w:val="96"/>
              </w:rPr>
              <w:t>Capital</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70"/>
              <w:spacing w:after="0" w:line="196" w:lineRule="exact"/>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17"/>
                <w:szCs w:val="17"/>
                <w:color w:val="auto"/>
              </w:rPr>
            </w:pPr>
          </w:p>
        </w:tc>
        <w:tc>
          <w:tcPr>
            <w:tcW w:w="130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December 31, 2020</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26,562</w:t>
            </w:r>
          </w:p>
        </w:tc>
        <w:tc>
          <w:tcPr>
            <w:tcW w:w="2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27</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299,953</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(258,814</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41,166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(6,961 )</w:t>
            </w:r>
          </w:p>
        </w:tc>
        <w:tc>
          <w:tcPr>
            <w:tcW w:w="10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(6,961 )</w:t>
            </w: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March 31, 2021</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26,785</w:t>
            </w:r>
          </w:p>
        </w:tc>
        <w:tc>
          <w:tcPr>
            <w:tcW w:w="2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27</w:t>
            </w: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302,180</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(265,775</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36,432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Exercise of stock options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(11,402 )</w:t>
            </w:r>
          </w:p>
        </w:tc>
        <w:tc>
          <w:tcPr>
            <w:tcW w:w="10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(11,402 )</w:t>
            </w:r>
          </w:p>
        </w:tc>
        <w:tc>
          <w:tcPr>
            <w:tcW w:w="0" w:type="dxa"/>
            <w:vAlign w:val="bottom"/>
          </w:tcPr>
          <w:p>
            <w:pPr>
              <w:spacing w:after="0"/>
              <w:rPr>
                <w:sz w:val="1"/>
                <w:szCs w:val="1"/>
                <w:color w:val="auto"/>
              </w:rPr>
            </w:pPr>
          </w:p>
        </w:tc>
      </w:tr>
      <w:tr>
        <w:trPr>
          <w:trHeight w:val="236"/>
        </w:trPr>
        <w:tc>
          <w:tcPr>
            <w:tcW w:w="37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 xml:space="preserve">Balance </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 June 30, 2021</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26,949</w:t>
            </w:r>
          </w:p>
        </w:tc>
        <w:tc>
          <w:tcPr>
            <w:tcW w:w="2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27</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302,923</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(277,177</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25,773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-2773680</wp:posOffset>
            </wp:positionV>
            <wp:extent cx="768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-2773680</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-2773680</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-2773680</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-2773680</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-1993900</wp:posOffset>
            </wp:positionV>
            <wp:extent cx="7683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-1993900</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-1993900</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-1993900</wp:posOffset>
            </wp:positionV>
            <wp:extent cx="685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-1993900</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-24765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700" w:type="dxa"/>
            <w:vAlign w:val="bottom"/>
          </w:tcPr>
          <w:p>
            <w:pPr>
              <w:jc w:val="center"/>
              <w:ind w:left="3470"/>
              <w:spacing w:after="0"/>
              <w:rPr>
                <w:sz w:val="20"/>
                <w:szCs w:val="20"/>
                <w:color w:val="auto"/>
              </w:rPr>
            </w:pPr>
            <w:r>
              <w:rPr>
                <w:rFonts w:ascii="Arial" w:cs="Arial" w:eastAsia="Arial" w:hAnsi="Arial"/>
                <w:sz w:val="18"/>
                <w:szCs w:val="18"/>
                <w:b w:val="1"/>
                <w:bCs w:val="1"/>
                <w:color w:val="auto"/>
              </w:rPr>
              <w:t>BIODESIX, INC.</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70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Condensed Statements of Cash Flows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00" w:type="dxa"/>
            <w:vAlign w:val="bottom"/>
          </w:tcPr>
          <w:p>
            <w:pPr>
              <w:jc w:val="center"/>
              <w:ind w:left="3470"/>
              <w:spacing w:after="0"/>
              <w:rPr>
                <w:sz w:val="20"/>
                <w:szCs w:val="20"/>
                <w:color w:val="auto"/>
              </w:rPr>
            </w:pPr>
            <w:r>
              <w:rPr>
                <w:rFonts w:ascii="Arial" w:cs="Arial" w:eastAsia="Arial" w:hAnsi="Arial"/>
                <w:sz w:val="18"/>
                <w:szCs w:val="18"/>
                <w:b w:val="1"/>
                <w:bCs w:val="1"/>
                <w:color w:val="auto"/>
                <w:w w:val="88"/>
              </w:rPr>
              <w:t>(in thousands)</w:t>
            </w:r>
          </w:p>
        </w:tc>
        <w:tc>
          <w:tcPr>
            <w:tcW w:w="28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17"/>
                <w:szCs w:val="17"/>
                <w:color w:val="auto"/>
              </w:rPr>
            </w:pPr>
          </w:p>
        </w:tc>
        <w:tc>
          <w:tcPr>
            <w:tcW w:w="2840" w:type="dxa"/>
            <w:vAlign w:val="bottom"/>
            <w:tcBorders>
              <w:bottom w:val="single" w:sz="8" w:color="auto"/>
            </w:tcBorders>
            <w:gridSpan w:val="4"/>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1000" w:type="dxa"/>
            <w:vAlign w:val="bottom"/>
          </w:tcPr>
          <w:p>
            <w:pPr>
              <w:jc w:val="right"/>
              <w:ind w:right="8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w w:val="88"/>
              </w:rPr>
              <w:t>(31,410 )</w:t>
            </w:r>
          </w:p>
        </w:tc>
        <w:tc>
          <w:tcPr>
            <w:tcW w:w="980" w:type="dxa"/>
            <w:vAlign w:val="bottom"/>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8"/>
              </w:rPr>
              <w:t>(18,363 )</w:t>
            </w: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Adjustments to reconcile net loss to net cash, cash equivalents, and restricted</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cash used in operating activities</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1,806</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of lease right-of-use assets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728</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Loss on extinguishment of liabilities</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2,952</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2,714</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Change in contingent consideration</w:t>
            </w:r>
          </w:p>
        </w:tc>
        <w:tc>
          <w:tcPr>
            <w:tcW w:w="1000" w:type="dxa"/>
            <w:vAlign w:val="bottom"/>
          </w:tcPr>
          <w:p>
            <w:pPr>
              <w:spacing w:after="0"/>
              <w:rPr>
                <w:sz w:val="17"/>
                <w:szCs w:val="17"/>
                <w:color w:val="auto"/>
              </w:rPr>
            </w:pPr>
          </w:p>
        </w:tc>
        <w:tc>
          <w:tcPr>
            <w:tcW w:w="8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Provision for doubtful accounts</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(39 )</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Accrued interest, amortization of debt issuance costs and other</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2,174</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Inventory excess and obsolescence</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535</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Impairment loss on intangible assets</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7"/>
                <w:szCs w:val="17"/>
                <w:color w:val="auto"/>
              </w:rPr>
            </w:pPr>
          </w:p>
        </w:tc>
        <w:tc>
          <w:tcPr>
            <w:tcW w:w="8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(1,757 )</w:t>
            </w: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9,830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current assets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Other long-term assets</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933</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 and other accrued liabilities</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(1,195 )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(9,453 )</w:t>
            </w:r>
          </w:p>
        </w:tc>
        <w:tc>
          <w:tcPr>
            <w:tcW w:w="0" w:type="dxa"/>
            <w:vAlign w:val="bottom"/>
          </w:tcPr>
          <w:p>
            <w:pPr>
              <w:spacing w:after="0"/>
              <w:rPr>
                <w:sz w:val="1"/>
                <w:szCs w:val="1"/>
                <w:color w:val="auto"/>
              </w:rPr>
            </w:pPr>
          </w:p>
        </w:tc>
      </w:tr>
      <w:tr>
        <w:trPr>
          <w:trHeight w:val="203"/>
        </w:trPr>
        <w:tc>
          <w:tcPr>
            <w:tcW w:w="7700" w:type="dxa"/>
            <w:vAlign w:val="bottom"/>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7"/>
                <w:szCs w:val="17"/>
                <w:color w:val="auto"/>
              </w:rPr>
            </w:pPr>
          </w:p>
        </w:tc>
        <w:tc>
          <w:tcPr>
            <w:tcW w:w="8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(392 )</w:t>
            </w: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(1,350 )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Current and long-term operating lease liabilities</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(513 )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Net cash, cash equivalents, and restricted cash used in operating activities</w:t>
            </w:r>
          </w:p>
        </w:tc>
        <w:tc>
          <w:tcPr>
            <w:tcW w:w="1000" w:type="dxa"/>
            <w:vAlign w:val="bottom"/>
          </w:tcPr>
          <w:p>
            <w:pPr>
              <w:spacing w:after="0"/>
              <w:rPr>
                <w:sz w:val="17"/>
                <w:szCs w:val="17"/>
                <w:color w:val="auto"/>
              </w:rPr>
            </w:pPr>
          </w:p>
        </w:tc>
        <w:tc>
          <w:tcPr>
            <w:tcW w:w="86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w w:val="88"/>
              </w:rPr>
              <w:t>(22,693 )</w:t>
            </w:r>
          </w:p>
        </w:tc>
        <w:tc>
          <w:tcPr>
            <w:tcW w:w="98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8"/>
              </w:rPr>
              <w:t>(10,236 )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Cash flows from investing activities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(591 )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(747 )</w:t>
            </w: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Patent costs and intangible asset acquisition, net</w:t>
            </w:r>
          </w:p>
        </w:tc>
        <w:tc>
          <w:tcPr>
            <w:tcW w:w="1000" w:type="dxa"/>
            <w:vAlign w:val="bottom"/>
          </w:tcPr>
          <w:p>
            <w:pPr>
              <w:spacing w:after="0"/>
              <w:rPr>
                <w:sz w:val="17"/>
                <w:szCs w:val="17"/>
                <w:color w:val="auto"/>
              </w:rPr>
            </w:pPr>
          </w:p>
        </w:tc>
        <w:tc>
          <w:tcPr>
            <w:tcW w:w="8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(141 )</w:t>
            </w: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cash equivalents, and restricted cash used in investing activities</w:t>
            </w:r>
          </w:p>
        </w:tc>
        <w:tc>
          <w:tcPr>
            <w:tcW w:w="10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(732</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the issuance of common stock</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16,135</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common stock under employee stock purchase plan</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 of contingent consideration</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(6,625 )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term loan and notes payable</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15,102</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30,078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Repayment of term loan and notes payable</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(3,025 )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(25,419 )</w:t>
            </w: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Payment of debt issuance costs</w:t>
            </w:r>
          </w:p>
        </w:tc>
        <w:tc>
          <w:tcPr>
            <w:tcW w:w="1000" w:type="dxa"/>
            <w:vAlign w:val="bottom"/>
          </w:tcPr>
          <w:p>
            <w:pPr>
              <w:spacing w:after="0"/>
              <w:rPr>
                <w:sz w:val="17"/>
                <w:szCs w:val="17"/>
                <w:color w:val="auto"/>
              </w:rPr>
            </w:pPr>
          </w:p>
        </w:tc>
        <w:tc>
          <w:tcPr>
            <w:tcW w:w="8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(2,115 )</w:t>
            </w: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offering costs</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(129 )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Equity financing costs</w:t>
            </w:r>
          </w:p>
        </w:tc>
        <w:tc>
          <w:tcPr>
            <w:tcW w:w="1000" w:type="dxa"/>
            <w:vAlign w:val="bottom"/>
          </w:tcPr>
          <w:p>
            <w:pPr>
              <w:spacing w:after="0"/>
              <w:rPr>
                <w:sz w:val="17"/>
                <w:szCs w:val="17"/>
                <w:color w:val="auto"/>
              </w:rPr>
            </w:pPr>
          </w:p>
        </w:tc>
        <w:tc>
          <w:tcPr>
            <w:tcW w:w="8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(323 )</w:t>
            </w:r>
          </w:p>
        </w:tc>
        <w:tc>
          <w:tcPr>
            <w:tcW w:w="980" w:type="dxa"/>
            <w:vAlign w:val="bottom"/>
          </w:tcPr>
          <w:p>
            <w:pPr>
              <w:spacing w:after="0"/>
              <w:rPr>
                <w:sz w:val="17"/>
                <w:szCs w:val="17"/>
                <w:color w:val="auto"/>
              </w:rPr>
            </w:pPr>
          </w:p>
        </w:tc>
        <w:tc>
          <w:tcPr>
            <w:tcW w:w="7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(15 )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line="182" w:lineRule="exact"/>
              <w:rPr>
                <w:sz w:val="20"/>
                <w:szCs w:val="20"/>
                <w:color w:val="auto"/>
              </w:rPr>
            </w:pPr>
            <w:r>
              <w:rPr>
                <w:rFonts w:ascii="Arial" w:cs="Arial" w:eastAsia="Arial" w:hAnsi="Arial"/>
                <w:sz w:val="18"/>
                <w:szCs w:val="18"/>
                <w:color w:val="auto"/>
              </w:rPr>
              <w:t>Net cash, cash equivalents, and restricted cash provided by financing activities</w:t>
            </w:r>
          </w:p>
        </w:tc>
        <w:tc>
          <w:tcPr>
            <w:tcW w:w="10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19,299</w:t>
            </w:r>
          </w:p>
        </w:tc>
        <w:tc>
          <w:tcPr>
            <w:tcW w:w="280" w:type="dxa"/>
            <w:vAlign w:val="bottom"/>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(4,126</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(5,871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beginning of period</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32,798</w:t>
            </w:r>
          </w:p>
        </w:tc>
        <w:tc>
          <w:tcPr>
            <w:tcW w:w="2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62,306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end of period</w:t>
            </w:r>
          </w:p>
        </w:tc>
        <w:tc>
          <w:tcPr>
            <w:tcW w:w="1000" w:type="dxa"/>
            <w:vAlign w:val="bottom"/>
            <w:tcBorders>
              <w:bottom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28,672</w:t>
            </w:r>
          </w:p>
        </w:tc>
        <w:tc>
          <w:tcPr>
            <w:tcW w:w="2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56,435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-2885440</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-2885440</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-569595</wp:posOffset>
            </wp:positionV>
            <wp:extent cx="9398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-569595</wp:posOffset>
            </wp:positionV>
            <wp:extent cx="9398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68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680" w:type="dxa"/>
            <w:vAlign w:val="bottom"/>
          </w:tcPr>
          <w:p>
            <w:pPr>
              <w:ind w:left="4620"/>
              <w:spacing w:after="0"/>
              <w:rPr>
                <w:sz w:val="20"/>
                <w:szCs w:val="20"/>
                <w:color w:val="auto"/>
              </w:rPr>
            </w:pPr>
            <w:r>
              <w:rPr>
                <w:rFonts w:ascii="Arial" w:cs="Arial" w:eastAsia="Arial" w:hAnsi="Arial"/>
                <w:sz w:val="18"/>
                <w:szCs w:val="18"/>
                <w:b w:val="1"/>
                <w:bCs w:val="1"/>
                <w:color w:val="auto"/>
              </w:rPr>
              <w:t>Statements of Cash Flows</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5080"/>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680" w:type="dxa"/>
            <w:vAlign w:val="bottom"/>
          </w:tcPr>
          <w:p>
            <w:pPr>
              <w:spacing w:after="0"/>
              <w:rPr>
                <w:sz w:val="20"/>
                <w:szCs w:val="20"/>
                <w:color w:val="auto"/>
              </w:rPr>
            </w:pPr>
            <w:r>
              <w:rPr>
                <w:rFonts w:ascii="Arial" w:cs="Arial" w:eastAsia="Arial" w:hAnsi="Arial"/>
                <w:sz w:val="18"/>
                <w:szCs w:val="18"/>
                <w:color w:val="auto"/>
              </w:rPr>
              <w:t>(Continued from the previous page)</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3000" w:type="dxa"/>
            <w:vAlign w:val="bottom"/>
            <w:gridSpan w:val="4"/>
            <w:vMerge w:val="restart"/>
          </w:tcPr>
          <w:p>
            <w:pPr>
              <w:jc w:val="right"/>
              <w:ind w:right="130"/>
              <w:spacing w:after="0"/>
              <w:rPr>
                <w:sz w:val="20"/>
                <w:szCs w:val="20"/>
                <w:color w:val="auto"/>
              </w:rPr>
            </w:pPr>
            <w:r>
              <w:rPr>
                <w:rFonts w:ascii="Arial" w:cs="Arial" w:eastAsia="Arial" w:hAnsi="Arial"/>
                <w:sz w:val="18"/>
                <w:szCs w:val="18"/>
                <w:b w:val="1"/>
                <w:bCs w:val="1"/>
                <w:color w:val="auto"/>
              </w:rPr>
              <w:t>Six Months Ended June 30,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16"/>
                <w:szCs w:val="16"/>
                <w:color w:val="auto"/>
              </w:rPr>
            </w:pPr>
          </w:p>
        </w:tc>
        <w:tc>
          <w:tcPr>
            <w:tcW w:w="3000" w:type="dxa"/>
            <w:vAlign w:val="bottom"/>
            <w:tcBorders>
              <w:bottom w:val="single" w:sz="8" w:color="auto"/>
            </w:tcBorders>
            <w:gridSpan w:val="4"/>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7"/>
                <w:szCs w:val="17"/>
                <w:color w:val="auto"/>
              </w:rPr>
            </w:pPr>
          </w:p>
        </w:tc>
        <w:tc>
          <w:tcPr>
            <w:tcW w:w="142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Common stock issued for deferred offering costs</w:t>
            </w:r>
          </w:p>
        </w:tc>
        <w:tc>
          <w:tcPr>
            <w:tcW w:w="1060" w:type="dxa"/>
            <w:vAlign w:val="bottom"/>
            <w:tcBorders>
              <w:top w:val="single" w:sz="8" w:color="auto"/>
            </w:tcBorders>
            <w:shd w:val="clear" w:color="auto" w:fill="CCEEFF"/>
          </w:tcPr>
          <w:p>
            <w:pPr>
              <w:jc w:val="right"/>
              <w:ind w:right="85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28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Deferred offering costs amortized against Additional paid-in capital</w:t>
            </w:r>
          </w:p>
        </w:tc>
        <w:tc>
          <w:tcPr>
            <w:tcW w:w="10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Original issue discount associated with Promissory Note One</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1,025</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Debt issuance costs included in Accrued liabilities</w:t>
            </w:r>
          </w:p>
        </w:tc>
        <w:tc>
          <w:tcPr>
            <w:tcW w:w="10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Equity financing costs included in Accrued liabilities</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 obtained in exchange for lease liabilities</w:t>
            </w:r>
          </w:p>
        </w:tc>
        <w:tc>
          <w:tcPr>
            <w:tcW w:w="10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4,672</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Finance lease right-of-use assets obtained in exchange for lease liabilities</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Cash paid for interest</w:t>
            </w:r>
          </w:p>
        </w:tc>
        <w:tc>
          <w:tcPr>
            <w:tcW w:w="10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344</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paid for income taxes</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BIODESIX,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Biodesix, Inc. (the “Company”, “Biodesix”, “we” “us” and “our”), formerly Elston Technologies, Inc., was incorporated in Delaware in 2005. The Company’s headquarters are in Colorado, with laboratories in Colorado and Kansas. The Company conducts all of its operations within a single legal entity.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performs its blood-based diagnostic tests in its laboratory facilities, which are located in Boulder, Colorado and De Soto, Kansas. In May 2020, the Federal Drug Administration (FDA) granted Emergency Use Authorization (EUA) of the Bio-Rad SARS-CoV-2 Droplet Digital™ polymerase chain reaction (ddPCR) test to detect Coronavirus Disease 2019 (COVID-19) infection. In April 2020, the FDA authorized the Platelia SARS-CoV-2 Total Ab test to detect COVID-19 antibodies.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Blood-Based Lung Tests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offers five blood-based lung cancer tests across the lung cancer continuum of care:</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Diagnosis</w:t>
      </w:r>
    </w:p>
    <w:p>
      <w:pPr>
        <w:spacing w:after="0" w:line="104" w:lineRule="exact"/>
        <w:rPr>
          <w:sz w:val="20"/>
          <w:szCs w:val="20"/>
          <w:color w:val="auto"/>
        </w:rPr>
      </w:pPr>
    </w:p>
    <w:p>
      <w:pPr>
        <w:jc w:val="both"/>
        <w:ind w:left="900" w:hanging="383"/>
        <w:spacing w:after="0" w:line="24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Nodify XL2®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 </w:t>
      </w:r>
      <w:r>
        <w:rPr>
          <w:rFonts w:ascii="Arial" w:cs="Arial" w:eastAsia="Arial" w:hAnsi="Arial"/>
          <w:sz w:val="18"/>
          <w:szCs w:val="18"/>
          <w:color w:val="auto"/>
        </w:rPr>
        <w:t>tests, marketed as our Nodify Lung</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 of lung cancer</w:t>
      </w:r>
      <w:r>
        <w:rPr>
          <w:rFonts w:ascii="Arial" w:cs="Arial" w:eastAsia="Arial" w:hAnsi="Arial"/>
          <w:sz w:val="18"/>
          <w:szCs w:val="18"/>
          <w:i w:val="1"/>
          <w:iCs w:val="1"/>
          <w:color w:val="auto"/>
        </w:rPr>
        <w:t xml:space="preserve"> </w:t>
      </w:r>
      <w:r>
        <w:rPr>
          <w:rFonts w:ascii="Arial" w:cs="Arial" w:eastAsia="Arial" w:hAnsi="Arial"/>
          <w:sz w:val="18"/>
          <w:szCs w:val="18"/>
          <w:color w:val="auto"/>
        </w:rPr>
        <w:t>to help identify the most appropriate treatment pathway. We believe we are the only company to offer two commercial blood-based tests to help physicians reclassify risk of malignancy in patients with suspicious lung nodules.</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Treatment &amp; Monitoring</w:t>
      </w:r>
    </w:p>
    <w:p>
      <w:pPr>
        <w:spacing w:after="0" w:line="104" w:lineRule="exact"/>
        <w:rPr>
          <w:sz w:val="20"/>
          <w:szCs w:val="20"/>
          <w:color w:val="auto"/>
        </w:rPr>
      </w:pPr>
    </w:p>
    <w:p>
      <w:pPr>
        <w:jc w:val="both"/>
        <w:ind w:left="900" w:hanging="383"/>
        <w:spacing w:after="0" w:line="243"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GeneStrat ddPCR®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 </w:t>
      </w:r>
      <w:r>
        <w:rPr>
          <w:rFonts w:ascii="Arial" w:cs="Arial" w:eastAsia="Arial" w:hAnsi="Arial"/>
          <w:sz w:val="18"/>
          <w:szCs w:val="18"/>
          <w:color w:val="auto"/>
        </w:rPr>
        <w:t>tests, marketed as part of our new IQLung™ testing strategy, are used following diagnosis of lung cancer</w:t>
      </w:r>
      <w:r>
        <w:rPr>
          <w:rFonts w:ascii="Arial" w:cs="Arial" w:eastAsia="Arial" w:hAnsi="Arial"/>
          <w:sz w:val="18"/>
          <w:szCs w:val="18"/>
          <w:i w:val="1"/>
          <w:iCs w:val="1"/>
          <w:color w:val="auto"/>
        </w:rPr>
        <w:t xml:space="preserve"> </w:t>
      </w:r>
      <w:r>
        <w:rPr>
          <w:rFonts w:ascii="Arial" w:cs="Arial" w:eastAsia="Arial" w:hAnsi="Arial"/>
          <w:sz w:val="18"/>
          <w:szCs w:val="18"/>
          <w:color w:val="auto"/>
        </w:rPr>
        <w:t>to measure the presence of mutations in the tumor and the state of the patient’s immune system to establish the patient’s prognosis and help guide treatment decisions. The GeneStrat ddPCR tumor profiling test and the VeriStrat immune profiling test have a 36-hour average turnaround time, providing physicians with timely results to facilitate treatment decisions.</w:t>
      </w:r>
    </w:p>
    <w:p>
      <w:pPr>
        <w:spacing w:after="0" w:line="79" w:lineRule="exact"/>
        <w:rPr>
          <w:rFonts w:ascii="Arial" w:cs="Arial" w:eastAsia="Arial" w:hAnsi="Arial"/>
          <w:sz w:val="18"/>
          <w:szCs w:val="18"/>
          <w:color w:val="auto"/>
        </w:rPr>
      </w:pPr>
    </w:p>
    <w:p>
      <w:pPr>
        <w:jc w:val="both"/>
        <w:ind w:left="900" w:hanging="383"/>
        <w:spacing w:after="0" w:line="28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GeneStrat NGS™ (NGS) </w:t>
      </w:r>
      <w:r>
        <w:rPr>
          <w:rFonts w:ascii="Arial" w:cs="Arial" w:eastAsia="Arial" w:hAnsi="Arial"/>
          <w:sz w:val="16"/>
          <w:szCs w:val="16"/>
          <w:color w:val="auto"/>
        </w:rPr>
        <w:t>test, also marketed as part of our new IQLung testing strategy, our 72-hour average turnaround time blood-based NGS</w:t>
      </w:r>
      <w:r>
        <w:rPr>
          <w:rFonts w:ascii="Arial" w:cs="Arial" w:eastAsia="Arial" w:hAnsi="Arial"/>
          <w:sz w:val="16"/>
          <w:szCs w:val="16"/>
          <w:i w:val="1"/>
          <w:iCs w:val="1"/>
          <w:color w:val="auto"/>
        </w:rPr>
        <w:t xml:space="preserve"> </w:t>
      </w:r>
      <w:r>
        <w:rPr>
          <w:rFonts w:ascii="Arial" w:cs="Arial" w:eastAsia="Arial" w:hAnsi="Arial"/>
          <w:sz w:val="16"/>
          <w:szCs w:val="16"/>
          <w:color w:val="auto"/>
        </w:rPr>
        <w:t>test, was launched in November 2021 to a select group of physicians, with national launch in January 2022. The 52-gene panel includes guideline recommended mutations to help physicians treating advanced-stage lung cancer patients identify targeted therapy mutations, such as EGFR, ALK, KRAS, MET, NTRK, ERBB2, and others, and delivers them in an expedited timeframe so patient treatment can begin sooner.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Tests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operate and have commercialized the Biodesix WorkSafe testing program, under which the Company offers three SARS-CoV-2 tests:</w:t>
      </w:r>
    </w:p>
    <w:p>
      <w:pPr>
        <w:spacing w:after="0" w:line="104" w:lineRule="exact"/>
        <w:rPr>
          <w:sz w:val="20"/>
          <w:szCs w:val="20"/>
          <w:color w:val="auto"/>
        </w:rPr>
      </w:pPr>
    </w:p>
    <w:p>
      <w:pPr>
        <w:jc w:val="both"/>
        <w:ind w:left="900" w:hanging="383"/>
        <w:spacing w:after="0" w:line="24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FDA EUA authorized to be performed by Clinical Laboratory Institute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infection by the SARS-CoV-2 virus.</w:t>
      </w:r>
    </w:p>
    <w:p>
      <w:pPr>
        <w:spacing w:after="0" w:line="7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FDA EUA authorized, intended for detecting a B-cell immune response to</w:t>
      </w:r>
      <w:r>
        <w:rPr>
          <w:rFonts w:ascii="Arial" w:cs="Arial" w:eastAsia="Arial" w:hAnsi="Arial"/>
          <w:sz w:val="18"/>
          <w:szCs w:val="18"/>
          <w:i w:val="1"/>
          <w:iCs w:val="1"/>
          <w:color w:val="auto"/>
        </w:rPr>
        <w:t xml:space="preserve"> </w:t>
      </w:r>
      <w:r>
        <w:rPr>
          <w:rFonts w:ascii="Arial" w:cs="Arial" w:eastAsia="Arial" w:hAnsi="Arial"/>
          <w:sz w:val="18"/>
          <w:szCs w:val="18"/>
          <w:color w:val="auto"/>
        </w:rPr>
        <w:t>SARS-CoV-2, indicating recent or prior infection.</w:t>
      </w:r>
    </w:p>
    <w:p>
      <w:pPr>
        <w:spacing w:after="0" w:line="62" w:lineRule="exact"/>
        <w:rPr>
          <w:rFonts w:ascii="Arial" w:cs="Arial" w:eastAsia="Arial" w:hAnsi="Arial"/>
          <w:sz w:val="18"/>
          <w:szCs w:val="18"/>
          <w:color w:val="auto"/>
        </w:rPr>
      </w:pPr>
    </w:p>
    <w:p>
      <w:pPr>
        <w:jc w:val="both"/>
        <w:ind w:left="900" w:hanging="383"/>
        <w:spacing w:after="0" w:line="243"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cPass™ SARS-CoV-2 Neutralization Antibody </w:t>
      </w:r>
      <w:r>
        <w:rPr>
          <w:rFonts w:ascii="Arial" w:cs="Arial" w:eastAsia="Arial" w:hAnsi="Arial"/>
          <w:sz w:val="18"/>
          <w:szCs w:val="18"/>
          <w:color w:val="auto"/>
        </w:rPr>
        <w:t>test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the first blood-based surrogate neutralizing antibody test with FDA EUA and uses</w:t>
      </w:r>
      <w:r>
        <w:rPr>
          <w:rFonts w:ascii="Arial" w:cs="Arial" w:eastAsia="Arial" w:hAnsi="Arial"/>
          <w:sz w:val="18"/>
          <w:szCs w:val="18"/>
          <w:i w:val="1"/>
          <w:iCs w:val="1"/>
          <w:color w:val="auto"/>
        </w:rPr>
        <w:t xml:space="preserve"> </w:t>
      </w:r>
      <w:r>
        <w:rPr>
          <w:rFonts w:ascii="Arial" w:cs="Arial" w:eastAsia="Arial" w:hAnsi="Arial"/>
          <w:sz w:val="18"/>
          <w:szCs w:val="18"/>
          <w:color w:val="auto"/>
        </w:rPr>
        <w:t>ELISA technology to qualitatively detect circulating neutralizing antibodies to the receptor binding domain (RBD) in the spike protein of SARS-CoV-2 that are produced in response to a previous SARS-CoV-2 infection. This test was commercially introduced in partnership with GenScript Biotech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1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These tests under the Biodesix WorkSafe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 The Company’s testing services are made available through its clinical laboratories.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Condensed Financial Statements should be read in conjunction with the audited Financial Statements included in the Company’s Annual Report on Form 10-K for the year ended December 31, 2021.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December 31, 2021 was derived from the audited financial statements.</w:t>
      </w:r>
    </w:p>
    <w:p>
      <w:pPr>
        <w:spacing w:after="0" w:line="8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As of June 30, 2022, we maintained cash and cash equivalents of $28.7 million, inclusive of $5.1 million in restricted cash (see </w:t>
      </w:r>
      <w:r>
        <w:rPr>
          <w:rFonts w:ascii="Arial" w:cs="Arial" w:eastAsia="Arial" w:hAnsi="Arial"/>
          <w:sz w:val="17"/>
          <w:szCs w:val="17"/>
          <w:i w:val="1"/>
          <w:iCs w:val="1"/>
          <w:color w:val="auto"/>
        </w:rPr>
        <w:t>Restricted Cash</w:t>
      </w:r>
      <w:r>
        <w:rPr>
          <w:rFonts w:ascii="Arial" w:cs="Arial" w:eastAsia="Arial" w:hAnsi="Arial"/>
          <w:sz w:val="17"/>
          <w:szCs w:val="17"/>
          <w:color w:val="auto"/>
        </w:rPr>
        <w:t xml:space="preserve"> below), and we have $23.2 million in outstanding aggregate principal amount on our 2021 Term Loan and Promissory Note One.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 lung diagnostic testing and COVID-19 testing, and (ii) providing biopharmaceutical companies with development and testing services. In accordance with Accounting Standards Update 2014-15 (ASC Topic 205-40), </w:t>
      </w:r>
      <w:r>
        <w:rPr>
          <w:rFonts w:ascii="Arial" w:cs="Arial" w:eastAsia="Arial" w:hAnsi="Arial"/>
          <w:sz w:val="17"/>
          <w:szCs w:val="17"/>
          <w:i w:val="1"/>
          <w:iCs w:val="1"/>
          <w:color w:val="auto"/>
        </w:rPr>
        <w:t>Presentation of Financial Statements - Going Concern: Disclosure of Uncertainties about an Entity’s Ability to Continue as a</w:t>
      </w:r>
      <w:r>
        <w:rPr>
          <w:rFonts w:ascii="Arial" w:cs="Arial" w:eastAsia="Arial" w:hAnsi="Arial"/>
          <w:sz w:val="17"/>
          <w:szCs w:val="17"/>
          <w:color w:val="auto"/>
        </w:rPr>
        <w:t xml:space="preserve"> </w:t>
      </w:r>
      <w:r>
        <w:rPr>
          <w:rFonts w:ascii="Arial" w:cs="Arial" w:eastAsia="Arial" w:hAnsi="Arial"/>
          <w:sz w:val="17"/>
          <w:szCs w:val="17"/>
          <w:i w:val="1"/>
          <w:iCs w:val="1"/>
          <w:color w:val="auto"/>
        </w:rPr>
        <w:t>Going Concern</w:t>
      </w:r>
      <w:r>
        <w:rPr>
          <w:rFonts w:ascii="Arial" w:cs="Arial" w:eastAsia="Arial" w:hAnsi="Arial"/>
          <w:sz w:val="17"/>
          <w:szCs w:val="17"/>
          <w:color w:val="auto"/>
        </w:rPr>
        <w:t>, the Company is required to evaluate whether there is substantial doubt about its ability to continue as a going concern each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including interim periods. In evaluating the Company’s ability to continue as a going concern, management projected its cash flow sources, including the debt and equity funding and amendments to the 2021 Term Loan and Integrated Diagnostics, Inc. (Indi) Agreement,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10-Q in considering whether it has the ability to meet its obligations.</w:t>
      </w:r>
    </w:p>
    <w:p>
      <w:pPr>
        <w:spacing w:after="0" w:line="7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Our ability to meet our obligations as they come due may be impacted by our ability to remain compliant with financial covenants in our loan agreements (see </w:t>
      </w:r>
      <w:r>
        <w:rPr>
          <w:rFonts w:ascii="Arial" w:cs="Arial" w:eastAsia="Arial" w:hAnsi="Arial"/>
          <w:sz w:val="18"/>
          <w:szCs w:val="18"/>
          <w:i w:val="1"/>
          <w:iCs w:val="1"/>
          <w:color w:val="auto"/>
        </w:rPr>
        <w:t>Note 6 – Debt</w:t>
      </w:r>
      <w:r>
        <w:rPr>
          <w:rFonts w:ascii="Arial" w:cs="Arial" w:eastAsia="Arial" w:hAnsi="Arial"/>
          <w:sz w:val="18"/>
          <w:szCs w:val="18"/>
          <w:color w:val="auto"/>
        </w:rPr>
        <w:t>) or to obtain waivers or amendments that impact the related covenants. Due to the continued uncertainty caused by the COVID-19 pandemic, significant risks remain with respect to our ability to meet these thresholds and any material adverse effect on our revenues, income and expenses could impact our ability to maintain compliance with these covenants.</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Based on our current operating plan, unless we continue to raise additional capital (debt or equity) or obtain a waiver from complying with such financial covenants, we expect that we will be unable to maintain our financial covenants under our existing loan agreements during the next twelve months, which could result in an Event of Default, as defined, causing an acceleration and repayment of the outstanding balances. We have taken steps to improve our liquidity through raising debt and equity capital during 2022, amendments to our 2021 Term Loan, and have also undertaken several proactive measures to mitigate the financial and operational impacts of the COVID-19 pandemic through the reduction of planned capital expenditures and certain operating expenses but we do not expect that these actions alone will be sufficient to maintain our financial covenants. During the three months ended June 30, 2022, we entered into a $25.0 million debt facility with funding for up to $25.0 million in two tranches. On May 9, 2022, we closed on the first tranche for gross proceeds of $15.0 million (approximately $12.8 million, net, after deducting debt issuance costs and original issue discounts (OID)). We also amended the Indi Agreement to delay near term cash requirements and extend the period of milestone payments. To maintain an adequate amount of available liquidity and execute our current operating plan, we will need to continue to raise additional funds from external sources, such as through the issuance of equity or debt securities; however, we have not secured such funding at the time of this filing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operations could include a hiring freeze, reductions in our workforce, reduction in cash compensation, deferring capital expenditures, and reducing other operating costs.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revenues, results of operations and cash flows have been materially adversely impacted by the items noted above. Our current operating plan, which is in part determined based on our most recent historical actual results and trends, along with the items noted above, raises substantial doubt about the Company’s ability to continue as a going concern. Our unaudited financial statements have been prepared assuming we will continue as a going concern and do not include any adjustments that might be necessary should we be unable to continue as a going concern.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Restricted cash consists of the $5.0 million cash collateralized letter of credit for the benefit of the landlord (lessor) to secure the performance of the Company’s obligations under an operating lease agreement with Centennial Valley Properties I, LLC (see </w:t>
      </w:r>
      <w:r>
        <w:rPr>
          <w:rFonts w:ascii="Arial" w:cs="Arial" w:eastAsia="Arial" w:hAnsi="Arial"/>
          <w:sz w:val="18"/>
          <w:szCs w:val="18"/>
          <w:i w:val="1"/>
          <w:iCs w:val="1"/>
          <w:color w:val="auto"/>
        </w:rPr>
        <w:t>Note 7 – Leases</w:t>
      </w:r>
      <w:r>
        <w:rPr>
          <w:rFonts w:ascii="Arial" w:cs="Arial" w:eastAsia="Arial" w:hAnsi="Arial"/>
          <w:sz w:val="18"/>
          <w:szCs w:val="18"/>
          <w:color w:val="auto"/>
        </w:rPr>
        <w:t>). In addition, $0.1 million of deposits related to the Company’s corporate credit cards are reported within ‘Other current assets’ in the balance sheets as of June 30, 2022 and December 31, 2021,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Uncertainties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Substantially all of the Company’s cash and cash equivalents are deposited with two major financial institutions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Several of the components for certain of the Company's sample collection kits, test reagents, and test systems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a discussion of credit risk concentration of accounts receivable as of June 30, 2022 and December 31, 2021, see </w:t>
      </w:r>
      <w:r>
        <w:rPr>
          <w:rFonts w:ascii="Arial" w:cs="Arial" w:eastAsia="Arial" w:hAnsi="Arial"/>
          <w:sz w:val="18"/>
          <w:szCs w:val="18"/>
          <w:i w:val="1"/>
          <w:iCs w:val="1"/>
          <w:color w:val="auto"/>
        </w:rPr>
        <w:t>Note 9 – Revenue and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 Credit Concentration</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Inventory consists primarily of material supplies, which are consumed in the performance of testing services and charged to ‘Direct costs and expenses’. Inventory is stated at cost and reported within ‘Other current assets’ in the balance sheet and was $1.9 million and $2.9 million as of June 30, 2022 and December 31, 2021,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hierarchy and the related inputs are as follows:</w:t>
      </w:r>
    </w:p>
    <w:p>
      <w:pPr>
        <w:spacing w:after="0" w:line="100" w:lineRule="exact"/>
        <w:rPr>
          <w:sz w:val="20"/>
          <w:szCs w:val="20"/>
          <w:color w:val="auto"/>
        </w:rPr>
      </w:pPr>
    </w:p>
    <w:p>
      <w:pPr>
        <w:ind w:left="820"/>
        <w:spacing w:after="0"/>
        <w:tabs>
          <w:tab w:leader="none" w:pos="6480" w:val="left"/>
        </w:tabs>
        <w:rPr>
          <w:sz w:val="20"/>
          <w:szCs w:val="20"/>
          <w:color w:val="auto"/>
        </w:rPr>
      </w:pPr>
      <w:r>
        <w:rPr>
          <w:rFonts w:ascii="Arial" w:cs="Arial" w:eastAsia="Arial" w:hAnsi="Arial"/>
          <w:sz w:val="18"/>
          <w:szCs w:val="18"/>
          <w:b w:val="1"/>
          <w:bCs w:val="1"/>
          <w:color w:val="auto"/>
        </w:rPr>
        <w:t>Level</w:t>
      </w:r>
      <w:r>
        <w:rPr>
          <w:sz w:val="20"/>
          <w:szCs w:val="20"/>
          <w:color w:val="auto"/>
        </w:rPr>
        <w:tab/>
      </w:r>
      <w:r>
        <w:rPr>
          <w:rFonts w:ascii="Arial" w:cs="Arial" w:eastAsia="Arial" w:hAnsi="Arial"/>
          <w:sz w:val="18"/>
          <w:szCs w:val="18"/>
          <w:b w:val="1"/>
          <w:bCs w:val="1"/>
          <w:color w:val="auto"/>
        </w:rPr>
        <w:t>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 w:lineRule="exact"/>
        <w:rPr>
          <w:sz w:val="20"/>
          <w:szCs w:val="20"/>
          <w:color w:val="auto"/>
        </w:rPr>
      </w:pPr>
    </w:p>
    <w:p>
      <w:pPr>
        <w:ind w:left="2280" w:hanging="1304"/>
        <w:spacing w:after="0"/>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Unadjusted quoted prices in active markets for identical assets and liabilities.</w:t>
      </w:r>
    </w:p>
    <w:p>
      <w:pPr>
        <w:ind w:left="2280" w:hanging="1304"/>
        <w:spacing w:after="0" w:line="234"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Unadjusted quoted prices in active markets for similar assets and liabilities;</w:t>
      </w:r>
    </w:p>
    <w:p>
      <w:pPr>
        <w:ind w:left="2280" w:right="1720"/>
        <w:spacing w:after="0" w:line="234" w:lineRule="auto"/>
        <w:rPr>
          <w:rFonts w:ascii="Arial" w:cs="Arial" w:eastAsia="Arial" w:hAnsi="Arial"/>
          <w:sz w:val="18"/>
          <w:szCs w:val="18"/>
          <w:color w:val="auto"/>
        </w:rPr>
      </w:pPr>
      <w:r>
        <w:rPr>
          <w:rFonts w:ascii="Arial" w:cs="Arial" w:eastAsia="Arial" w:hAnsi="Arial"/>
          <w:sz w:val="18"/>
          <w:szCs w:val="18"/>
          <w:color w:val="auto"/>
        </w:rPr>
        <w:t>Unadjusted quoted prices for identical or similar assets or liabilities in markets that are not active; or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280" w:hanging="1304"/>
        <w:spacing w:after="0"/>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Unobservable inputs for the asset or liability.</w:t>
      </w:r>
    </w:p>
    <w:p>
      <w:pPr>
        <w:spacing w:after="0" w:line="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4 — Fair Value</w:t>
      </w:r>
      <w:r>
        <w:rPr>
          <w:rFonts w:ascii="Arial" w:cs="Arial" w:eastAsia="Arial" w:hAnsi="Arial"/>
          <w:sz w:val="18"/>
          <w:szCs w:val="18"/>
          <w:color w:val="auto"/>
        </w:rPr>
        <w:t xml:space="preserve"> for further discussion related to estimated fair value measurements.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February 2016, the FASB issued Account Standard Update (ASU) No. 2016-2, Leases (ASC 842). This ASU intends to make accounting for leasing activities more transparent and comparable, and requires substantially all leases be recognized by lessees on their balance sheet as a right-of-use asset and corresponding lease liability, including leases accounted for as operating leases. In addition to other related amendments, the FASB issued ASU No. 2018-11, Leases (Topic 842): Targeted Improvements,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elected this transition method and adopted ASC 842 on January 1, 2022 and as a result, recorded operating lease right-of-use (ROU) assets of $1.3 million, including offsetting deferred rent of $0.1 million, along with the associated operating lease liabilities of $1.3 million. On January 1, 2022, the Company did not have any finance leases. The adoption of ASC 842 did not result in a cumulative effect adjustment to beginning retained earnings, and did not materially affect the Company's statement of operations, statement of stockholders' equity or statement of cash flows for the six months ended June 30,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elected the following practical expedients permitted under the transition guidance within the new standard:</w:t>
      </w:r>
    </w:p>
    <w:p>
      <w:pPr>
        <w:spacing w:after="0" w:line="104"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Package of practical expedients which allows the Company to carry forward the historical lease classification;</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Hindsight practical expedient which allows the Company to use hindsight in determining the lease term, in assessing purchase options, and in assessing impairment of ROU assets;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Short-term lease practical expedient which allows the Company to capitalize only those leases with an initial term of twelve months or more, and;</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practical expedient to account for lease and non-lease components (such as common area maintenance, utilities, insurance and taxes) as a single lease component for all classes of underlying assets.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Management determines if an arrangement is a lease at inception or upon modification of a contract. Leases are classified as either financing or operating, with classification affecting the pattern of expense recognition in the statements of operations. When determining whether a lease is a finance lease or an operating lease, ASC 842 does not specifically define criteria to determine the “major part of remaining economic life of the underlying asset” and “substantially all of the fair value of the underlying asset.” For lease classification determination, Management continues to use (i) 75% or greater to determine whether the lease term is a major part of the remaining economic life of the underlying asset and (ii) 90% or greater to determine whether the present value of the sum of lease payments is substantially all of the fair value of the underlying asset.</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ROU assets represent the Company's right to use an underlying asset for the lease term. Lease liabilities represent the Company's obligation to make lease payments under the lease. Operating lease ROU assets and liabilities are recognized at the lease commencement date based on the present value of lease payments over the lease term. In determining the present value of lease payments, the Company uses either the rate implicit in the lease or its incremental borrowing rate, as applicable, based on the information available at lease commencement date. The Company applies the estimated incremental borrowing rates on a lease-by-lease level based on the economic environment associated with the lease. The operating lease ROU asset also includes any lease prepayments, net of lease incentives. Certain of the Company's leases include options to extend or terminate the lease. As leases approach maturity, the Company considers various factors such as market conditions and the terms of any renewal and termination options that may exist to determine whether we will renew or terminate the lease, as such, we generally do not include renewal or termination options in our lease terms for calculating our lease liability, as the options allow us to maintain operational flexibility and we are not reasonably certain we will exercise these options at the time of the lease commencement. The Company's lease agreements do not contain any material residual value guarantees or restrictive covenants. Lease expense for lease payments of operating leases is recognized on a straight-line basis over the term of the lease. The Company uses the long-lived assets impairment guidance to determine recognition and measurement of an ROU asset impairment, if any. The Company monitors for events or changes in circumstances that require a reassessment.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and disclosures required by this new standard are contained in </w:t>
      </w:r>
      <w:r>
        <w:rPr>
          <w:rFonts w:ascii="Arial" w:cs="Arial" w:eastAsia="Arial" w:hAnsi="Arial"/>
          <w:sz w:val="18"/>
          <w:szCs w:val="18"/>
          <w:i w:val="1"/>
          <w:iCs w:val="1"/>
          <w:color w:val="auto"/>
        </w:rPr>
        <w:t>Note 7 — Leases</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 Financial Instruments-Credit Losses: Measurement of Credit Losses on Financial Instruments</w:t>
      </w:r>
      <w:r>
        <w:rPr>
          <w:rFonts w:ascii="Arial" w:cs="Arial" w:eastAsia="Arial" w:hAnsi="Arial"/>
          <w:sz w:val="18"/>
          <w:szCs w:val="18"/>
          <w:color w:val="auto"/>
        </w:rPr>
        <w:t xml:space="preserve"> (ASC Topic 326). This ASU requires measurement and recognition of expected credit losses for financial assets. This guidance will become effective for the Company beginning January 1, 2023 with early adoption permitted. The Company is currently evaluating this guidance and assessing the overall impact on its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borrowing instruments are recorded at their carrying values in the balance sheets, which may differ from their respective fair values. The difference between the carrying value and fair value of outstanding borrowings as of June 30, 2022 is due to the debt issuance costs and OID netted against Promissory Note One entered into with Streeterville Capital, LLC, in May 2022. The carrying value of outstanding borrowings as of December 31, 2021, approximates fair value based on interest rates available at that time for similar borrowings. The table below presents the carrying and fair values of outstanding borrowings, which are classified as Level 2, as of the dates indicated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As of</w:t>
            </w: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910"/>
              <w:spacing w:after="0" w:line="196" w:lineRule="exact"/>
              <w:rPr>
                <w:sz w:val="20"/>
                <w:szCs w:val="20"/>
                <w:color w:val="auto"/>
              </w:rPr>
            </w:pPr>
            <w:r>
              <w:rPr>
                <w:rFonts w:ascii="Arial" w:cs="Arial" w:eastAsia="Arial" w:hAnsi="Arial"/>
                <w:sz w:val="18"/>
                <w:szCs w:val="18"/>
                <w:b w:val="1"/>
                <w:bCs w:val="1"/>
                <w:color w:val="auto"/>
              </w:rPr>
              <w:t>June 30, 2022</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710"/>
              <w:spacing w:after="0" w:line="196" w:lineRule="exact"/>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17"/>
                <w:szCs w:val="17"/>
                <w:color w:val="auto"/>
              </w:rPr>
            </w:pPr>
          </w:p>
        </w:tc>
      </w:tr>
      <w:tr>
        <w:trPr>
          <w:trHeight w:val="223"/>
        </w:trPr>
        <w:tc>
          <w:tcPr>
            <w:tcW w:w="430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Carrying Value</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Carrying Value</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r>
      <w:tr>
        <w:trPr>
          <w:trHeight w:val="196"/>
        </w:trPr>
        <w:tc>
          <w:tcPr>
            <w:tcW w:w="4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Borrowings</w:t>
            </w: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20,367</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23,317</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10,012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10,012</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liabilities that are measured and recorded at estimated fair value on a recurring basis consist of our contingent consideration associated with our previous acquisition of Indi which is accounted for as a liability and remeasured through our statements of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table below presents the reported fair values of contingent consideration, which is classified as Level 3 in the fair value hierarchy, as of the dates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June 30, 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December 31, 2021</w:t>
            </w:r>
          </w:p>
        </w:tc>
        <w:tc>
          <w:tcPr>
            <w:tcW w:w="100" w:type="dxa"/>
            <w:vAlign w:val="bottom"/>
          </w:tcPr>
          <w:p>
            <w:pPr>
              <w:spacing w:after="0"/>
              <w:rPr>
                <w:sz w:val="19"/>
                <w:szCs w:val="19"/>
                <w:color w:val="auto"/>
              </w:rPr>
            </w:pP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portion of contingent consideration</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8,151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17,764</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16,028</w:t>
            </w:r>
          </w:p>
        </w:tc>
        <w:tc>
          <w:tcPr>
            <w:tcW w:w="100" w:type="dxa"/>
            <w:vAlign w:val="bottom"/>
          </w:tcPr>
          <w:p>
            <w:pPr>
              <w:spacing w:after="0"/>
              <w:rPr>
                <w:sz w:val="17"/>
                <w:szCs w:val="17"/>
                <w:color w:val="auto"/>
              </w:rPr>
            </w:pPr>
          </w:p>
        </w:tc>
      </w:tr>
      <w:tr>
        <w:trPr>
          <w:trHeight w:val="236"/>
        </w:trPr>
        <w:tc>
          <w:tcPr>
            <w:tcW w:w="73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contingent consideration</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33,792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contingent consideration for the six months ended June 30, 2022 and 2021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For the six months</w:t>
            </w:r>
          </w:p>
        </w:tc>
        <w:tc>
          <w:tcPr>
            <w:tcW w:w="10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ended June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 Rollforward</w:t>
            </w: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r>
      <w:tr>
        <w:trPr>
          <w:trHeight w:val="196"/>
        </w:trPr>
        <w:tc>
          <w:tcPr>
            <w:tcW w:w="79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Beginning balances - January 1</w:t>
            </w: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33,792</w:t>
            </w:r>
          </w:p>
        </w:tc>
        <w:tc>
          <w:tcPr>
            <w:tcW w:w="100" w:type="dxa"/>
            <w:vAlign w:val="bottom"/>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29,932</w:t>
            </w:r>
          </w:p>
        </w:tc>
        <w:tc>
          <w:tcPr>
            <w:tcW w:w="100" w:type="dxa"/>
            <w:vAlign w:val="bottom"/>
            <w:shd w:val="clear" w:color="auto" w:fill="CCEEFF"/>
          </w:tcPr>
          <w:p>
            <w:pPr>
              <w:spacing w:after="0"/>
              <w:rPr>
                <w:sz w:val="17"/>
                <w:szCs w:val="17"/>
                <w:color w:val="auto"/>
              </w:rPr>
            </w:pPr>
          </w:p>
        </w:tc>
      </w:tr>
      <w:tr>
        <w:trPr>
          <w:trHeight w:val="203"/>
        </w:trPr>
        <w:tc>
          <w:tcPr>
            <w:tcW w:w="8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Changes in fair value</w:t>
            </w:r>
          </w:p>
        </w:tc>
        <w:tc>
          <w:tcPr>
            <w:tcW w:w="30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1,622</w:t>
            </w:r>
          </w:p>
        </w:tc>
        <w:tc>
          <w:tcPr>
            <w:tcW w:w="100" w:type="dxa"/>
            <w:vAlign w:val="bottom"/>
          </w:tcPr>
          <w:p>
            <w:pPr>
              <w:spacing w:after="0"/>
              <w:rPr>
                <w:sz w:val="17"/>
                <w:szCs w:val="17"/>
                <w:color w:val="auto"/>
              </w:rPr>
            </w:pPr>
          </w:p>
        </w:tc>
      </w:tr>
      <w:tr>
        <w:trPr>
          <w:trHeight w:val="203"/>
        </w:trPr>
        <w:tc>
          <w:tcPr>
            <w:tcW w:w="8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7"/>
                <w:szCs w:val="17"/>
                <w:color w:val="auto"/>
              </w:rPr>
            </w:pPr>
          </w:p>
        </w:tc>
      </w:tr>
      <w:tr>
        <w:trPr>
          <w:trHeight w:val="203"/>
        </w:trPr>
        <w:tc>
          <w:tcPr>
            <w:tcW w:w="8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Loss on extinguishment of liabilities</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8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Payments of contingent consideration</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(6,625 )</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196"/>
        </w:trPr>
        <w:tc>
          <w:tcPr>
            <w:tcW w:w="8180" w:type="dxa"/>
            <w:vAlign w:val="bottom"/>
            <w:tcBorders>
              <w:top w:val="single" w:sz="8" w:color="CCEEFF"/>
            </w:tcBorders>
            <w:gridSpan w:val="2"/>
          </w:tcPr>
          <w:p>
            <w:pPr>
              <w:ind w:left="20"/>
              <w:spacing w:after="0" w:line="182" w:lineRule="exact"/>
              <w:rPr>
                <w:sz w:val="20"/>
                <w:szCs w:val="20"/>
                <w:color w:val="auto"/>
              </w:rPr>
            </w:pPr>
            <w:r>
              <w:rPr>
                <w:rFonts w:ascii="Arial" w:cs="Arial" w:eastAsia="Arial" w:hAnsi="Arial"/>
                <w:sz w:val="18"/>
                <w:szCs w:val="18"/>
                <w:color w:val="auto"/>
              </w:rPr>
              <w:t>Ending balances - June 30</w:t>
            </w:r>
          </w:p>
        </w:tc>
        <w:tc>
          <w:tcPr>
            <w:tcW w:w="300" w:type="dxa"/>
            <w:vAlign w:val="bottom"/>
            <w:tcBorders>
              <w:top w:val="single" w:sz="8" w:color="auto"/>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31,067</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31,843</w:t>
            </w:r>
          </w:p>
        </w:tc>
        <w:tc>
          <w:tcPr>
            <w:tcW w:w="100" w:type="dxa"/>
            <w:vAlign w:val="bottom"/>
            <w:tcBorders>
              <w:top w:val="single" w:sz="8" w:color="CCEEFF"/>
            </w:tcBorders>
          </w:tcPr>
          <w:p>
            <w:pPr>
              <w:spacing w:after="0"/>
              <w:rPr>
                <w:sz w:val="17"/>
                <w:szCs w:val="17"/>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-159385</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requires additional consideration to be paid by the Company to such shareholders upon attainment of a three-consecutive month gross margin target of $2.0 million within the seven-year period after the acquisition date. Under the terms of the original agreement, when the gross margin target was met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met the gross margin target of $2.0 million for three consecutive months during the three months ended June 30, 2021. The Company entered into an amendment to the original agreement in August 2021 in which all parties agreed to forgo the issuance of common stock and agreed that the Company will in lieu thereof make six quarterly installments of approximately $4.6 million each beginning in January 2022 and a final payment of approximately $9.3 million in July 2023 for a total of $37.0 million. The aggregate amount of payments owed by the Company under this amendment is the same as if Indi had exercised the put right or the Company had exercised the call right provided for in the original agreement.</w:t>
      </w:r>
    </w:p>
    <w:p>
      <w:pPr>
        <w:spacing w:after="0" w:line="6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April 7, 2022, the Company entered into Amendment No. 3 to the Indi APA in which the parties agreed to restructure the milestone payments whereby the Company will make five quarterly installments of $2.0 million each beginning in April 2022, three quarterly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are subject to consent from our lender under the 2021 Term Loan and related amendments (see </w:t>
      </w:r>
      <w:r>
        <w:rPr>
          <w:rFonts w:ascii="Arial" w:cs="Arial" w:eastAsia="Arial" w:hAnsi="Arial"/>
          <w:sz w:val="18"/>
          <w:szCs w:val="18"/>
          <w:i w:val="1"/>
          <w:iCs w:val="1"/>
          <w:color w:val="auto"/>
        </w:rPr>
        <w:t>Note 6 - Debt</w:t>
      </w:r>
      <w:r>
        <w:rPr>
          <w:rFonts w:ascii="Arial" w:cs="Arial" w:eastAsia="Arial" w:hAnsi="Arial"/>
          <w:sz w:val="18"/>
          <w:szCs w:val="18"/>
          <w:color w:val="auto"/>
        </w:rPr>
        <w:t>). We have obtained lender consent for contractual payments through the third milestone and interest payment of $2.1 million paid in July 2022.</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contingent consideration liability is accounted for at fair value and subject to certain unobservable inputs. The significant unobservable inputs used in the measurement of the fair value include the probability of successful achievement of the specified product gross margin targets, the period in which the targets were expected to be achieved, and discount rates which ranged from 11% to 16%. As a result of the achievement of the gross margin target, the only remaining significant unobservable input used in the measurement of fair value includes the discount rate since all other inputs became fixed and determinable. Significant increases or decreases in the discount rate would result in a significantly higher or lower fair value measurement. During the three months ended June 30, 2022, the Company recorded $1.1 million in interest expense due to the passage of time and fixed payment schedule, partially offset by a reduction to the contingent consideration balance of $1.0 million due to an increase in the discount rate to reflect current market and Company specific conditions, resulting in $0.1 million, net recorded as ‘Interest expense’ in the statements of operations.</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evaluated Amendment No. 3 to the Indi APA in accordance with applicable accounting standards under U.S. GAAP which resulted in the extinguishment of the original instrument due to the substantially different terms. As a result, during the three months ended June 30, 2022, we recorded a loss on extinguishment of $2.9 million in the statements of operations.</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Contingent consideration expected to be paid in the next twelve months is recorded in the balance sheets as ‘Current portion of contingent consideration’ while the remaining amount to be paid is recorded as ‘Contingent consideration’ within non-current liabilities. The net change to contingent consideration through the date the gross margin target was met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Non-Financial Assets and Liabilities</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Our non-financial assets, which primarily consist of property and equipment, goodwill, and other intangible assets, are not required to be carried at fair value on a recurring basis and are reported at carrying value. There were no changes to the valuation methods during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Arial" w:cs="Arial" w:eastAsia="Arial" w:hAnsi="Arial"/>
                <w:sz w:val="18"/>
                <w:szCs w:val="18"/>
                <w:b w:val="1"/>
                <w:bCs w:val="1"/>
                <w:color w:val="auto"/>
              </w:rPr>
              <w:t>Note 5 – Supplementary Balance Sheet Information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0"/>
        </w:trPr>
        <w:tc>
          <w:tcPr>
            <w:tcW w:w="7340" w:type="dxa"/>
            <w:vAlign w:val="bottom"/>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2"/>
              </w:rPr>
              <w:t>June 30, 2022</w:t>
            </w:r>
          </w:p>
        </w:tc>
        <w:tc>
          <w:tcPr>
            <w:tcW w:w="18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2021</w:t>
            </w:r>
          </w:p>
        </w:tc>
      </w:tr>
      <w:tr>
        <w:trPr>
          <w:trHeight w:val="196"/>
        </w:trPr>
        <w:tc>
          <w:tcPr>
            <w:tcW w:w="73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Lab equipment</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6,725</w:t>
            </w:r>
          </w:p>
        </w:tc>
        <w:tc>
          <w:tcPr>
            <w:tcW w:w="3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6,784</w:t>
            </w:r>
          </w:p>
        </w:tc>
        <w:tc>
          <w:tcPr>
            <w:tcW w:w="100" w:type="dxa"/>
            <w:vAlign w:val="bottom"/>
            <w:shd w:val="clear" w:color="auto" w:fill="CFF0FC"/>
          </w:tcPr>
          <w:p>
            <w:pPr>
              <w:spacing w:after="0"/>
              <w:rPr>
                <w:sz w:val="17"/>
                <w:szCs w:val="17"/>
                <w:color w:val="auto"/>
              </w:rPr>
            </w:pPr>
          </w:p>
        </w:tc>
      </w:tr>
      <w:tr>
        <w:trPr>
          <w:trHeight w:val="203"/>
        </w:trPr>
        <w:tc>
          <w:tcPr>
            <w:tcW w:w="734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2,365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2,339</w:t>
            </w:r>
          </w:p>
        </w:tc>
        <w:tc>
          <w:tcPr>
            <w:tcW w:w="100" w:type="dxa"/>
            <w:vAlign w:val="bottom"/>
          </w:tcPr>
          <w:p>
            <w:pPr>
              <w:spacing w:after="0"/>
              <w:rPr>
                <w:sz w:val="17"/>
                <w:szCs w:val="17"/>
                <w:color w:val="auto"/>
              </w:rPr>
            </w:pPr>
          </w:p>
        </w:tc>
      </w:tr>
      <w:tr>
        <w:trPr>
          <w:trHeight w:val="203"/>
        </w:trPr>
        <w:tc>
          <w:tcPr>
            <w:tcW w:w="7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703</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7"/>
                <w:szCs w:val="17"/>
                <w:color w:val="auto"/>
              </w:rPr>
            </w:pPr>
          </w:p>
        </w:tc>
      </w:tr>
      <w:tr>
        <w:trPr>
          <w:trHeight w:val="203"/>
        </w:trPr>
        <w:tc>
          <w:tcPr>
            <w:tcW w:w="734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391</w:t>
            </w:r>
          </w:p>
        </w:tc>
        <w:tc>
          <w:tcPr>
            <w:tcW w:w="100" w:type="dxa"/>
            <w:vAlign w:val="bottom"/>
          </w:tcPr>
          <w:p>
            <w:pPr>
              <w:spacing w:after="0"/>
              <w:rPr>
                <w:sz w:val="17"/>
                <w:szCs w:val="17"/>
                <w:color w:val="auto"/>
              </w:rPr>
            </w:pPr>
          </w:p>
        </w:tc>
      </w:tr>
      <w:tr>
        <w:trPr>
          <w:trHeight w:val="203"/>
        </w:trPr>
        <w:tc>
          <w:tcPr>
            <w:tcW w:w="7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Software</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7"/>
                <w:szCs w:val="17"/>
                <w:color w:val="auto"/>
              </w:rPr>
            </w:pPr>
          </w:p>
        </w:tc>
      </w:tr>
      <w:tr>
        <w:trPr>
          <w:trHeight w:val="203"/>
        </w:trPr>
        <w:tc>
          <w:tcPr>
            <w:tcW w:w="7340" w:type="dxa"/>
            <w:vAlign w:val="bottom"/>
          </w:tcPr>
          <w:p>
            <w:pPr>
              <w:ind w:left="20"/>
              <w:spacing w:after="0" w:line="202" w:lineRule="exact"/>
              <w:rPr>
                <w:sz w:val="20"/>
                <w:szCs w:val="20"/>
                <w:color w:val="auto"/>
              </w:rPr>
            </w:pPr>
            <w:r>
              <w:rPr>
                <w:rFonts w:ascii="Arial" w:cs="Arial" w:eastAsia="Arial" w:hAnsi="Arial"/>
                <w:sz w:val="18"/>
                <w:szCs w:val="18"/>
                <w:color w:val="auto"/>
              </w:rPr>
              <w:t>Vehicles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100" w:type="dxa"/>
            <w:vAlign w:val="bottom"/>
          </w:tcPr>
          <w:p>
            <w:pPr>
              <w:spacing w:after="0"/>
              <w:rPr>
                <w:sz w:val="17"/>
                <w:szCs w:val="17"/>
                <w:color w:val="auto"/>
              </w:rPr>
            </w:pPr>
          </w:p>
        </w:tc>
      </w:tr>
      <w:tr>
        <w:trPr>
          <w:trHeight w:val="203"/>
        </w:trPr>
        <w:tc>
          <w:tcPr>
            <w:tcW w:w="73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process</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411</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10,967</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10,928</w:t>
            </w:r>
          </w:p>
        </w:tc>
        <w:tc>
          <w:tcPr>
            <w:tcW w:w="100" w:type="dxa"/>
            <w:vAlign w:val="bottom"/>
          </w:tcPr>
          <w:p>
            <w:pPr>
              <w:spacing w:after="0"/>
              <w:rPr>
                <w:sz w:val="17"/>
                <w:szCs w:val="17"/>
                <w:color w:val="auto"/>
              </w:rPr>
            </w:pPr>
          </w:p>
        </w:tc>
      </w:tr>
      <w:tr>
        <w:trPr>
          <w:trHeight w:val="203"/>
        </w:trPr>
        <w:tc>
          <w:tcPr>
            <w:tcW w:w="7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(7,017 )</w:t>
            </w:r>
          </w:p>
        </w:tc>
        <w:tc>
          <w:tcPr>
            <w:tcW w:w="18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(6,749 )</w:t>
            </w:r>
          </w:p>
        </w:tc>
      </w:tr>
      <w:tr>
        <w:trPr>
          <w:trHeight w:val="196"/>
        </w:trPr>
        <w:tc>
          <w:tcPr>
            <w:tcW w:w="73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3,950</w:t>
            </w:r>
          </w:p>
        </w:tc>
        <w:tc>
          <w:tcPr>
            <w:tcW w:w="3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4,179</w:t>
            </w:r>
          </w:p>
        </w:tc>
        <w:tc>
          <w:tcPr>
            <w:tcW w:w="100" w:type="dxa"/>
            <w:vAlign w:val="bottom"/>
            <w:tcBorders>
              <w:top w:val="single" w:sz="8" w:color="CFF0FC"/>
            </w:tcBorders>
          </w:tcPr>
          <w:p>
            <w:pPr>
              <w:spacing w:after="0"/>
              <w:rPr>
                <w:sz w:val="17"/>
                <w:szCs w:val="17"/>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-424815</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-159385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expense for the three and six months ended June 30, 2022 was $0.4 million and $0.8 million, respectively, compared to $0.2 million and $0.5 million for the three and six months ended June 30, 2021,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excluding goodwill,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5"/>
              </w:rPr>
              <w:t>June 30, 2022</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1"/>
              </w:rPr>
              <w:t>December 31, 2021</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0"/>
              </w:rPr>
              <w:t>Accumulated</w:t>
            </w:r>
          </w:p>
        </w:tc>
        <w:tc>
          <w:tcPr>
            <w:tcW w:w="1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Net Carrying</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88"/>
              </w:rPr>
              <w:t>Accumulated</w:t>
            </w:r>
          </w:p>
        </w:tc>
        <w:tc>
          <w:tcPr>
            <w:tcW w:w="160" w:type="dxa"/>
            <w:vAlign w:val="bottom"/>
          </w:tcPr>
          <w:p>
            <w:pPr>
              <w:spacing w:after="0"/>
              <w:rPr>
                <w:sz w:val="13"/>
                <w:szCs w:val="13"/>
                <w:color w:val="auto"/>
              </w:rPr>
            </w:pPr>
          </w:p>
        </w:tc>
        <w:tc>
          <w:tcPr>
            <w:tcW w:w="720" w:type="dxa"/>
            <w:vAlign w:val="bottom"/>
          </w:tcPr>
          <w:p>
            <w:pPr>
              <w:jc w:val="right"/>
              <w:ind w:right="230"/>
              <w:spacing w:after="0" w:line="156" w:lineRule="exact"/>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880" w:type="dxa"/>
            <w:vAlign w:val="bottom"/>
            <w:gridSpan w:val="2"/>
          </w:tcPr>
          <w:p>
            <w:pPr>
              <w:jc w:val="right"/>
              <w:ind w:right="10"/>
              <w:spacing w:after="0" w:line="176" w:lineRule="exact"/>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Amortization</w:t>
            </w:r>
          </w:p>
        </w:tc>
        <w:tc>
          <w:tcPr>
            <w:tcW w:w="160" w:type="dxa"/>
            <w:vAlign w:val="bottom"/>
          </w:tcPr>
          <w:p>
            <w:pPr>
              <w:spacing w:after="0"/>
              <w:rPr>
                <w:sz w:val="18"/>
                <w:szCs w:val="18"/>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Intangible assets subject to amortization</w:t>
            </w: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Patents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1,785</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(599 )</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1,186</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1,755</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(566 )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Purchased technology</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16,900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(7,512 )</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9,388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(6,572 )</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20"/>
              <w:spacing w:after="0" w:line="162" w:lineRule="exact"/>
              <w:rPr>
                <w:sz w:val="20"/>
                <w:szCs w:val="20"/>
                <w:color w:val="auto"/>
              </w:rPr>
            </w:pPr>
            <w:r>
              <w:rPr>
                <w:rFonts w:ascii="Arial" w:cs="Arial" w:eastAsia="Arial" w:hAnsi="Arial"/>
                <w:sz w:val="18"/>
                <w:szCs w:val="18"/>
                <w:color w:val="auto"/>
              </w:rPr>
              <w:t>Intangible assets not subject to</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6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6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Trademarks</w:t>
            </w: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gridSpan w:val="2"/>
          </w:tcPr>
          <w:p>
            <w:pPr>
              <w:ind w:left="200"/>
              <w:spacing w:after="0" w:line="182" w:lineRule="exact"/>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18,799</w:t>
            </w:r>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(8,111 )</w:t>
            </w:r>
          </w:p>
        </w:tc>
        <w:tc>
          <w:tcPr>
            <w:tcW w:w="22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10,688</w:t>
            </w:r>
          </w:p>
        </w:tc>
        <w:tc>
          <w:tcPr>
            <w:tcW w:w="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18,755</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(7,138 )</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11,617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-159385</wp:posOffset>
            </wp:positionV>
            <wp:extent cx="768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-159385</wp:posOffset>
            </wp:positionV>
            <wp:extent cx="7747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-159385</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-159385</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Amortization expense related to definite-lived intangible assets was $0.5 million and $1.0 million for both the three and six months ended June 30, 2022 and 2021,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Future estimated amortization expense of intangible assets is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8"/>
              </w:rPr>
              <w:t>As of June 30, 2022</w:t>
            </w:r>
          </w:p>
        </w:tc>
        <w:tc>
          <w:tcPr>
            <w:tcW w:w="100" w:type="dxa"/>
            <w:vAlign w:val="bottom"/>
          </w:tcPr>
          <w:p>
            <w:pPr>
              <w:spacing w:after="0"/>
              <w:rPr>
                <w:sz w:val="19"/>
                <w:szCs w:val="19"/>
                <w:color w:val="auto"/>
              </w:rPr>
            </w:pPr>
          </w:p>
        </w:tc>
      </w:tr>
      <w:tr>
        <w:trPr>
          <w:trHeight w:val="196"/>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Remainder of 2022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986</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1,970</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1,960</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1,954</w:t>
            </w:r>
          </w:p>
        </w:tc>
        <w:tc>
          <w:tcPr>
            <w:tcW w:w="100" w:type="dxa"/>
            <w:vAlign w:val="bottom"/>
          </w:tcPr>
          <w:p>
            <w:pPr>
              <w:spacing w:after="0"/>
              <w:rPr>
                <w:sz w:val="17"/>
                <w:szCs w:val="17"/>
                <w:color w:val="auto"/>
              </w:rPr>
            </w:pPr>
          </w:p>
        </w:tc>
      </w:tr>
      <w:tr>
        <w:trPr>
          <w:trHeight w:val="203"/>
        </w:trPr>
        <w:tc>
          <w:tcPr>
            <w:tcW w:w="7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1,941</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2027 and thereafter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1,763</w:t>
            </w:r>
          </w:p>
        </w:tc>
        <w:tc>
          <w:tcPr>
            <w:tcW w:w="100" w:type="dxa"/>
            <w:vAlign w:val="bottom"/>
          </w:tcPr>
          <w:p>
            <w:pPr>
              <w:spacing w:after="0"/>
              <w:rPr>
                <w:sz w:val="17"/>
                <w:szCs w:val="17"/>
                <w:color w:val="auto"/>
              </w:rPr>
            </w:pPr>
          </w:p>
        </w:tc>
      </w:tr>
      <w:tr>
        <w:trPr>
          <w:trHeight w:val="236"/>
        </w:trPr>
        <w:tc>
          <w:tcPr>
            <w:tcW w:w="7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10,574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13"/>
        </w:trPr>
        <w:tc>
          <w:tcPr>
            <w:tcW w:w="718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30, 2022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December 31, 2021</w:t>
            </w:r>
          </w:p>
        </w:tc>
        <w:tc>
          <w:tcPr>
            <w:tcW w:w="100" w:type="dxa"/>
            <w:vAlign w:val="bottom"/>
          </w:tcPr>
          <w:p>
            <w:pPr>
              <w:spacing w:after="0"/>
              <w:rPr>
                <w:sz w:val="24"/>
                <w:szCs w:val="24"/>
                <w:color w:val="auto"/>
              </w:rPr>
            </w:pPr>
          </w:p>
        </w:tc>
      </w:tr>
      <w:tr>
        <w:trPr>
          <w:trHeight w:val="196"/>
        </w:trPr>
        <w:tc>
          <w:tcPr>
            <w:tcW w:w="71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Compensation related accruals</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3,570</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4,029</w:t>
            </w:r>
          </w:p>
        </w:tc>
        <w:tc>
          <w:tcPr>
            <w:tcW w:w="100" w:type="dxa"/>
            <w:vAlign w:val="bottom"/>
            <w:shd w:val="clear" w:color="auto" w:fill="CFF0FC"/>
          </w:tcPr>
          <w:p>
            <w:pPr>
              <w:spacing w:after="0"/>
              <w:rPr>
                <w:sz w:val="17"/>
                <w:szCs w:val="17"/>
                <w:color w:val="auto"/>
              </w:rPr>
            </w:pPr>
          </w:p>
        </w:tc>
      </w:tr>
      <w:tr>
        <w:trPr>
          <w:trHeight w:val="203"/>
        </w:trPr>
        <w:tc>
          <w:tcPr>
            <w:tcW w:w="7180" w:type="dxa"/>
            <w:vAlign w:val="bottom"/>
          </w:tcPr>
          <w:p>
            <w:pPr>
              <w:ind w:left="20"/>
              <w:spacing w:after="0" w:line="202" w:lineRule="exact"/>
              <w:rPr>
                <w:sz w:val="20"/>
                <w:szCs w:val="20"/>
                <w:color w:val="auto"/>
              </w:rPr>
            </w:pPr>
            <w:r>
              <w:rPr>
                <w:rFonts w:ascii="Arial" w:cs="Arial" w:eastAsia="Arial" w:hAnsi="Arial"/>
                <w:sz w:val="18"/>
                <w:szCs w:val="18"/>
                <w:color w:val="auto"/>
              </w:rPr>
              <w:t>Accrued clinical trial expense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870</w:t>
            </w:r>
          </w:p>
        </w:tc>
        <w:tc>
          <w:tcPr>
            <w:tcW w:w="100" w:type="dxa"/>
            <w:vAlign w:val="bottom"/>
          </w:tcPr>
          <w:p>
            <w:pPr>
              <w:spacing w:after="0"/>
              <w:rPr>
                <w:sz w:val="17"/>
                <w:szCs w:val="17"/>
                <w:color w:val="auto"/>
              </w:rPr>
            </w:pPr>
          </w:p>
        </w:tc>
      </w:tr>
      <w:tr>
        <w:trPr>
          <w:trHeight w:val="203"/>
        </w:trPr>
        <w:tc>
          <w:tcPr>
            <w:tcW w:w="7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expenses</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2,189</w:t>
            </w: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180" w:type="dxa"/>
            <w:vAlign w:val="bottom"/>
          </w:tcPr>
          <w:p>
            <w:pPr>
              <w:ind w:left="120"/>
              <w:spacing w:after="0" w:line="182" w:lineRule="exact"/>
              <w:rPr>
                <w:sz w:val="20"/>
                <w:szCs w:val="20"/>
                <w:color w:val="auto"/>
              </w:rPr>
            </w:pPr>
            <w:r>
              <w:rPr>
                <w:rFonts w:ascii="Arial" w:cs="Arial" w:eastAsia="Arial" w:hAnsi="Arial"/>
                <w:sz w:val="18"/>
                <w:szCs w:val="18"/>
                <w:color w:val="auto"/>
              </w:rPr>
              <w:t>Total accrued liabilities</w:t>
            </w:r>
          </w:p>
        </w:tc>
        <w:tc>
          <w:tcPr>
            <w:tcW w:w="32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6,667</w:t>
            </w:r>
          </w:p>
        </w:tc>
        <w:tc>
          <w:tcPr>
            <w:tcW w:w="60" w:type="dxa"/>
            <w:vAlign w:val="bottom"/>
          </w:tcPr>
          <w:p>
            <w:pPr>
              <w:spacing w:after="0"/>
              <w:rPr>
                <w:sz w:val="17"/>
                <w:szCs w:val="17"/>
                <w:color w:val="auto"/>
              </w:rPr>
            </w:pPr>
          </w:p>
        </w:tc>
        <w:tc>
          <w:tcPr>
            <w:tcW w:w="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182" w:lineRule="exact"/>
              <w:rPr>
                <w:sz w:val="20"/>
                <w:szCs w:val="20"/>
                <w:color w:val="auto"/>
              </w:rPr>
            </w:pPr>
            <w:r>
              <w:rPr>
                <w:rFonts w:ascii="Arial" w:cs="Arial" w:eastAsia="Arial" w:hAnsi="Arial"/>
                <w:sz w:val="18"/>
                <w:szCs w:val="18"/>
                <w:color w:val="auto"/>
              </w:rPr>
              <w:t>7,665</w:t>
            </w:r>
          </w:p>
        </w:tc>
        <w:tc>
          <w:tcPr>
            <w:tcW w:w="100" w:type="dxa"/>
            <w:vAlign w:val="bottom"/>
          </w:tcPr>
          <w:p>
            <w:pPr>
              <w:spacing w:after="0"/>
              <w:rPr>
                <w:sz w:val="17"/>
                <w:szCs w:val="17"/>
                <w:color w:val="auto"/>
              </w:rPr>
            </w:pPr>
          </w:p>
        </w:tc>
      </w:tr>
      <w:tr>
        <w:trPr>
          <w:trHeight w:val="20"/>
        </w:trPr>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-159385</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long-term debt primarily consists of notes payable associated with Promissory Note One and our 2021 Term Loan which is described in further detail below. Long-term notes payable were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5"/>
              </w:rPr>
              <w:t>June 30, 2022</w:t>
            </w:r>
          </w:p>
        </w:tc>
        <w:tc>
          <w:tcPr>
            <w:tcW w:w="220" w:type="dxa"/>
            <w:vAlign w:val="bottom"/>
          </w:tcPr>
          <w:p>
            <w:pPr>
              <w:spacing w:after="0"/>
              <w:rPr>
                <w:sz w:val="19"/>
                <w:szCs w:val="19"/>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December 31, 2021</w:t>
            </w:r>
          </w:p>
        </w:tc>
      </w:tr>
      <w:tr>
        <w:trPr>
          <w:trHeight w:val="196"/>
        </w:trPr>
        <w:tc>
          <w:tcPr>
            <w:tcW w:w="68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Promissory Note One</w:t>
            </w: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16,164</w:t>
            </w: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860" w:type="dxa"/>
            <w:vAlign w:val="bottom"/>
          </w:tcPr>
          <w:p>
            <w:pPr>
              <w:ind w:left="20"/>
              <w:spacing w:after="0" w:line="202" w:lineRule="exact"/>
              <w:rPr>
                <w:sz w:val="20"/>
                <w:szCs w:val="20"/>
                <w:color w:val="auto"/>
              </w:rPr>
            </w:pPr>
            <w:r>
              <w:rPr>
                <w:rFonts w:ascii="Arial" w:cs="Arial" w:eastAsia="Arial" w:hAnsi="Arial"/>
                <w:sz w:val="18"/>
                <w:szCs w:val="18"/>
                <w:color w:val="auto"/>
              </w:rPr>
              <w:t>2021 Term Loan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7,000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100" w:type="dxa"/>
            <w:vAlign w:val="bottom"/>
          </w:tcPr>
          <w:p>
            <w:pPr>
              <w:spacing w:after="0"/>
              <w:rPr>
                <w:sz w:val="17"/>
                <w:szCs w:val="17"/>
                <w:color w:val="auto"/>
              </w:rPr>
            </w:pPr>
          </w:p>
        </w:tc>
      </w:tr>
      <w:tr>
        <w:trPr>
          <w:trHeight w:val="203"/>
        </w:trPr>
        <w:tc>
          <w:tcPr>
            <w:tcW w:w="6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7"/>
                <w:szCs w:val="17"/>
                <w:color w:val="auto"/>
              </w:rPr>
            </w:pPr>
          </w:p>
        </w:tc>
      </w:tr>
      <w:tr>
        <w:trPr>
          <w:trHeight w:val="203"/>
        </w:trPr>
        <w:tc>
          <w:tcPr>
            <w:tcW w:w="6860" w:type="dxa"/>
            <w:vAlign w:val="bottom"/>
          </w:tcPr>
          <w:p>
            <w:pPr>
              <w:ind w:left="20"/>
              <w:spacing w:after="0" w:line="202" w:lineRule="exact"/>
              <w:rPr>
                <w:sz w:val="20"/>
                <w:szCs w:val="20"/>
                <w:color w:val="auto"/>
              </w:rPr>
            </w:pPr>
            <w:r>
              <w:rPr>
                <w:rFonts w:ascii="Arial" w:cs="Arial" w:eastAsia="Arial" w:hAnsi="Arial"/>
                <w:sz w:val="18"/>
                <w:szCs w:val="18"/>
                <w:color w:val="auto"/>
              </w:rPr>
              <w:t>Unamortized debt discount and issuance costs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(2,950 )</w:t>
            </w:r>
          </w:p>
        </w:tc>
        <w:tc>
          <w:tcPr>
            <w:tcW w:w="220" w:type="dxa"/>
            <w:vAlign w:val="bottom"/>
          </w:tcPr>
          <w:p>
            <w:pPr>
              <w:spacing w:after="0"/>
              <w:rPr>
                <w:sz w:val="17"/>
                <w:szCs w:val="17"/>
                <w:color w:val="auto"/>
              </w:rPr>
            </w:pPr>
          </w:p>
        </w:tc>
        <w:tc>
          <w:tcPr>
            <w:tcW w:w="2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(63 )</w:t>
            </w:r>
          </w:p>
        </w:tc>
      </w:tr>
      <w:tr>
        <w:trPr>
          <w:trHeight w:val="196"/>
        </w:trPr>
        <w:tc>
          <w:tcPr>
            <w:tcW w:w="6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20,367</w:t>
            </w: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10,012</w:t>
            </w:r>
          </w:p>
        </w:tc>
        <w:tc>
          <w:tcPr>
            <w:tcW w:w="100" w:type="dxa"/>
            <w:vAlign w:val="bottom"/>
            <w:shd w:val="clear" w:color="auto" w:fill="CFF0FC"/>
          </w:tcPr>
          <w:p>
            <w:pPr>
              <w:spacing w:after="0"/>
              <w:rPr>
                <w:sz w:val="17"/>
                <w:szCs w:val="17"/>
                <w:color w:val="auto"/>
              </w:rPr>
            </w:pPr>
          </w:p>
        </w:tc>
      </w:tr>
      <w:tr>
        <w:trPr>
          <w:trHeight w:val="203"/>
        </w:trPr>
        <w:tc>
          <w:tcPr>
            <w:tcW w:w="6860" w:type="dxa"/>
            <w:vAlign w:val="bottom"/>
          </w:tcPr>
          <w:p>
            <w:pPr>
              <w:ind w:left="20"/>
              <w:spacing w:after="0" w:line="202" w:lineRule="exact"/>
              <w:rPr>
                <w:sz w:val="20"/>
                <w:szCs w:val="20"/>
                <w:color w:val="auto"/>
              </w:rPr>
            </w:pPr>
            <w:r>
              <w:rPr>
                <w:rFonts w:ascii="Arial" w:cs="Arial" w:eastAsia="Arial" w:hAnsi="Arial"/>
                <w:sz w:val="18"/>
                <w:szCs w:val="18"/>
                <w:color w:val="auto"/>
              </w:rPr>
              <w:t>Less: current maturities</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11,771</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r>
      <w:tr>
        <w:trPr>
          <w:trHeight w:val="236"/>
        </w:trPr>
        <w:tc>
          <w:tcPr>
            <w:tcW w:w="6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notes payable</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8,596</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9,993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May 9, 2022 (the First Closing Date), the Company entered into a securities purchase agreement (the SPA) with Streeterville Capital, LLC (Lender), pursuant to which, among other things, the Lender: (i) purchased a secured promissory note (Promissory Note One) in the aggregate principal amount totaling $16.0 million in exchange for $15.0 million less certain expenses and (ii) agreed to purchase another secured promissory note at the Company’s election (Promissory Note Two and, together with Promissory Note One, the Promissory Notes), subject to certain conditions precedent in aggregate principal amount totaling $10.3 million in exchange for $10.0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10" w:lineRule="exact"/>
        <w:rPr>
          <w:sz w:val="20"/>
          <w:szCs w:val="20"/>
          <w:color w:val="auto"/>
        </w:rPr>
      </w:pPr>
    </w:p>
    <w:p>
      <w:pPr>
        <w:jc w:val="both"/>
        <w:ind w:firstLine="45"/>
        <w:spacing w:after="0" w:line="243" w:lineRule="auto"/>
        <w:rPr>
          <w:sz w:val="20"/>
          <w:szCs w:val="20"/>
          <w:color w:val="auto"/>
        </w:rPr>
      </w:pPr>
      <w:r>
        <w:rPr>
          <w:rFonts w:ascii="Arial" w:cs="Arial" w:eastAsia="Arial" w:hAnsi="Arial"/>
          <w:sz w:val="18"/>
          <w:szCs w:val="18"/>
          <w:color w:val="auto"/>
        </w:rPr>
        <w:t>million in cash proceeds. Each of the Promissory Notes may, at the Company's option, be settled in shares of common stock of the Company (the Common Stock), upon the terms and subject to the limitations and conditions set forth in the Promissory Notes. The Company's net proceeds from the issuance of Promissory Note One were approximately $12.8 million, after deducting debt issuance costs and original issue discount (OID). The Company intends to use the proceeds from such issuance for general corporate purposes.</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Promissory Notes have a stated interest rate of 6% per annum. The maturity date of each Promissory Note is 24 months from the issuance date of such Note (the Maturity Date). Promissory Note One was issued with an OID of $1.0 million while Promissory Note Two, if issued, will be subject to an OID of $0.3 million subject to certain contingencies which could increase the OID by an additional $0.5 million. The Promissory Notes are eligible for early payment for cash, at the Company’s election, subject to a prepayment premium of 10% of the outstanding principal balance.</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Company’s ability to draw Promissory Note Two is subject to the satisfaction, among other things, of the following conditions: (i) within nine months following the First Closing Date, repayment in full all outstanding obligations under the 2021 Term Loan, (ii) the Company shall have received no less than $5.6 million in proceeds from the sale (not attributable to Lender or its affiliates) of newly issued equity securities during the period beginning on the First Closing Date and ending on January 31, 2023 (the Second Closing Date), (iii) on or before the Second Closing Date, the Company shall have met or exceeded Revenue Milestone 1 (as defined in the Promissory Notes), (iv) (a) the aggregate market value of the Company’s common stock and any other equity securities held by persons that are not affiliates of the Company on the Second Closing Date shall be greater than or equal to $75.0 million or (b) received no less than $20.0 million in additional proceeds from the sale (not attributable to Lender or its affiliates) of new equity securities in the Company not counting those proceeds set forth in item (ii) above (for total proceeds of no less than $25.6 million during the period beginning on the First Closing Date and ending on the Second Closing Date; (v) as of the Second Closing Date, Company is in good standing with Nasdaq Stock Market (the NASDAQ) and has not received any notice of non-compliance; (vi) Company shall be current in its payments to Indi, and (vii) there being no Trigger Event (as defined in the Promissory Notes) under Promissory Note One. If Promissory Note Two is issued, the terms of Promissory Note One and Note Two will be substantively identical.</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Under the SPA, the parties provided customary representations and warranties to each other. Also, until all amounts due under the Promissory Notes are paid in full, the Company agreed, among other things, to: (i) timely make all filings under the Securities Exchange Act of 1934, (ii) ensure that its Common Stock continues to be listed on the NASDAQ or the New York Stock Exchange, (iii) not enter into any agreement or otherwise agree to any covenant, condition, or obligation that locks up, restricts in any way or otherwise prohibits Company: (a) from entering into a variable rate transaction with Lender or any affiliate of Lender, or (b) from issuing Common Stock, preferred stock, warrants, convertible notes, other debt securities, or any other Company securities to Lender or any affiliate of Lender, (iv) will not make any Restricted Issuances (as defined in the Promissory Notes) without Lender’s prior written consent, which consent may be granted or withheld in Lender’s sole and absolute discretion (v) within 9 months following the First Closing Date, the Company will repay in full all outstanding obligations under the 2021 Term Loan, (vi) beginning on April 1, 2023, Company shall maintain a minimum liquidity balance of at least $3.0 million (which liquidity balance shall only include cash, cash equivalents and accounts receivable), and (vii) offer the Lender the right to purchase up to 30% of future equity and debt securities offerings, subject to certain exceptions and limitations. The Company also agreed under the SPA to reserve with the Company’s transfer agent 37.0 million shares of Common Stock for potential issuance under the Promissory Notes for shares that may be delivered in connection with the redemption right, which reservation may be increased and decreased in certain circumstances.</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Beginning on the date that is nine months after the issuance date of the applicable Promissory Note, the Lender has the right to redeem up to $1.4 million and $1.0 million of the outstanding balance of Promissory Note One and Promissory Note Two per month, respectively. Payments may be made by the Company, at the Company’s option, either in (a) in cash, or (b) in the form of shares of Common Stock with the number of redemption shares being equal to the portion of the applicable redemption amount divided by the Redemption Conversion Price or (c) a combination of cash and shares of Common Stock. The Promissory Notes have a 6% exit fee on any redemption amount paid in cash. The Redemption Conversion Price shall equal 85% multiplied by the lowest daily VWAP during the ten trading days immediately preceding the date the Lender delivers notice electing to redeem a portion of the Promissory Note. The Company’s right to satisfy the redemption amount in shares of Common Stock is subject to certain limitations, including (i) there not being any Equity Conditions Failure (as defined in the Note), (ii) the Lender and its affiliates together not owning more than 9.99% of the outstanding shares of Common Stock, and (iii) the aggregate shares of Common Stock issued upon redemption of the Promissory Notes not exceeding 19.99% of the outstanding Common Stock unless the Company has obtained stockholder approval under NASDAQ rules for such issuance.</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Promissory Notes contain certain Trigger Events that generally, if uncured within five trading days, may result in an event of default in accordance with the terms of the Promissory Notes (such event, an Event of Default). Upon an Event of Default, the interest rate may also be increased to the lesser of 15% per annum or the maximum rate permitted under applicable law.</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evaluated Promissory Note One in accordance with applicable accounting standards under U.S. GAAP and determined the classification of the instrument as a debt obligation. In addition, the Company evaluated the instrument for embedded derivatives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concluded there were no embedded features that require bifurcation and separate accounting. The Company will record interest expense over the term of Promissory Note One, using the interest method, to amortize the debt issuance costs and OID.</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May 9, 2022, the Company recorded OID and debt issuance costs of $3.2 million as a reduction to Promissory Note One to be amortized over the term of Promissory Note One. For the period from May 9, 2022 to June 30, 2022, the Company recorded $0.3 million for amortization of the OID and debt issuance costs to interest expense in the accompanying statements of operations.</w:t>
      </w:r>
    </w:p>
    <w:p>
      <w:pPr>
        <w:spacing w:after="0" w:line="7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For the period from May 9, 2022 to June 30, 2022, the Company recorded interest expense of $0.1 million in the accompanying statements of operations and as of June 30, 2022, recorded $0.1 million in accrued interest in 'Current portion of notes payable' in the accompanying balance sheets.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Term Loan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19, 2021 (Effective Date), the Company entered into a Loan and Security Agreement (the 2021 Term Loan) by and between Silicon Valley Bank, a California corporation (SVB or Lender) and the Company, as borrower, whereby subject to the terms and conditions of the 2021 Term Loan, SVB advanced to the Company an original principal amount of $30 million.</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2021 Term Loan provides for an “interest-only” period from the Effective Date through February 28, 2023, with interest due and payable monthly on the first calendar day of each month. However, the Company achieved a revenue milestone of at least $65 million on a trailing twelve-month basis during the three months ended March 31, 2021 which automatically extended the interest-only period through February 28, 2024. Beginning on the first calendar day of the month following the end of the interest-only period, the 2021 Term Loan shall be payable in (i) consecutive equal installments of principal through March 1, 2026, plus (ii) monthly payments of accrued interest. The principal amount outstanding under the 2021 Term Loan shall accrue interest at a floating per annum rate equal to the greater of (i) 2.00% above the prime rate, or (ii) 5.25%, which interest, in each case, shall be payable monthly. Changes to the interest rate applicable to the 2021 Term Loan based on changes to the prime rate shall be effective on the effective date of any change to the prime rate.</w:t>
      </w:r>
    </w:p>
    <w:p>
      <w:pPr>
        <w:spacing w:after="0" w:line="8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has the option to prepay, prior to maturity, the total outstanding principal amount plus accrued and unpaid interest, subject to a prepayment penalty of 3% of the principal amount if paid prior to the first anniversary of the Effective Date, 2% of the principal amount if paid on or after the first anniversary but prior to the second anniversary of the Effective Date, 1% of the principal amount if paid on or after the second anniversary but prior to October 19, 2025, and 0% thereafter.</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granted the Lender a security interest in substantially all of the Company’s assets. The 2021 Term Loan requires the Company to comply with a minimum liquidity ratio covenant (as defined) by the 2021 Term Loan of not less than 0.95 to 1.00, and had a trailing six month rolling minimum revenue requirement of not less than 70% of the Company’s projected revenue performed at the end of each reporting period. On September 30, 2021, we entered into the Consent and First Amendment to Loan and Security Agreement (the 2021 Term Loan Amendment) to, among other things, amend our 2021 Term Loan to eliminate the revenue covenant for the period ended September 30, 2021 and modify the revenue covenant threshold for the three months ended December 31, 2021. In addition, we agreed to establish a restricted cash collateral account for $15 million for the benefit of our lender if the balance of our cash and cash equivalents declined below $40 million. On December 31, 2021, we entered into the Consent and Second Amendment to Loan and Security Agreement (the 2021 Term Loan Second Amendment) to, among other things, amend our 2021 Term Loan and First Amendment to: (i) obtain consent for the $4.6 million January 2022 milestone payment under the Indi APA, (ii) repay $20 million in outstanding principal on December 31, 2021,</w:t>
      </w:r>
    </w:p>
    <w:p>
      <w:pPr>
        <w:spacing w:after="0" w:line="3" w:lineRule="exact"/>
        <w:rPr>
          <w:sz w:val="20"/>
          <w:szCs w:val="20"/>
          <w:color w:val="auto"/>
        </w:rPr>
      </w:pPr>
    </w:p>
    <w:p>
      <w:pPr>
        <w:jc w:val="both"/>
        <w:ind w:firstLine="8"/>
        <w:spacing w:after="0" w:line="237" w:lineRule="auto"/>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waive the $600,000 prepayment fee on the $20 million Term Loan repayment, (iv) waive the minimum revenue covenant as of December 31, 2021, and (v) modify the minimum revenue requirement to not less than 75% for the three months ended March 31, 2022 and not less than 75% on a trailing six month rolling basis for each quarter thereafter of the Company’s projected revenue performed at the end of each reporting period. The Lender agreed to apply the full amount of funds previously established within the restricted cash collateral account to partially repay the $20 million in outstanding principal, thereby eliminating the restricted cash collateral account.</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April 7, 2022, the Company entered into the Consent and Third Amendment to Loan and Security Agreement (the 2021 Term Loan Third Amendment). Under the terms of the 2021 Term Loan Third Amendment, the Company agreed to the repayment of $3.0 million in outstanding principal in April 2022 with an additional $2.0 million to be paid on September 30, 2022, in exchange for: (i) consent for a $2.0 million April 2022 milestone payment under the Indi APA, as amended, (ii) waiver of minimum revenue requirement for the three months ended March 31, 2022 and adjustment of remaining revenue milestones for 2022, and (iii) waiver and elimination of the prepayment fee on the $3.0 million 2021 Term Loan partial repayment in April 2022 and subsequent $2.0 million principal repayment. The Company recorded a loss on extinguishment of $18,000 resulting from the write-off of debt issuance costs associated with the $3.0 million repayment of our 2021 Term Loan in April 2022.</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association with entering into the SPA with the Lender on May 9, 2022 (as described above), the Company has the election to issue Promissory Note Two subject to the Company satisfying, among other things, repaying in full all outstanding obligations under the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Term Loan within nine months following the First Closing Date. As of June 30, 2022, the Company intends to repay all outstanding obligations under the 2021 Term Loan within nine months of the inception of Promissory Note One. The Company’s final payment to SVB shall include all outstanding principal and accrued and unpaid interest, lender fees and expenses, which will include a final payment of $2.7 million, and all other sums, if any, that shall have become due and payable hereunder with respect to the 2021 Term Loan. The $2.7 million final payment is being amortized as interest expense over the expected remaining term of the loan.</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2021 Term Loan contains certain covenants limiting the ability of the Company to, among other things, incur future debt, transfer assets except for the ordinary course of business, make acquisitions, pay dividends or make other certain restricted payments, or sell assets, subject to certain exceptions, without the prior written consent of the Lender. Failure to comply with the covenants and loan requirements may result in an event of default. As of June 30, 2022, the Company was in compliance with all restrictive and financial covenants associated with its borrowings. In the event of a default, including, among other things, our failure to make any payment when due or our failure to comply with any covenant under the 2021 Term Loan, the Lender may elect to declare all amounts outstanding to be immediately due and payable, and may proceed against the collateral granted to them to secure such indebtedness, including a royalty-free license or other right to use all of our intellectual property without charge.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repayments (maturities) of long-term obligations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As of June 30, 2022</w:t>
            </w:r>
          </w:p>
        </w:tc>
        <w:tc>
          <w:tcPr>
            <w:tcW w:w="100" w:type="dxa"/>
            <w:vAlign w:val="bottom"/>
          </w:tcPr>
          <w:p>
            <w:pPr>
              <w:spacing w:after="0"/>
              <w:rPr>
                <w:sz w:val="19"/>
                <w:szCs w:val="19"/>
                <w:color w:val="auto"/>
              </w:rPr>
            </w:pPr>
          </w:p>
        </w:tc>
      </w:tr>
      <w:tr>
        <w:trPr>
          <w:trHeight w:val="196"/>
        </w:trPr>
        <w:tc>
          <w:tcPr>
            <w:tcW w:w="8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Remainder of 2022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7,023</w:t>
            </w:r>
          </w:p>
        </w:tc>
        <w:tc>
          <w:tcPr>
            <w:tcW w:w="100" w:type="dxa"/>
            <w:vAlign w:val="bottom"/>
            <w:shd w:val="clear" w:color="auto" w:fill="CFF0FC"/>
          </w:tcPr>
          <w:p>
            <w:pPr>
              <w:spacing w:after="0"/>
              <w:rPr>
                <w:sz w:val="17"/>
                <w:szCs w:val="17"/>
                <w:color w:val="auto"/>
              </w:rPr>
            </w:pPr>
          </w:p>
        </w:tc>
      </w:tr>
      <w:tr>
        <w:trPr>
          <w:trHeight w:val="203"/>
        </w:trPr>
        <w:tc>
          <w:tcPr>
            <w:tcW w:w="87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14,616</w:t>
            </w:r>
          </w:p>
        </w:tc>
        <w:tc>
          <w:tcPr>
            <w:tcW w:w="100" w:type="dxa"/>
            <w:vAlign w:val="bottom"/>
          </w:tcPr>
          <w:p>
            <w:pPr>
              <w:spacing w:after="0"/>
              <w:rPr>
                <w:sz w:val="17"/>
                <w:szCs w:val="17"/>
                <w:color w:val="auto"/>
              </w:rPr>
            </w:pPr>
          </w:p>
        </w:tc>
      </w:tr>
      <w:tr>
        <w:trPr>
          <w:trHeight w:val="203"/>
        </w:trPr>
        <w:tc>
          <w:tcPr>
            <w:tcW w:w="8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1,647</w:t>
            </w:r>
          </w:p>
        </w:tc>
        <w:tc>
          <w:tcPr>
            <w:tcW w:w="100" w:type="dxa"/>
            <w:vAlign w:val="bottom"/>
            <w:shd w:val="clear" w:color="auto" w:fill="CFF0FC"/>
          </w:tcPr>
          <w:p>
            <w:pPr>
              <w:spacing w:after="0"/>
              <w:rPr>
                <w:sz w:val="17"/>
                <w:szCs w:val="17"/>
                <w:color w:val="auto"/>
              </w:rPr>
            </w:pPr>
          </w:p>
        </w:tc>
      </w:tr>
      <w:tr>
        <w:trPr>
          <w:trHeight w:val="203"/>
        </w:trPr>
        <w:tc>
          <w:tcPr>
            <w:tcW w:w="87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r>
      <w:tr>
        <w:trPr>
          <w:trHeight w:val="203"/>
        </w:trPr>
        <w:tc>
          <w:tcPr>
            <w:tcW w:w="8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r>
      <w:tr>
        <w:trPr>
          <w:trHeight w:val="203"/>
        </w:trPr>
        <w:tc>
          <w:tcPr>
            <w:tcW w:w="8780" w:type="dxa"/>
            <w:vAlign w:val="bottom"/>
          </w:tcPr>
          <w:p>
            <w:pPr>
              <w:ind w:left="20"/>
              <w:spacing w:after="0" w:line="202" w:lineRule="exact"/>
              <w:rPr>
                <w:sz w:val="20"/>
                <w:szCs w:val="20"/>
                <w:color w:val="auto"/>
              </w:rPr>
            </w:pPr>
            <w:r>
              <w:rPr>
                <w:rFonts w:ascii="Arial" w:cs="Arial" w:eastAsia="Arial" w:hAnsi="Arial"/>
                <w:sz w:val="18"/>
                <w:szCs w:val="18"/>
                <w:color w:val="auto"/>
              </w:rPr>
              <w:t>2027 and thereafter</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87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23,317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acts as a lessee under all its lease agreements. The Company leases its headquarters and laboratory facilities in Boulder, Colorado, under a non-cancelable lease agreement for approximately 29,722 square feet that was set to expire in January 2023. In January 2022, the Company amended the agreement to extend the lease agreement through January 2024, resulting in an additional $1.2 million in ROU assets and lease liabilities recorded during the three months ended March 31, 2022. The Company also leases laboratory and office space in De Soto, Kansas, under a non-cancelable lease agreement for approximately 9,066 square feet that expires in October 2023. The Company also holds various copier and storage facility leases under non-cancelable lease agreements that expire in the next one to four years.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Centennial Valley Properties I, LLC Lease Agreement</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March 11, 2022, the Company entered into a Lease Agreement (the Lease) with Centennial Valley Properties I, LLC, a Colorado limited liability company (the Landlord) for office and laboratory space located at 919 West Dillion Road; Louisville, Colorado (the Leased Premises). The purpose of the Lease is to replace the Company’s current leased premises at 2970 Wilderness Place, Suite 100 in Boulder, Colorado and the Company intends to move its corporate headquarters to the Leased Premises by mid-2023.</w:t>
      </w:r>
    </w:p>
    <w:p>
      <w:pPr>
        <w:spacing w:after="0" w:line="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initial term of the Lease is twelve years (the Initial Term) from the commencement date, which is the earlier of: (i) the Company conducting revenue generating business (as defined in the Lease), or (ii) April 1, 2023 (the Commencement Date), unless earlier terminated in accordance with the Lease. The Company has two renewal options to extend the term of the Lease for an additional seven or ten year terms for each renewal. During the three months ended June 30, 2022, the lease commenced for accounting purposes resulting in $2.0 million in ROU assets and lease liabilities being recorded.</w:t>
      </w:r>
    </w:p>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Under the Lease, the Company will lease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Company's obligation to pay base rent shall be abated, commencing as of the Commencement Date and ending on and including the date that is 12 months after the Commencement Date (the Abated Rent Period). Further, the Company's obligation to pay base rent with respect to a portion of the area of the Lease Premises equal to 19,980 square feet shall be abated (the Partial Abated Rent), commencing as of the day after the end of the Abated Rent Period and ending on and including the date that is 24 months after the Commencement Date (the Partial Abated Rent Period). Pursuant to a work letter entered by the parties in connection with the Lease, the Landlord will contribute an aggregate of $18.8 million toward the cost of construction and improvements for the Leased Premises and the Company exercised its option for an additional tenant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improvement allowance of $2.0 million (the Extra Allowance Amount). The Company will repay the Extra Allowance Amount actually funded by the Landlord in equal monthly payments with an interest rate of 6% per year over the Initial Term excluding any part of the Abated Rent Period or Partial Abated Rent Period, which shall start to accrue on the date that the Landlord first disburses the Extra Allowance Amount. The Company made an accounting policy election to reduce the right-of-use asset and lease liability because the Lease specifies a maximum level of reimbursement for tenant improvements which are probable of being incurred and within the Company's control. Due to the tenant improvement allowances at the accounting lease commencement date and rent abatement periods described above, the Company expects the lease liability to accrete to approximately $25.7 million by March 2024.</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Lease includes various covenants, indemnities, defaults, termination rights, and other provisions customary for lease transactions of this nature, including maintaining a $5.0 million letter of credit (subject to contingent reduction over the term of the lease) to secure the performance of the Company’s obligations under the Lease. The $5.0 million letter of credit has to be cash collateralized by the Company through a restricted cash account for the benefit of the Landlord, which we recognized contemporaneously with the commencement of the Lease for accounting purposes.</w:t>
      </w:r>
    </w:p>
    <w:p>
      <w:pPr>
        <w:spacing w:after="0" w:line="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Operating lease expense was $0.5 million and $0.8 million for the three and six months ended June 30, 2022, respectively, compared to $0.3 million and $0.6 million for the three and six months ended June 30, 2021, respectively. As of June 30, 2022, the weighted-average remaining lease term and discount rate associated with our operating leases were 7.0 years and 11.40%,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Future minimum lease payments associated with our operating leases were as follows (in 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8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4"/>
              </w:rPr>
              <w:t>As of June 30, 2022</w:t>
            </w:r>
          </w:p>
        </w:tc>
      </w:tr>
      <w:tr>
        <w:trPr>
          <w:trHeight w:val="196"/>
        </w:trPr>
        <w:tc>
          <w:tcPr>
            <w:tcW w:w="874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7"/>
                <w:szCs w:val="17"/>
                <w:color w:val="auto"/>
              </w:rPr>
              <w:t>Remainder of 2022</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(9,732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8740" w:type="dxa"/>
            <w:vAlign w:val="bottom"/>
          </w:tcPr>
          <w:p>
            <w:pPr>
              <w:ind w:left="20"/>
              <w:spacing w:after="0" w:line="202" w:lineRule="exact"/>
              <w:rPr>
                <w:sz w:val="20"/>
                <w:szCs w:val="20"/>
                <w:color w:val="auto"/>
              </w:rPr>
            </w:pPr>
            <w:r>
              <w:rPr>
                <w:rFonts w:ascii="Arial" w:cs="Arial" w:eastAsia="Arial" w:hAnsi="Arial"/>
                <w:sz w:val="17"/>
                <w:szCs w:val="17"/>
                <w:color w:val="auto"/>
              </w:rPr>
              <w:t>2023</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(8,121 )</w:t>
            </w:r>
          </w:p>
        </w:tc>
      </w:tr>
      <w:tr>
        <w:trPr>
          <w:trHeight w:val="203"/>
        </w:trPr>
        <w:tc>
          <w:tcPr>
            <w:tcW w:w="8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17"/>
                <w:szCs w:val="17"/>
                <w:color w:val="auto"/>
              </w:rPr>
            </w:pPr>
          </w:p>
        </w:tc>
      </w:tr>
      <w:tr>
        <w:trPr>
          <w:trHeight w:val="203"/>
        </w:trPr>
        <w:tc>
          <w:tcPr>
            <w:tcW w:w="87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3,710</w:t>
            </w:r>
          </w:p>
        </w:tc>
        <w:tc>
          <w:tcPr>
            <w:tcW w:w="100" w:type="dxa"/>
            <w:vAlign w:val="bottom"/>
          </w:tcPr>
          <w:p>
            <w:pPr>
              <w:spacing w:after="0"/>
              <w:rPr>
                <w:sz w:val="17"/>
                <w:szCs w:val="17"/>
                <w:color w:val="auto"/>
              </w:rPr>
            </w:pPr>
          </w:p>
        </w:tc>
      </w:tr>
      <w:tr>
        <w:trPr>
          <w:trHeight w:val="203"/>
        </w:trPr>
        <w:tc>
          <w:tcPr>
            <w:tcW w:w="8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17"/>
                <w:szCs w:val="17"/>
                <w:color w:val="auto"/>
              </w:rPr>
            </w:pPr>
          </w:p>
        </w:tc>
      </w:tr>
      <w:tr>
        <w:trPr>
          <w:trHeight w:val="203"/>
        </w:trPr>
        <w:tc>
          <w:tcPr>
            <w:tcW w:w="8740" w:type="dxa"/>
            <w:vAlign w:val="bottom"/>
          </w:tcPr>
          <w:p>
            <w:pPr>
              <w:ind w:left="20"/>
              <w:spacing w:after="0" w:line="202" w:lineRule="exact"/>
              <w:rPr>
                <w:sz w:val="20"/>
                <w:szCs w:val="20"/>
                <w:color w:val="auto"/>
              </w:rPr>
            </w:pPr>
            <w:r>
              <w:rPr>
                <w:rFonts w:ascii="Arial" w:cs="Arial" w:eastAsia="Arial" w:hAnsi="Arial"/>
                <w:sz w:val="18"/>
                <w:szCs w:val="18"/>
                <w:color w:val="auto"/>
              </w:rPr>
              <w:t>2027 and thereafter</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36,327</w:t>
            </w:r>
          </w:p>
        </w:tc>
        <w:tc>
          <w:tcPr>
            <w:tcW w:w="100" w:type="dxa"/>
            <w:vAlign w:val="bottom"/>
          </w:tcPr>
          <w:p>
            <w:pPr>
              <w:spacing w:after="0"/>
              <w:rPr>
                <w:sz w:val="17"/>
                <w:szCs w:val="17"/>
                <w:color w:val="auto"/>
              </w:rPr>
            </w:pPr>
          </w:p>
        </w:tc>
      </w:tr>
      <w:tr>
        <w:trPr>
          <w:trHeight w:val="196"/>
        </w:trPr>
        <w:tc>
          <w:tcPr>
            <w:tcW w:w="87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future minimum lease payments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28,782</w:t>
            </w:r>
          </w:p>
        </w:tc>
        <w:tc>
          <w:tcPr>
            <w:tcW w:w="100" w:type="dxa"/>
            <w:vAlign w:val="bottom"/>
            <w:shd w:val="clear" w:color="auto" w:fill="CCEEFF"/>
          </w:tcPr>
          <w:p>
            <w:pPr>
              <w:spacing w:after="0"/>
              <w:rPr>
                <w:sz w:val="17"/>
                <w:szCs w:val="17"/>
                <w:color w:val="auto"/>
              </w:rPr>
            </w:pPr>
          </w:p>
        </w:tc>
      </w:tr>
      <w:tr>
        <w:trPr>
          <w:trHeight w:val="216"/>
        </w:trPr>
        <w:tc>
          <w:tcPr>
            <w:tcW w:w="874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(24,565 )</w:t>
            </w:r>
          </w:p>
        </w:tc>
      </w:tr>
      <w:tr>
        <w:trPr>
          <w:trHeight w:val="236"/>
        </w:trPr>
        <w:tc>
          <w:tcPr>
            <w:tcW w:w="87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4,217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3"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Includes $20.8 million of tenant improvement allowances expected to be received during these periods.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Future minimum lease payments, which do not include amounts for common area maintenance, insurance, or taxes, for operating lease obligations in accordance with ASC 840 -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ind w:right="85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18"/>
                <w:szCs w:val="18"/>
                <w:color w:val="auto"/>
              </w:rPr>
            </w:pPr>
          </w:p>
        </w:tc>
      </w:tr>
      <w:tr>
        <w:trPr>
          <w:trHeight w:val="221"/>
        </w:trPr>
        <w:tc>
          <w:tcPr>
            <w:tcW w:w="8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8"/>
              </w:rPr>
              <w:t>December 31, 2021</w:t>
            </w:r>
          </w:p>
        </w:tc>
        <w:tc>
          <w:tcPr>
            <w:tcW w:w="100" w:type="dxa"/>
            <w:vAlign w:val="bottom"/>
          </w:tcPr>
          <w:p>
            <w:pPr>
              <w:spacing w:after="0"/>
              <w:rPr>
                <w:sz w:val="19"/>
                <w:szCs w:val="19"/>
                <w:color w:val="auto"/>
              </w:rPr>
            </w:pPr>
          </w:p>
        </w:tc>
      </w:tr>
      <w:tr>
        <w:trPr>
          <w:trHeight w:val="196"/>
        </w:trPr>
        <w:tc>
          <w:tcPr>
            <w:tcW w:w="8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775</w:t>
            </w:r>
          </w:p>
        </w:tc>
        <w:tc>
          <w:tcPr>
            <w:tcW w:w="100" w:type="dxa"/>
            <w:vAlign w:val="bottom"/>
            <w:shd w:val="clear" w:color="auto" w:fill="CFF0FC"/>
          </w:tcPr>
          <w:p>
            <w:pPr>
              <w:spacing w:after="0"/>
              <w:rPr>
                <w:sz w:val="17"/>
                <w:szCs w:val="17"/>
                <w:color w:val="auto"/>
              </w:rPr>
            </w:pPr>
          </w:p>
        </w:tc>
      </w:tr>
      <w:tr>
        <w:trPr>
          <w:trHeight w:val="203"/>
        </w:trPr>
        <w:tc>
          <w:tcPr>
            <w:tcW w:w="86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00" w:type="dxa"/>
            <w:vAlign w:val="bottom"/>
          </w:tcPr>
          <w:p>
            <w:pPr>
              <w:spacing w:after="0"/>
              <w:rPr>
                <w:sz w:val="17"/>
                <w:szCs w:val="17"/>
                <w:color w:val="auto"/>
              </w:rPr>
            </w:pPr>
          </w:p>
        </w:tc>
      </w:tr>
      <w:tr>
        <w:trPr>
          <w:trHeight w:val="203"/>
        </w:trPr>
        <w:tc>
          <w:tcPr>
            <w:tcW w:w="8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7"/>
                <w:szCs w:val="17"/>
                <w:color w:val="auto"/>
              </w:rPr>
            </w:pPr>
          </w:p>
        </w:tc>
      </w:tr>
      <w:tr>
        <w:trPr>
          <w:trHeight w:val="203"/>
        </w:trPr>
        <w:tc>
          <w:tcPr>
            <w:tcW w:w="86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203"/>
        </w:trPr>
        <w:tc>
          <w:tcPr>
            <w:tcW w:w="8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3"/>
        </w:trPr>
        <w:tc>
          <w:tcPr>
            <w:tcW w:w="8660" w:type="dxa"/>
            <w:vAlign w:val="bottom"/>
          </w:tcPr>
          <w:p>
            <w:pPr>
              <w:ind w:left="20"/>
              <w:spacing w:after="0" w:line="202" w:lineRule="exact"/>
              <w:rPr>
                <w:sz w:val="20"/>
                <w:szCs w:val="20"/>
                <w:color w:val="auto"/>
              </w:rPr>
            </w:pPr>
            <w:r>
              <w:rPr>
                <w:rFonts w:ascii="Arial" w:cs="Arial" w:eastAsia="Arial" w:hAnsi="Arial"/>
                <w:sz w:val="18"/>
                <w:szCs w:val="18"/>
                <w:color w:val="auto"/>
              </w:rPr>
              <w:t>2027 and thereafter</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866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 Programs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maintains two facilities that enable equity financing on an ongoing basis at the Company’s sole discretion, our at-the-market offering and our common stock purchase agreement with Lincoln Park Capital Fund, LLC (the LPC facility). In November 2021, the Company entered into a sales agreement with a financial institution, pursuant to which the Company may issue and sell, from time to time, shares of its common stock having an aggregate offering price of up to $50.0 million (the Shares), subject to terms and conditions. The Shares will be offered and sold by the Company pursuant to its previously filed and currently effective registration statement on Form S-3. The Shares may only be offered and sold by means of a prospectus, including a prospectus supplement, forming part of the effective registration statement. Sales of the common stock,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1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March 7, 2022 (the Effective Date), the Company entered into a purchase agreement with Lincoln Park Capital Fund, LLC (Lincoln Park), pursuant to which Lincoln Park has committed to purchase up to $50.0 million of the Company's common stock (the Purchase Agreement).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 sole discretion, over the 36-month period commencing on the Effective Date. The number of shares the Company may sell to Lincoln Park on any single business day in a regular purchase is 50,000 shares, but that amount may be increased up to 100,000 shares, depending upon the market price of the Company’s common stock at the time of sale and subject to a maximum limit of $1.5 million per regular purchase. The purchase price per share for each such regular purchase will be based on prevailing market prices of the Company’s common stock immediately preceding the time of sale as computed under the Purchase Agreement. In addition to regular purchases, the Company may also direct Lincoln Park to purchase other amounts as accelerated purchases or as additional accelerated purchases.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Under applicable rules of the Nasdaq Capital Market, in no event may the Company issue or sell to Lincoln Park under the Purchase Agreement more than 19.99% of the shares of the Company’s common stock outstanding immediately prior to the execution of the Purchase Agreement (the Exchange Cap), unless (i) the Company obtains stockholder approval to issue shares of common stock in excess of the Exchange Cap or (ii) the average price of all applicable sales of common stock to Lincoln Park under the Purchase Agreement equals or exceeds $2.20 per share, such that issuances and sales of the common stock to Lincoln Park under the Purchase Agreement would be exempt from the Exchange Cap limitation under applicable Nasdaq rules.</w:t>
      </w:r>
    </w:p>
    <w:p>
      <w:pPr>
        <w:spacing w:after="0" w:line="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Lincoln Park has no right to require the Company to sell any shares of common stock to Lincoln Park, but Lincoln Park is obligated to make purchases as the Company directs, subject to certain conditions. In all instances, the Company may not sell shares of its common stock to Lincoln Park under the Purchase Agreement if doing so would result in Lincoln Park beneficially owning more than 9.99% of its common stock.</w:t>
      </w:r>
    </w:p>
    <w:p>
      <w:pPr>
        <w:spacing w:after="0" w:line="5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Actual sales of shares of common stock to Lincoln Park under the Purchase Agreement will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if any, under the Purchase Agreement will depend on the frequency and prices at which the Company sells shares of its common stock to Lincoln Park. The Company intends to use any net proceeds from the sale of its common stock to Lincoln Park to advance its growth strategy and for general corporate purposes. On the Effective Date, the Company issued 184,275 shares of common stock to Lincoln Park as a commitment fee (the Initial Commitment Shares) for which the Company did not receive consideration and, upon the available amount being reduced to an amount equal to or less than $20.0 million, the Company will be required to issue 61,425 shares (the Additional Commitment Shares and together with the Initial Commitment Shares, collectively, the Commitment Shares). The Initial Commitment Shares issued were valued at $600,000 and are included on the balance sheet in 'Other long-term assets'. In addition to the Initial Commitment Shares, the Company recorded $129,000 of due diligence expenses and legal fees as deferred offering costs. The deferred offering costs will be charged against 'Additional paid-in capital' upon future proceeds from the sale of common stock under the Purchase Agreement. During the three and six months ended June 30, 2022, $18,000 of deferred offering costs were charged against 'Additional paid-in capital', respectively. As of June 30, 2022, $711,000 of deferred offering costs remain.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Purchase Agreement may be terminated by the Company at any time, at its sole discretion, without any cost or penalty, by giving one business day notice to Lincoln Park to terminate the Purchase Agreement. Lincoln Park has covenanted not to cause or engage in any manner whatsoever, any direct or indirect short selling or hedging of the common stock. Although the Company has agreed to reimburse Lincoln Park for a limited portion of the fees it incurred in connection with the Purchase Agreement, the Company did not pay any additional amounts to reimburse or otherwise compensate Lincoln Park in connection with the transaction, other than the issuance of the Commitment Shares.</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During the three and six months ended June 30, 2022, the Company raised approximately $2.9 million and $4.5 million, respectively ($2.8 million and $4.0 million, respectively, after deducting underwriting discounts and commissions and offering expenses payable), in gross proceeds from the sale of 1,419,139 and 2,127,891 common shares at a weighted average price per share of $2.03 and $2.11, respectively, under these programs. As of June 30, 2022, the Company had remaining available capacity for share issuances of approximately $29.9 million under the at-the-market facility and up to $49.2 million under the LPC facility, each subject to the restrictions and limitations of the underlying facilities, as applicable.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April 7, 2022, the Company entered into subscription agreements (the Subscription Agreements) with a consortium of investors (the Investors), including three members of our Board of Directors and other existing shareholders of the Company, for the issuance and sale by the Company of 6,508,376 shares of the Company’s common stock (the Shares) in an offering (the Private Placement). The three members of our Board of Directors acquired an aggregate of 3,631,284 shares pursuant to the form of a Subscription Agreement that did not include any registration rights. The remaining 2,877,092 shares were acquired by others pursuant to the form of a Subscription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Agreement whereby the Company agreed to file, subject to certain exceptions, a shelf registration statement with respect to resales of such shares with the Securities and Exchange Commission no later than 60 days from April 7, 2022, which the Company filed on June 6, 2022.</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Pursuant to the Subscription Agreements, the Investors purchased shares at a purchase price (determined in accordance with Nasdaq rules relating to the “Minimum Value” of the Company’s common stock) of $1.79 per share, which is equal to the closing price of the Company's common stock on April 7, 2022, for an aggregate purchase price of approximately $11.7 million. The Subscription Agreements include customary representations, warranties and covenants by the parties to the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During 2018, the Company issued warrants to purchase shares of convertible preferred stock in conjunction with the sale of certain convertible preferred shares and issuance of debt.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pricing model. As a result of the Company’s IPO, the preferred stock warrants were automatically converted to warrants to purchase 103,326 shares of common stock with a weighted average exercise price of $4.46 and were also transferred to additional paid-in capital. All common stock warrants remain outstanding as of June 30,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and Accounts Receivable Credit Concentration</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8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Diagnostic test revenues consist of blood-based lung tests and COVID-19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5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Revenues consisted of the following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w w:val="93"/>
              </w:rPr>
              <w:t>Three Months Ended June 30,</w:t>
            </w:r>
          </w:p>
        </w:tc>
        <w:tc>
          <w:tcPr>
            <w:tcW w:w="5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19"/>
                <w:szCs w:val="19"/>
                <w:color w:val="auto"/>
              </w:rPr>
            </w:pPr>
          </w:p>
        </w:tc>
      </w:tr>
      <w:tr>
        <w:trPr>
          <w:trHeight w:val="196"/>
        </w:trPr>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ind w:left="620"/>
              <w:spacing w:after="0" w:line="196" w:lineRule="exact"/>
              <w:rPr>
                <w:sz w:val="20"/>
                <w:szCs w:val="20"/>
                <w:color w:val="auto"/>
              </w:rPr>
            </w:pPr>
            <w:r>
              <w:rPr>
                <w:rFonts w:ascii="Arial" w:cs="Arial" w:eastAsia="Arial" w:hAnsi="Arial"/>
                <w:sz w:val="18"/>
                <w:szCs w:val="18"/>
                <w:b w:val="1"/>
                <w:bCs w:val="1"/>
                <w:color w:val="auto"/>
                <w:w w:val="99"/>
              </w:rPr>
              <w:t>2022</w:t>
            </w:r>
          </w:p>
        </w:tc>
        <w:tc>
          <w:tcPr>
            <w:tcW w:w="560" w:type="dxa"/>
            <w:vAlign w:val="bottom"/>
          </w:tcPr>
          <w:p>
            <w:pPr>
              <w:spacing w:after="0"/>
              <w:rPr>
                <w:sz w:val="17"/>
                <w:szCs w:val="17"/>
                <w:color w:val="auto"/>
              </w:rPr>
            </w:pPr>
          </w:p>
        </w:tc>
        <w:tc>
          <w:tcPr>
            <w:tcW w:w="142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5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3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Diagnostic tests</w:t>
            </w:r>
          </w:p>
        </w:tc>
        <w:tc>
          <w:tcPr>
            <w:tcW w:w="18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10,206</w:t>
            </w:r>
          </w:p>
        </w:tc>
        <w:tc>
          <w:tcPr>
            <w:tcW w:w="32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10,838</w:t>
            </w: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15,839</w:t>
            </w:r>
          </w:p>
        </w:tc>
        <w:tc>
          <w:tcPr>
            <w:tcW w:w="2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38,033</w:t>
            </w:r>
          </w:p>
        </w:tc>
        <w:tc>
          <w:tcPr>
            <w:tcW w:w="100" w:type="dxa"/>
            <w:vAlign w:val="bottom"/>
            <w:shd w:val="clear" w:color="auto" w:fill="CFF0FC"/>
          </w:tcPr>
          <w:p>
            <w:pPr>
              <w:spacing w:after="0"/>
              <w:rPr>
                <w:sz w:val="17"/>
                <w:szCs w:val="17"/>
                <w:color w:val="auto"/>
              </w:rPr>
            </w:pPr>
          </w:p>
        </w:tc>
      </w:tr>
      <w:tr>
        <w:trPr>
          <w:trHeight w:val="203"/>
        </w:trPr>
        <w:tc>
          <w:tcPr>
            <w:tcW w:w="37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Services</w:t>
            </w: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744</w:t>
            </w:r>
          </w:p>
        </w:tc>
        <w:tc>
          <w:tcPr>
            <w:tcW w:w="3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1,047</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1,659</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2,718</w:t>
            </w:r>
          </w:p>
        </w:tc>
        <w:tc>
          <w:tcPr>
            <w:tcW w:w="100" w:type="dxa"/>
            <w:vAlign w:val="bottom"/>
          </w:tcPr>
          <w:p>
            <w:pPr>
              <w:spacing w:after="0"/>
              <w:rPr>
                <w:sz w:val="17"/>
                <w:szCs w:val="17"/>
                <w:color w:val="auto"/>
              </w:rPr>
            </w:pPr>
          </w:p>
        </w:tc>
      </w:tr>
      <w:tr>
        <w:trPr>
          <w:trHeight w:val="236"/>
        </w:trPr>
        <w:tc>
          <w:tcPr>
            <w:tcW w:w="376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auto"/>
            </w:tcBorders>
            <w:shd w:val="clear" w:color="auto" w:fill="CFF0FC"/>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10,950</w:t>
            </w: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91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4"/>
              </w:rPr>
              <w:t>11,885</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17,498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40,751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Deferred revenue consists of cash payments from customers received in advance of delivery. As test results are delivered, the Company recognizes the deferred revenue in ‘Revenues’ in the statements of operations. Of the $1.9 million in ‘Deferred revenue’ recorded in the balance sheet as of December 31, 2021, $0.8 million was recognized in revenues during the six months ended June 30, 2022, $0.3 million was added to ‘Deferred revenue’ for up-front cash payments received for which the revenue recognition criteria have not been met and $0.8 million was reclassified from non-current deferred revenue. The ‘Deferred revenue’ of $2.2 million recorded in the balance sheet as of June 30, 2022 is expected to be recognized in revenues over the next twelve months as test results are delivered and services are performed. As of June 30, 2022 and December 31, 2021, the Company had zero and $0.8 million in non-current deferred revenue,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60"/>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10"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respectively, recorded within ‘Other long-term liabilities’ in the balance sheets which represent amounts to be recognized in excess of twelve months from the respective balance sheet date.</w:t>
      </w:r>
    </w:p>
    <w:p>
      <w:pPr>
        <w:spacing w:after="0" w:line="63"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The Company’s customers in excess of 10% of total revenue both pertain to our COVID-19 diagnostic testing services, and their related revenue as a percentage of total revenue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gridSpan w:val="4"/>
          </w:tcPr>
          <w:p>
            <w:pPr>
              <w:ind w:left="660"/>
              <w:spacing w:after="0"/>
              <w:rPr>
                <w:sz w:val="20"/>
                <w:szCs w:val="20"/>
                <w:color w:val="auto"/>
              </w:rPr>
            </w:pPr>
            <w:r>
              <w:rPr>
                <w:rFonts w:ascii="Arial" w:cs="Arial" w:eastAsia="Arial" w:hAnsi="Arial"/>
                <w:sz w:val="18"/>
                <w:szCs w:val="18"/>
                <w:b w:val="1"/>
                <w:bCs w:val="1"/>
                <w:color w:val="auto"/>
                <w:w w:val="99"/>
              </w:rPr>
              <w:t>Three Months Ended June 30,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gridSpan w:val="5"/>
          </w:tcPr>
          <w:p>
            <w:pPr>
              <w:ind w:left="740"/>
              <w:spacing w:after="0"/>
              <w:rPr>
                <w:sz w:val="20"/>
                <w:szCs w:val="20"/>
                <w:color w:val="auto"/>
              </w:rPr>
            </w:pPr>
            <w:r>
              <w:rPr>
                <w:rFonts w:ascii="Arial" w:cs="Arial" w:eastAsia="Arial" w:hAnsi="Arial"/>
                <w:sz w:val="18"/>
                <w:szCs w:val="18"/>
                <w:b w:val="1"/>
                <w:bCs w:val="1"/>
                <w:color w:val="auto"/>
              </w:rPr>
              <w:t>Six Months Ended June 30,</w:t>
            </w:r>
          </w:p>
        </w:tc>
      </w:tr>
      <w:tr>
        <w:trPr>
          <w:trHeight w:val="196"/>
        </w:trPr>
        <w:tc>
          <w:tcPr>
            <w:tcW w:w="3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top w:val="single" w:sz="8" w:color="auto"/>
              <w:bottom w:val="single" w:sz="8" w:color="auto"/>
            </w:tcBorders>
          </w:tcPr>
          <w:p>
            <w:pPr>
              <w:ind w:left="680"/>
              <w:spacing w:after="0" w:line="196" w:lineRule="exact"/>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4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 State of Colorado</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22 %</w:t>
            </w:r>
          </w:p>
        </w:tc>
        <w:tc>
          <w:tcPr>
            <w:tcW w:w="1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960" w:type="dxa"/>
            <w:vAlign w:val="bottom"/>
            <w:gridSpan w:val="2"/>
          </w:tcPr>
          <w:p>
            <w:pPr>
              <w:ind w:left="1480"/>
              <w:spacing w:after="0"/>
              <w:rPr>
                <w:sz w:val="20"/>
                <w:szCs w:val="20"/>
                <w:color w:val="auto"/>
              </w:rPr>
            </w:pPr>
            <w:r>
              <w:rPr>
                <w:rFonts w:ascii="Arial" w:cs="Arial" w:eastAsia="Arial" w:hAnsi="Arial"/>
                <w:sz w:val="18"/>
                <w:szCs w:val="18"/>
                <w:color w:val="auto"/>
              </w:rPr>
              <w:t>16 %</w:t>
            </w:r>
          </w:p>
        </w:tc>
        <w:tc>
          <w:tcPr>
            <w:tcW w:w="17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43"/>
        </w:trPr>
        <w:tc>
          <w:tcPr>
            <w:tcW w:w="4920" w:type="dxa"/>
            <w:vAlign w:val="bottom"/>
            <w:gridSpan w:val="3"/>
          </w:tcPr>
          <w:p>
            <w:pPr>
              <w:ind w:left="20"/>
              <w:spacing w:after="0"/>
              <w:rPr>
                <w:sz w:val="20"/>
                <w:szCs w:val="20"/>
                <w:color w:val="auto"/>
              </w:rPr>
            </w:pPr>
            <w:r>
              <w:rPr>
                <w:rFonts w:ascii="Arial" w:cs="Arial" w:eastAsia="Arial" w:hAnsi="Arial"/>
                <w:sz w:val="18"/>
                <w:szCs w:val="18"/>
                <w:color w:val="auto"/>
              </w:rPr>
              <w:t>The Big Ten Conference</w:t>
            </w:r>
          </w:p>
        </w:tc>
        <w:tc>
          <w:tcPr>
            <w:tcW w:w="19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3"/>
          </w:tcPr>
          <w:p>
            <w:pPr>
              <w:ind w:left="220"/>
              <w:spacing w:after="0"/>
              <w:rPr>
                <w:sz w:val="20"/>
                <w:szCs w:val="20"/>
                <w:color w:val="auto"/>
              </w:rPr>
            </w:pPr>
            <w:r>
              <w:rPr>
                <w:rFonts w:ascii="Arial" w:cs="Arial" w:eastAsia="Arial" w:hAnsi="Arial"/>
                <w:sz w:val="18"/>
                <w:szCs w:val="18"/>
                <w:color w:val="auto"/>
              </w:rPr>
              <w:t>40 %</w:t>
            </w:r>
          </w:p>
        </w:tc>
        <w:tc>
          <w:tcPr>
            <w:tcW w:w="19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1420"/>
              <w:spacing w:after="0"/>
              <w:rPr>
                <w:sz w:val="20"/>
                <w:szCs w:val="20"/>
                <w:color w:val="auto"/>
              </w:rPr>
            </w:pPr>
            <w:r>
              <w:rPr>
                <w:rFonts w:ascii="Arial" w:cs="Arial" w:eastAsia="Arial" w:hAnsi="Arial"/>
                <w:sz w:val="18"/>
                <w:szCs w:val="18"/>
                <w:color w:val="auto"/>
                <w:w w:val="82"/>
              </w:rPr>
              <w:t>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-299720</wp:posOffset>
            </wp:positionV>
            <wp:extent cx="1251585"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51585" cy="145415"/>
                    </a:xfrm>
                    <a:prstGeom prst="rect">
                      <a:avLst/>
                    </a:prstGeom>
                    <a:noFill/>
                  </pic:spPr>
                </pic:pic>
              </a:graphicData>
            </a:graphic>
          </wp:anchor>
        </w:drawing>
      </w:r>
    </w:p>
    <w:p>
      <w:pPr>
        <w:spacing w:after="0" w:line="168"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color w:val="auto"/>
        </w:rPr>
        <w:t>In addition to the above table, we collect reimbursement on behalf of customers covered by Medicare, which accounted for 28% and 33% of the Company’s total revenue for the three and six months ended June 30, 2022, respectively, compared to 56% for both the three and six months ended June 30, 2021. The Company is subject to credit risk from its accounts receivable related to services provided to its customers. The Company does not perform evaluations of customers' financial condition and does not require collateral.</w:t>
      </w:r>
    </w:p>
    <w:p>
      <w:pPr>
        <w:spacing w:after="0" w:line="80"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The Company’s third-party payors and other customers in excess of 10% of accounts receivable, and their related accounts receivable as a percentage of total accounts receivable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As of</w:t>
            </w:r>
          </w:p>
        </w:tc>
        <w:tc>
          <w:tcPr>
            <w:tcW w:w="2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53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Borders>
              <w:bottom w:val="single" w:sz="8" w:color="auto"/>
            </w:tcBorders>
          </w:tcPr>
          <w:p>
            <w:pPr>
              <w:ind w:left="740"/>
              <w:spacing w:after="0" w:line="196" w:lineRule="exact"/>
              <w:rPr>
                <w:sz w:val="20"/>
                <w:szCs w:val="20"/>
                <w:color w:val="auto"/>
              </w:rPr>
            </w:pPr>
            <w:r>
              <w:rPr>
                <w:rFonts w:ascii="Arial" w:cs="Arial" w:eastAsia="Arial" w:hAnsi="Arial"/>
                <w:sz w:val="18"/>
                <w:szCs w:val="18"/>
                <w:b w:val="1"/>
                <w:bCs w:val="1"/>
                <w:color w:val="auto"/>
              </w:rPr>
              <w:t>June 30, 2022</w:t>
            </w:r>
          </w:p>
        </w:tc>
        <w:tc>
          <w:tcPr>
            <w:tcW w:w="46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ind w:left="240"/>
              <w:spacing w:after="0" w:line="196" w:lineRule="exact"/>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The State of Colorado</w:t>
            </w:r>
          </w:p>
        </w:tc>
        <w:tc>
          <w:tcPr>
            <w:tcW w:w="28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w:t>
            </w:r>
          </w:p>
        </w:tc>
        <w:tc>
          <w:tcPr>
            <w:tcW w:w="3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340" w:type="dxa"/>
            <w:vAlign w:val="bottom"/>
            <w:shd w:val="clear" w:color="auto" w:fill="CCEEFF"/>
          </w:tcPr>
          <w:p>
            <w:pPr>
              <w:spacing w:after="0"/>
              <w:rPr>
                <w:sz w:val="17"/>
                <w:szCs w:val="17"/>
                <w:color w:val="auto"/>
              </w:rPr>
            </w:pPr>
          </w:p>
        </w:tc>
        <w:tc>
          <w:tcPr>
            <w:tcW w:w="2300" w:type="dxa"/>
            <w:vAlign w:val="bottom"/>
            <w:shd w:val="clear" w:color="auto" w:fill="CCEEFF"/>
          </w:tcPr>
          <w:p>
            <w:pPr>
              <w:ind w:left="210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6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Medicare</w:t>
            </w:r>
          </w:p>
        </w:tc>
        <w:tc>
          <w:tcPr>
            <w:tcW w:w="8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26 %</w:t>
            </w:r>
          </w:p>
        </w:tc>
        <w:tc>
          <w:tcPr>
            <w:tcW w:w="340" w:type="dxa"/>
            <w:vAlign w:val="bottom"/>
          </w:tcPr>
          <w:p>
            <w:pPr>
              <w:spacing w:after="0"/>
              <w:rPr>
                <w:sz w:val="17"/>
                <w:szCs w:val="17"/>
                <w:color w:val="auto"/>
              </w:rPr>
            </w:pPr>
          </w:p>
        </w:tc>
        <w:tc>
          <w:tcPr>
            <w:tcW w:w="2460" w:type="dxa"/>
            <w:vAlign w:val="bottom"/>
            <w:gridSpan w:val="3"/>
          </w:tcPr>
          <w:p>
            <w:pPr>
              <w:ind w:left="2100"/>
              <w:spacing w:after="0" w:line="202" w:lineRule="exact"/>
              <w:rPr>
                <w:sz w:val="20"/>
                <w:szCs w:val="20"/>
                <w:color w:val="auto"/>
              </w:rPr>
            </w:pPr>
            <w:r>
              <w:rPr>
                <w:rFonts w:ascii="Arial" w:cs="Arial" w:eastAsia="Arial" w:hAnsi="Arial"/>
                <w:sz w:val="18"/>
                <w:szCs w:val="18"/>
                <w:color w:val="auto"/>
                <w:w w:val="82"/>
              </w:rPr>
              <w:t>30 %</w:t>
            </w:r>
          </w:p>
        </w:tc>
      </w:tr>
      <w:tr>
        <w:trPr>
          <w:trHeight w:val="203"/>
        </w:trPr>
        <w:tc>
          <w:tcPr>
            <w:tcW w:w="76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Janssen Research and Development, LLC</w:t>
            </w:r>
          </w:p>
        </w:tc>
        <w:tc>
          <w:tcPr>
            <w:tcW w:w="8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11 %</w:t>
            </w:r>
          </w:p>
        </w:tc>
        <w:tc>
          <w:tcPr>
            <w:tcW w:w="340" w:type="dxa"/>
            <w:vAlign w:val="bottom"/>
          </w:tcPr>
          <w:p>
            <w:pPr>
              <w:spacing w:after="0"/>
              <w:rPr>
                <w:sz w:val="17"/>
                <w:szCs w:val="17"/>
                <w:color w:val="auto"/>
              </w:rPr>
            </w:pPr>
          </w:p>
        </w:tc>
        <w:tc>
          <w:tcPr>
            <w:tcW w:w="2460" w:type="dxa"/>
            <w:vAlign w:val="bottom"/>
            <w:gridSpan w:val="3"/>
          </w:tcPr>
          <w:p>
            <w:pPr>
              <w:ind w:left="2100"/>
              <w:spacing w:after="0" w:line="202" w:lineRule="exact"/>
              <w:rPr>
                <w:sz w:val="20"/>
                <w:szCs w:val="20"/>
                <w:color w:val="auto"/>
              </w:rPr>
            </w:pPr>
            <w:r>
              <w:rPr>
                <w:rFonts w:ascii="Arial" w:cs="Arial" w:eastAsia="Arial" w:hAnsi="Arial"/>
                <w:sz w:val="18"/>
                <w:szCs w:val="18"/>
                <w:color w:val="auto"/>
                <w:w w:val="82"/>
              </w:rPr>
              <w:t>14 %</w:t>
            </w:r>
          </w:p>
        </w:tc>
      </w:tr>
      <w:tr>
        <w:trPr>
          <w:trHeight w:val="230"/>
        </w:trPr>
        <w:tc>
          <w:tcPr>
            <w:tcW w:w="7660" w:type="dxa"/>
            <w:vAlign w:val="bottom"/>
            <w:gridSpan w:val="3"/>
          </w:tcPr>
          <w:p>
            <w:pPr>
              <w:ind w:left="20"/>
              <w:spacing w:after="0"/>
              <w:rPr>
                <w:sz w:val="20"/>
                <w:szCs w:val="20"/>
                <w:color w:val="auto"/>
              </w:rPr>
            </w:pPr>
            <w:r>
              <w:rPr>
                <w:rFonts w:ascii="Arial" w:cs="Arial" w:eastAsia="Arial" w:hAnsi="Arial"/>
                <w:sz w:val="18"/>
                <w:szCs w:val="18"/>
                <w:color w:val="auto"/>
              </w:rPr>
              <w:t>LabCorp DD (formerly Covance)</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4 %</w:t>
            </w:r>
          </w:p>
        </w:tc>
        <w:tc>
          <w:tcPr>
            <w:tcW w:w="340" w:type="dxa"/>
            <w:vAlign w:val="bottom"/>
          </w:tcPr>
          <w:p>
            <w:pPr>
              <w:spacing w:after="0"/>
              <w:rPr>
                <w:sz w:val="20"/>
                <w:szCs w:val="20"/>
                <w:color w:val="auto"/>
              </w:rPr>
            </w:pPr>
          </w:p>
        </w:tc>
        <w:tc>
          <w:tcPr>
            <w:tcW w:w="2460" w:type="dxa"/>
            <w:vAlign w:val="bottom"/>
            <w:gridSpan w:val="3"/>
          </w:tcPr>
          <w:p>
            <w:pPr>
              <w:ind w:left="2100"/>
              <w:spacing w:after="0"/>
              <w:rPr>
                <w:sz w:val="20"/>
                <w:szCs w:val="20"/>
                <w:color w:val="auto"/>
              </w:rPr>
            </w:pPr>
            <w:r>
              <w:rPr>
                <w:rFonts w:ascii="Arial" w:cs="Arial" w:eastAsia="Arial" w:hAnsi="Arial"/>
                <w:sz w:val="18"/>
                <w:szCs w:val="18"/>
                <w:color w:val="auto"/>
                <w:w w:val="82"/>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108"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color w:val="auto"/>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June 30, 2022, 29,740 shares of common stock remained available for future issuance under the 2020 Plan.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Pre-tax share-based compensation expense reported in the Company’s statements of operations was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Six Months Ended June 30,</w:t>
            </w:r>
          </w:p>
        </w:tc>
        <w:tc>
          <w:tcPr>
            <w:tcW w:w="100" w:type="dxa"/>
            <w:vAlign w:val="bottom"/>
          </w:tcPr>
          <w:p>
            <w:pPr>
              <w:spacing w:after="0"/>
              <w:rPr>
                <w:sz w:val="19"/>
                <w:szCs w:val="19"/>
                <w:color w:val="auto"/>
              </w:rPr>
            </w:pPr>
          </w:p>
        </w:tc>
      </w:tr>
      <w:tr>
        <w:trPr>
          <w:trHeight w:val="196"/>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17"/>
                <w:szCs w:val="17"/>
                <w:color w:val="auto"/>
              </w:rPr>
            </w:pPr>
          </w:p>
        </w:tc>
        <w:tc>
          <w:tcPr>
            <w:tcW w:w="134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49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Direct costs and expenses</w:t>
            </w:r>
          </w:p>
        </w:tc>
        <w:tc>
          <w:tcPr>
            <w:tcW w:w="16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100" w:type="dxa"/>
            <w:vAlign w:val="bottom"/>
          </w:tcPr>
          <w:p>
            <w:pPr>
              <w:spacing w:after="0"/>
              <w:rPr>
                <w:sz w:val="17"/>
                <w:szCs w:val="17"/>
                <w:color w:val="auto"/>
              </w:rPr>
            </w:pPr>
          </w:p>
        </w:tc>
      </w:tr>
      <w:tr>
        <w:trPr>
          <w:trHeight w:val="203"/>
        </w:trPr>
        <w:tc>
          <w:tcPr>
            <w:tcW w:w="506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Sales, marketing, general and administrative</w:t>
            </w:r>
          </w:p>
        </w:tc>
        <w:tc>
          <w:tcPr>
            <w:tcW w:w="8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1,163</w:t>
            </w: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6"/>
              </w:rPr>
              <w:t>435</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2,406</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0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880" w:type="dxa"/>
            <w:vAlign w:val="bottom"/>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w w:val="88"/>
              </w:rPr>
              <w:t>1,368</w:t>
            </w:r>
          </w:p>
        </w:tc>
        <w:tc>
          <w:tcPr>
            <w:tcW w:w="1340" w:type="dxa"/>
            <w:vAlign w:val="bottom"/>
            <w:gridSpan w:val="2"/>
          </w:tcPr>
          <w:p>
            <w:pPr>
              <w:jc w:val="right"/>
              <w:ind w:right="87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86"/>
              </w:rPr>
              <w:t>539</w:t>
            </w:r>
          </w:p>
        </w:tc>
        <w:tc>
          <w:tcPr>
            <w:tcW w:w="4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2,714</w:t>
            </w:r>
          </w:p>
        </w:tc>
        <w:tc>
          <w:tcPr>
            <w:tcW w:w="5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2,291</w:t>
            </w:r>
          </w:p>
        </w:tc>
        <w:tc>
          <w:tcPr>
            <w:tcW w:w="10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-159385</wp:posOffset>
            </wp:positionV>
            <wp:extent cx="7683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-159385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jc w:val="both"/>
        <w:ind w:right="60"/>
        <w:spacing w:after="0" w:line="216" w:lineRule="exact"/>
        <w:rPr>
          <w:sz w:val="20"/>
          <w:szCs w:val="20"/>
          <w:color w:val="auto"/>
        </w:rPr>
      </w:pPr>
      <w:r>
        <w:rPr>
          <w:rFonts w:ascii="Arial" w:cs="Arial" w:eastAsia="Arial" w:hAnsi="Arial"/>
          <w:sz w:val="18"/>
          <w:szCs w:val="18"/>
          <w:color w:val="auto"/>
        </w:rPr>
        <w:t>The remaining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options and restricted stock units was approximately $9.4 million as of June 30, 2022, and is expected to be amortized to expense over the next 3.1 years.</w:t>
      </w:r>
    </w:p>
    <w:p>
      <w:pPr>
        <w:spacing w:after="0" w:line="1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Stock option activity during the six months ended June 30, 2022, excluding the Bonus Option Program described below, was (in thousands, except weighted average exercise price and weighted average contractual life):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6"/>
              </w:rPr>
              <w:t>Weighted</w:t>
            </w: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210"/>
              <w:spacing w:after="0" w:line="176" w:lineRule="exact"/>
              <w:rPr>
                <w:sz w:val="20"/>
                <w:szCs w:val="20"/>
                <w:color w:val="auto"/>
              </w:rPr>
            </w:pPr>
            <w:r>
              <w:rPr>
                <w:rFonts w:ascii="Arial" w:cs="Arial" w:eastAsia="Arial" w:hAnsi="Arial"/>
                <w:sz w:val="18"/>
                <w:szCs w:val="18"/>
                <w:b w:val="1"/>
                <w:bCs w:val="1"/>
                <w:color w:val="auto"/>
              </w:rPr>
              <w:t>Average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89"/>
              </w:rPr>
              <w:t>Aggregate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30"/>
              <w:spacing w:after="0" w:line="176" w:lineRule="exact"/>
              <w:rPr>
                <w:sz w:val="20"/>
                <w:szCs w:val="20"/>
                <w:color w:val="auto"/>
              </w:rPr>
            </w:pPr>
            <w:r>
              <w:rPr>
                <w:rFonts w:ascii="Arial" w:cs="Arial" w:eastAsia="Arial" w:hAnsi="Arial"/>
                <w:sz w:val="18"/>
                <w:szCs w:val="18"/>
                <w:b w:val="1"/>
                <w:bCs w:val="1"/>
                <w:color w:val="auto"/>
              </w:rPr>
              <w:t>Average</w:t>
            </w:r>
          </w:p>
        </w:tc>
        <w:tc>
          <w:tcPr>
            <w:tcW w:w="24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Options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Exercise Price</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4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Intrinsic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2022</w:t>
            </w:r>
          </w:p>
        </w:tc>
        <w:tc>
          <w:tcPr>
            <w:tcW w:w="14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2,878</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8.08</w:t>
            </w:r>
          </w:p>
        </w:tc>
        <w:tc>
          <w:tcPr>
            <w:tcW w:w="24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Forfeited/canceled</w:t>
            </w:r>
          </w:p>
        </w:tc>
        <w:tc>
          <w:tcPr>
            <w:tcW w:w="150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(154 )</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8.89</w:t>
            </w: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0"/>
              <w:spacing w:after="0" w:line="202" w:lineRule="exact"/>
              <w:rPr>
                <w:sz w:val="20"/>
                <w:szCs w:val="20"/>
                <w:color w:val="auto"/>
              </w:rPr>
            </w:pPr>
            <w:r>
              <w:rPr>
                <w:rFonts w:ascii="Arial" w:cs="Arial" w:eastAsia="Arial" w:hAnsi="Arial"/>
                <w:sz w:val="18"/>
                <w:szCs w:val="18"/>
                <w:color w:val="auto"/>
              </w:rPr>
              <w:t>Exercised</w:t>
            </w:r>
          </w:p>
        </w:tc>
        <w:tc>
          <w:tcPr>
            <w:tcW w:w="15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(130 )</w:t>
            </w: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0.70</w:t>
            </w: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June 30, 2022</w:t>
            </w:r>
          </w:p>
        </w:tc>
        <w:tc>
          <w:tcPr>
            <w:tcW w:w="1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2,871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7.92</w:t>
            </w:r>
          </w:p>
        </w:tc>
        <w:tc>
          <w:tcPr>
            <w:tcW w:w="2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480" w:type="dxa"/>
            <w:vAlign w:val="bottom"/>
          </w:tcPr>
          <w:p>
            <w:pPr>
              <w:ind w:left="20"/>
              <w:spacing w:after="0" w:line="182" w:lineRule="exact"/>
              <w:rPr>
                <w:sz w:val="20"/>
                <w:szCs w:val="20"/>
                <w:color w:val="auto"/>
              </w:rPr>
            </w:pPr>
            <w:r>
              <w:rPr>
                <w:rFonts w:ascii="Arial" w:cs="Arial" w:eastAsia="Arial" w:hAnsi="Arial"/>
                <w:sz w:val="18"/>
                <w:szCs w:val="18"/>
                <w:color w:val="auto"/>
              </w:rPr>
              <w:t>Exercisable - June 30, 2022</w:t>
            </w:r>
          </w:p>
        </w:tc>
        <w:tc>
          <w:tcPr>
            <w:tcW w:w="12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1,668</w:t>
            </w:r>
          </w:p>
        </w:tc>
        <w:tc>
          <w:tcPr>
            <w:tcW w:w="2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6.11</w:t>
            </w:r>
          </w:p>
        </w:tc>
        <w:tc>
          <w:tcPr>
            <w:tcW w:w="14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6.8</w:t>
            </w:r>
          </w:p>
        </w:tc>
        <w:tc>
          <w:tcPr>
            <w:tcW w:w="380" w:type="dxa"/>
            <w:vAlign w:val="bottom"/>
            <w:gridSpan w:val="2"/>
          </w:tcPr>
          <w:p>
            <w:pPr>
              <w:ind w:left="240"/>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782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-179705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-162560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-179705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-162560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-179705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-162560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unit activity during the six months ended June 30, 2022 was (in thousands, except weighted average grant date fair value per share):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Number of Shares</w:t>
            </w:r>
          </w:p>
        </w:tc>
        <w:tc>
          <w:tcPr>
            <w:tcW w:w="19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3"/>
              </w:rPr>
              <w:t>Grant 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2022</w:t>
            </w:r>
          </w:p>
        </w:tc>
        <w:tc>
          <w:tcPr>
            <w:tcW w:w="18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Forfeited/canceled</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(11 )</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200"/>
              <w:spacing w:after="0" w:line="202" w:lineRule="exact"/>
              <w:rPr>
                <w:sz w:val="20"/>
                <w:szCs w:val="20"/>
                <w:color w:val="auto"/>
              </w:rPr>
            </w:pPr>
            <w:r>
              <w:rPr>
                <w:rFonts w:ascii="Arial" w:cs="Arial" w:eastAsia="Arial" w:hAnsi="Arial"/>
                <w:sz w:val="18"/>
                <w:szCs w:val="18"/>
                <w:color w:val="auto"/>
              </w:rPr>
              <w:t>Released</w:t>
            </w:r>
          </w:p>
        </w:tc>
        <w:tc>
          <w:tcPr>
            <w:tcW w:w="180" w:type="dxa"/>
            <w:vAlign w:val="bottom"/>
          </w:tcPr>
          <w:p>
            <w:pPr>
              <w:spacing w:after="0"/>
              <w:rPr>
                <w:sz w:val="17"/>
                <w:szCs w:val="17"/>
                <w:color w:val="auto"/>
              </w:rPr>
            </w:pPr>
          </w:p>
        </w:tc>
        <w:tc>
          <w:tcPr>
            <w:tcW w:w="1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(138 )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1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June 30, 2022</w:t>
            </w:r>
          </w:p>
        </w:tc>
        <w:tc>
          <w:tcPr>
            <w:tcW w:w="18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1,475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Bonus-to-Options Program</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Bonus-to-Options Program (Bonus Option Program), the Company recorded the following activity during the six months ended June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2022 (in thousands, excepted weighted average exercise price and weighted average contractual life):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4"/>
              </w:rPr>
              <w:t>Aggregate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Life (Years)</w:t>
            </w:r>
          </w:p>
        </w:tc>
        <w:tc>
          <w:tcPr>
            <w:tcW w:w="24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Intrinsic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2022</w:t>
            </w:r>
          </w:p>
        </w:tc>
        <w:tc>
          <w:tcPr>
            <w:tcW w:w="1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17.00</w:t>
            </w:r>
          </w:p>
        </w:tc>
        <w:tc>
          <w:tcPr>
            <w:tcW w:w="24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Forfeited/canceled</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20.89</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Exercised</w:t>
            </w:r>
          </w:p>
        </w:tc>
        <w:tc>
          <w:tcPr>
            <w:tcW w:w="12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June 30, 2022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10.96</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line="182" w:lineRule="exact"/>
              <w:rPr>
                <w:sz w:val="20"/>
                <w:szCs w:val="20"/>
                <w:color w:val="auto"/>
              </w:rPr>
            </w:pPr>
            <w:r>
              <w:rPr>
                <w:rFonts w:ascii="Arial" w:cs="Arial" w:eastAsia="Arial" w:hAnsi="Arial"/>
                <w:sz w:val="18"/>
                <w:szCs w:val="18"/>
                <w:color w:val="auto"/>
              </w:rPr>
              <w:t>Exercisable - June 30, 2022</w:t>
            </w:r>
          </w:p>
        </w:tc>
        <w:tc>
          <w:tcPr>
            <w:tcW w:w="12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10.96</w:t>
            </w:r>
          </w:p>
        </w:tc>
        <w:tc>
          <w:tcPr>
            <w:tcW w:w="1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-179705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-162560</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-179705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-162560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-179705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-162560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accrued $0.4 million and $0.7 million for the three and six months ended June 30, 2022, respectively, compared to $0.1 million and $0.7 million for the three and six months ended June 30, 2021, respectively, related to the estimate of the Bonus Option Program. Options granted, if any, pertaining to the performance of the Bonus Option Program are typically approved and granted in first quarter of the year following completion of the fiscal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total of 338,106 shares of our common stock have been reserved for issuance under the Employee Stock Purchase Plan (ESPP). The ESPP provides for successive six-month offering periods beginning on September 1st and March 1st of each year. As of June 30, 2022, 142,680 shares have been issued under the ESPP leaving 195,426 shares remaining for future issuance.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Loss per Common Share</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earnings per share (EPS) excludes dilution and is computed by dividing net loss attributable to the common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or losses of the Company.</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connection with the acquisition of Indi in 2018, the Company recorded contingent consideration (See </w:t>
      </w:r>
      <w:r>
        <w:rPr>
          <w:rFonts w:ascii="Arial" w:cs="Arial" w:eastAsia="Arial" w:hAnsi="Arial"/>
          <w:sz w:val="17"/>
          <w:szCs w:val="17"/>
          <w:i w:val="1"/>
          <w:iCs w:val="1"/>
          <w:color w:val="auto"/>
        </w:rPr>
        <w:t>Note 4 – Fair Value</w:t>
      </w:r>
      <w:r>
        <w:rPr>
          <w:rFonts w:ascii="Arial" w:cs="Arial" w:eastAsia="Arial" w:hAnsi="Arial"/>
          <w:sz w:val="17"/>
          <w:szCs w:val="17"/>
          <w:color w:val="auto"/>
        </w:rPr>
        <w:t>) for amounts contingently payable to Indi's selling shareholders pursuant to the terms of the asset purchase agreement. The contingent consideration arrangement requires additional consideration to be paid by the Company to Indi upon attainment of a three-consecutive month gross margin target of $2.0 million within the seven-year period after the acquisition date. When the gross margin target was met, the Company was required to issue 2,520,108 shares of common stock. The Company met the gross margin target of $2.0 million for three consecutive months during the three months ended June 30, 2021. As a result of the achievement of the gross margin target, the Company included the 2,520,108 shares of common stock in the calculation of weighted-average shares outstanding used in computing basic and diluted net loss per share for the three and six months ended June 30, 2021. In August 2021, the Company entered into an amendment of the original agreement in which the Company has agreed to forgo the issuance of its Common Stock. Therefore, these shares are not included in the statements of stockholders' equity or shares issued and outstanding in the balance sheets and are not included in our earnings per share calculation subsequent to August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for the three and six months ended June 30, 2022 and 2021 were (in thousands,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w w:val="94"/>
              </w:rPr>
              <w:t>Three Months Ended June 30,</w:t>
            </w:r>
          </w:p>
        </w:tc>
        <w:tc>
          <w:tcPr>
            <w:tcW w:w="28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Numerator</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(15,824 )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(11,402 )  $</w:t>
            </w:r>
          </w:p>
        </w:tc>
        <w:tc>
          <w:tcPr>
            <w:tcW w:w="164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(31,410 )  $</w:t>
            </w: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(18,363 )</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00" w:type="dxa"/>
            <w:vAlign w:val="bottom"/>
            <w:gridSpan w:val="2"/>
            <w:shd w:val="clear" w:color="auto" w:fill="CFF0FC"/>
          </w:tcPr>
          <w:p>
            <w:pPr>
              <w:ind w:left="240"/>
              <w:spacing w:after="0" w:line="162" w:lineRule="exact"/>
              <w:rPr>
                <w:sz w:val="20"/>
                <w:szCs w:val="20"/>
                <w:color w:val="auto"/>
              </w:rPr>
            </w:pPr>
            <w:r>
              <w:rPr>
                <w:rFonts w:ascii="Arial" w:cs="Arial" w:eastAsia="Arial" w:hAnsi="Arial"/>
                <w:sz w:val="18"/>
                <w:szCs w:val="18"/>
                <w:color w:val="auto"/>
              </w:rPr>
              <w:t>Weighted-average shares outstanding used</w:t>
            </w:r>
          </w:p>
        </w:tc>
        <w:tc>
          <w:tcPr>
            <w:tcW w:w="2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39,239</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27,730</w:t>
            </w:r>
          </w:p>
        </w:tc>
        <w:tc>
          <w:tcPr>
            <w:tcW w:w="120" w:type="dxa"/>
            <w:vAlign w:val="bottom"/>
            <w:shd w:val="clear" w:color="auto" w:fill="CCEEFF"/>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35,177</w:t>
            </w:r>
          </w:p>
        </w:tc>
        <w:tc>
          <w:tcPr>
            <w:tcW w:w="100" w:type="dxa"/>
            <w:vAlign w:val="bottom"/>
            <w:shd w:val="clear" w:color="auto" w:fill="CCEEFF"/>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00" w:type="dxa"/>
            <w:vAlign w:val="bottom"/>
            <w:tcBorders>
              <w:bottom w:val="single" w:sz="8" w:color="CFF0FC"/>
            </w:tcBorders>
            <w:gridSpan w:val="2"/>
            <w:shd w:val="clear" w:color="auto" w:fill="CFF0FC"/>
          </w:tcPr>
          <w:p>
            <w:pPr>
              <w:ind w:left="340"/>
              <w:spacing w:after="0" w:line="202" w:lineRule="exact"/>
              <w:rPr>
                <w:sz w:val="20"/>
                <w:szCs w:val="20"/>
                <w:color w:val="auto"/>
              </w:rPr>
            </w:pPr>
            <w:r>
              <w:rPr>
                <w:rFonts w:ascii="Arial" w:cs="Arial" w:eastAsia="Arial" w:hAnsi="Arial"/>
                <w:sz w:val="18"/>
                <w:szCs w:val="18"/>
                <w:color w:val="auto"/>
              </w:rPr>
              <w:t>in computing net loss per share, basic and diluted</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(0.40 )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(0.41 )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(0.89 )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(0.68 )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-159385</wp:posOffset>
            </wp:positionV>
            <wp:extent cx="7747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-159385</wp:posOffset>
            </wp:positionV>
            <wp:extent cx="7747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outstanding common stock equivalents were excluded from diluted net loss attributable to common stockholders for the periods presented because inclusion would be anti-dilutive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19"/>
                <w:szCs w:val="19"/>
                <w:color w:val="auto"/>
              </w:rPr>
            </w:pPr>
          </w:p>
        </w:tc>
        <w:tc>
          <w:tcPr>
            <w:tcW w:w="30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17"/>
                <w:szCs w:val="17"/>
                <w:color w:val="auto"/>
              </w:rPr>
            </w:pPr>
          </w:p>
        </w:tc>
        <w:tc>
          <w:tcPr>
            <w:tcW w:w="1700" w:type="dxa"/>
            <w:vAlign w:val="bottom"/>
            <w:gridSpan w:val="2"/>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138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1660" w:type="dxa"/>
            <w:vAlign w:val="bottom"/>
            <w:gridSpan w:val="2"/>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4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to purchase common stock</w:t>
            </w:r>
          </w:p>
        </w:tc>
        <w:tc>
          <w:tcPr>
            <w:tcW w:w="14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3,474</w:t>
            </w:r>
          </w:p>
        </w:tc>
        <w:tc>
          <w:tcPr>
            <w:tcW w:w="26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2,874</w:t>
            </w:r>
          </w:p>
        </w:tc>
        <w:tc>
          <w:tcPr>
            <w:tcW w:w="220" w:type="dxa"/>
            <w:vAlign w:val="bottom"/>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3,474</w:t>
            </w:r>
          </w:p>
        </w:tc>
        <w:tc>
          <w:tcPr>
            <w:tcW w:w="240" w:type="dxa"/>
            <w:vAlign w:val="bottom"/>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17"/>
                <w:szCs w:val="17"/>
                <w:color w:val="auto"/>
              </w:rPr>
            </w:pPr>
          </w:p>
        </w:tc>
      </w:tr>
      <w:tr>
        <w:trPr>
          <w:trHeight w:val="203"/>
        </w:trPr>
        <w:tc>
          <w:tcPr>
            <w:tcW w:w="57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Shares committed under ESPP</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57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Warrants</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7"/>
                <w:szCs w:val="17"/>
                <w:color w:val="auto"/>
              </w:rPr>
            </w:pPr>
          </w:p>
        </w:tc>
      </w:tr>
      <w:tr>
        <w:trPr>
          <w:trHeight w:val="203"/>
        </w:trPr>
        <w:tc>
          <w:tcPr>
            <w:tcW w:w="57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1,475</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1,475</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w:t>
            </w:r>
          </w:p>
        </w:tc>
        <w:tc>
          <w:tcPr>
            <w:tcW w:w="100" w:type="dxa"/>
            <w:vAlign w:val="bottom"/>
          </w:tcPr>
          <w:p>
            <w:pPr>
              <w:spacing w:after="0"/>
              <w:rPr>
                <w:sz w:val="17"/>
                <w:szCs w:val="17"/>
                <w:color w:val="auto"/>
              </w:rPr>
            </w:pPr>
          </w:p>
        </w:tc>
      </w:tr>
      <w:tr>
        <w:trPr>
          <w:trHeight w:val="236"/>
        </w:trPr>
        <w:tc>
          <w:tcPr>
            <w:tcW w:w="4760" w:type="dxa"/>
            <w:vAlign w:val="bottom"/>
            <w:tcBorders>
              <w:bottom w:val="single" w:sz="8" w:color="CCEEFF"/>
            </w:tcBorders>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5,096</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5,096</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inception, the Company has incurred net taxable losses, and accordingly, no provision for income taxes has been recorded. There was no cash paid for income taxes during the three and six months ended June 30, 2022 and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08"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Development Agreement</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 of concept (POC) clinical study of ficlatuzumab for NSCLC in which BDX004 will be used to select clinical trial subjects (the NSCLC POC Trial). Under the agreement, the Company and AVEO would share equally in the costs of the NSCLC POC Trial,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BIODESIX,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each would be responsible for 50% of development and regulatory costs associated with all future clinical trials agreed upon by the Company and AVEO.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AVEO continue to conduct POC clinical trials of ficlatuzumab in combination with BDX004.</w:t>
      </w:r>
    </w:p>
    <w:p>
      <w:pPr>
        <w:spacing w:after="0" w:line="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September 2020, the Company exercised its opt-out right with AVEO for the payment of 50% of development and regulatory costs for ficlatuzumab effective December 2, 2020 (the Effective Date). In September 2021, AVEO announced that the FDA has granted Fast Track Designation (FTD) to ficlatuzumab for the treatment of patients with relapsed or recurrent head and neck squamous cell carcinoma. In November 2021 AVEO also announced plans to initiate a potential registrational Phase 3 clinical trial for ficlatuzumab in the first half of 2023. The Company had $0.1 million in remaining obligations related to the AVEO agreement as of June 30, 2022. Following the Effective Date, the Company is entitled to a 10% royalty of net sales of ficlatuzumab and 25% of license income generated from the licensing of ficlatuzumab from AVEO. There were no expenses related to this agreement for the three and six months ended June 30, 2022 and 2021.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On May 24, 2021, the Company entered into the First Amendment to the Non-Exclusive License Agreement with Bio-Rad which amended the Bio-Rad License such that, effective May 1, 2021, the Company will no longer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There were no expenses related to this agreement for the three and six months ended June 30, 2022 and 2021.</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May 13, 2021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Effective Date as an upfront make-good payment covering past royalties due and a royalty rate of 0.675% on future Nodify XL2 test net sales worldwide for 15 years from the first commercial sale, ending in 2034. Royalty expense under the CellCarta License for the three and six months ended June 30, 2022 and 2021 was insignificant.</w:t>
      </w:r>
    </w:p>
    <w:p>
      <w:pPr>
        <w:spacing w:after="0" w:line="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part of the acquisition of the assets of Oncimmune USA, the Company entered into several agreements to govern the relationship between the parties. The Company agreed to a license agreement and royalty payment related to an acquired diagnostic test of 8% of recognized revenue for non-screening tests up to an annual minimum volume and 5% thereafter, with an escalating minimum through the first four years of sales. Royalty expenses were $0.2 million and $0.4 million for the three and six months ended June 30, 2022, respectively, compared to $0.1 million and $0.3 million for the three and six months ended June 30, 2021,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Claims and Assessments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Biodesix, Inc. is referred to throughout this Quarterly Report on Form 10-Q for the period ended June 30, 2022 (Form 10-Q) as “we”, “us”, “our” or the “Company”.</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year ended December 31, 2021 (Form 10-K) and the Condensed Financial Statements as of June 30, 2022 and for the three and six months ended June 30, 2022 and 2021,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2021, which was filed on March 14, 2022.</w:t>
      </w:r>
    </w:p>
    <w:p>
      <w:pPr>
        <w:spacing w:after="0" w:line="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following MD&amp;A discussion is provided to supplement the Condensed Financial Statements as of June 30, 2022 and 2021 and for the three and six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w:t>
      </w:r>
    </w:p>
    <w:p>
      <w:pPr>
        <w:spacing w:after="0" w:line="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Data for the three and six months ended June 30, 2022 and 2021 has been derived from our unaudited condensed financial statements included in Part I, Item 1 of this Quarterly Report on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AI-based Diagnostic Cortex® platform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multi-omic approach is designed to enable us to discover diagnostic tests that answer critical clinical questions faced by physicians, researchers, and biopharmaceutical companies.</w:t>
      </w:r>
    </w:p>
    <w:p>
      <w:pPr>
        <w:spacing w:after="0" w:line="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a variety of samples with associated data in our biobank, including tumor profiles and immune profiles, which are used for both internal and external research and development initiatives.</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commercialized eight diagnostic tests which are currently available for use by physicians. Our Nodify XL2 and Nodify CDT tests, marketed as part of the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ddPCR, GeneStrat NGS, and VeriStrat tests, marketed as the IQLung testing strategy, are used following diagnosis of lung cancer to measure the presence of mutations in the tumor and the state of the patient’s immune system to establish the patient’s prognosis and help guide treatment decisions. The GeneStrat targeted tumor profiling test and the VeriStrat immune profiling test now have a 36-hour average turnaround time, down from the previous 72-hour average turnaround time, providing physicians with timely results to facilitate treatment decisions. The GeneStrat NGS test is our 72-hour average turnaround time blood-based NGS test, which was launched in November 2021 to a select group of physicians, with national launch in January 2022. The 52-gene panel includes guideline recommended mutations to help physicians treating advanced-stage lung cancer patients identify all four major mutation classes and genes, such as EGFR, ALK, KRAS, MET, NTRK, ERBB2, and others, and delivers them in an expedited timeframe so patient treatment can begin sooner.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jc w:val="both"/>
        <w:spacing w:after="0" w:line="267" w:lineRule="auto"/>
        <w:rPr>
          <w:sz w:val="20"/>
          <w:szCs w:val="20"/>
          <w:color w:val="auto"/>
        </w:rPr>
      </w:pPr>
      <w:r>
        <w:rPr>
          <w:rFonts w:ascii="Arial" w:cs="Arial" w:eastAsia="Arial" w:hAnsi="Arial"/>
          <w:sz w:val="16"/>
          <w:szCs w:val="16"/>
          <w:color w:val="auto"/>
        </w:rPr>
        <w:t>In response to the COVID-19 pandemic, through our partnership with Bio-Rad, we commercialized the Biodesix WorkSafe™ testing program.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Then U.S. Health and Human Services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Prior to using the Bio-Rad SARS-CoV-2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 Beginning in the quarter ended June 30, 2021, we began partnering with GenScript Biotech Corporation to commercialize the blood-based cPass SARS-CoV-2 Neutralizing Antibody testing as a service. The test is the first surrogate neutralizing antibody test with FDA EUA and uses ELISA technology to qualitatively detect circulating neutralizing antibodies to the RBD in the spike protein of SARS-CoV-2 that are produced in response to a previous SARS-CoV-2 infection.</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These tests under the Biodesix WorkSafe testing program are utilized by healthcare providers, including hospitals and nursing homes, and are also offered to businesses and educational systems. We have announced multiple partnerships for COVID-19 testing, and maintain an agreement with the State of Colorado to be one of the diagnostic companies to support widespread COVID-19 testing for the State which will expire on August 31, 2022. Additionally, we have overseen and managed onsite testing and validating testing for the Big Ten Conference athletic competitions through the term of our contract which expired on June 30, 2021.</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to the eight diagnostic tests currently on the market, we perform over 30 assays for research use as part of our laboratory services that have been used by over 60 biopharmaceutical companies and academic partners. All of our diagnostic testing is performed at one of our two accredited, high-complexity clinical laboratories in Boulder, Colorado and De Soto, Kansas.</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Since our inception, we have performed over 550,000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4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continues to address our liquidity needs through improvements to our capital structure. During the three months ended June 30, 2022, the Company entered into: (i) a private placement that raised approximately $11.7 million in net equity proceeds, (ii) an amendment and partial repayment of our 2021 Term Loan, (iii) modifications to extend payment terms under the Integrated Diagnostics asset purchase agreement (the Indi APA), (iv) common stock sales raising additional funds through our at-the-market facility, and (v) the closing of a $25.0 million debt facility with funding for up to $25.0 million occurring in two tranches. On May 9, 2022, we closed on the first tranche for gross proceeds of $15.0 million (approximately $12.8 million, net, after deducting debt issuance costs and OID) (Promissory Note One). Each of these strategic initiatives is described in further detail within the Notes to our condensed financial statements in Part 1 of this Quarterly Report on Form 10-Q as well as our Liquidity and Capital Resources section below.</w:t>
      </w:r>
    </w:p>
    <w:p>
      <w:pPr>
        <w:spacing w:after="0" w:line="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funded our operations to date principally from net proceeds from the issuances of our common stock, the sale of convertible preferred stock, revenue from diagnostic testing and services, and the incurrence of indebtedness. We had cash and cash equivalents of $28.7 million, inclusive of $5.1 million in restricted cash, and $32.7 million as of June 30, 2022 and December 31, 2021,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impact our operating performance and results of operations, including:</w:t>
      </w:r>
    </w:p>
    <w:p>
      <w:pPr>
        <w:spacing w:after="0" w:line="100" w:lineRule="exact"/>
        <w:rPr>
          <w:sz w:val="20"/>
          <w:szCs w:val="20"/>
          <w:color w:val="auto"/>
        </w:rPr>
      </w:pPr>
    </w:p>
    <w:p>
      <w:pPr>
        <w:jc w:val="both"/>
        <w:ind w:left="900" w:hanging="383"/>
        <w:spacing w:after="0" w:line="254"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Testing volume and customer mix. </w:t>
      </w:r>
      <w:r>
        <w:rPr>
          <w:rFonts w:ascii="Arial" w:cs="Arial" w:eastAsia="Arial" w:hAnsi="Arial"/>
          <w:sz w:val="17"/>
          <w:szCs w:val="17"/>
          <w:color w:val="auto"/>
        </w:rPr>
        <w:t>Our revenues and costs are affected by the volume of testing and mix of customers from period to period.</w:t>
      </w:r>
      <w:r>
        <w:rPr>
          <w:rFonts w:ascii="Arial" w:cs="Arial" w:eastAsia="Arial" w:hAnsi="Arial"/>
          <w:sz w:val="17"/>
          <w:szCs w:val="17"/>
          <w:b w:val="1"/>
          <w:bCs w:val="1"/>
          <w:color w:val="auto"/>
        </w:rPr>
        <w:t xml:space="preserve"> </w:t>
      </w:r>
      <w:r>
        <w:rPr>
          <w:rFonts w:ascii="Arial" w:cs="Arial" w:eastAsia="Arial" w:hAnsi="Arial"/>
          <w:sz w:val="17"/>
          <w:szCs w:val="17"/>
          <w:color w:val="auto"/>
        </w:rPr>
        <w:t>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spacing w:after="0" w:line="68" w:lineRule="exact"/>
        <w:rPr>
          <w:rFonts w:ascii="Arial" w:cs="Arial" w:eastAsia="Arial" w:hAnsi="Arial"/>
          <w:sz w:val="17"/>
          <w:szCs w:val="17"/>
          <w:color w:val="auto"/>
        </w:rPr>
      </w:pPr>
    </w:p>
    <w:p>
      <w:pPr>
        <w:jc w:val="both"/>
        <w:ind w:left="900" w:hanging="383"/>
        <w:spacing w:after="0" w:line="275"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Reimbursement for clinical diagnostic testing. </w:t>
      </w:r>
      <w:r>
        <w:rPr>
          <w:rFonts w:ascii="Arial" w:cs="Arial" w:eastAsia="Arial" w:hAnsi="Arial"/>
          <w:sz w:val="16"/>
          <w:szCs w:val="16"/>
          <w:color w:val="auto"/>
        </w:rPr>
        <w:t>Our revenue depends on achieving broad coverage and reimbursement for our tests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third-party payers, including both commercial and government payers. On June 7, 2022, we announced that WPS Government Health Administrators, the Medicare Administrative Contractor with jurisdiction for Biodesix’s De Soto, Kansas laboratory, has provided coverage for the Nodify CDT lung nodule test. All five Biodesix blood-based lung diagnostic tests within the Nodify Lung Nodule Risk Assessment testing strategy and IQLung strategy for lung cancer patients are now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53" w:lineRule="exact"/>
        <w:rPr>
          <w:rFonts w:ascii="Arial" w:cs="Arial" w:eastAsia="Arial" w:hAnsi="Arial"/>
          <w:sz w:val="16"/>
          <w:szCs w:val="16"/>
          <w:color w:val="auto"/>
        </w:rPr>
      </w:pPr>
    </w:p>
    <w:p>
      <w:pPr>
        <w:jc w:val="both"/>
        <w:ind w:left="900"/>
        <w:spacing w:after="0" w:line="272" w:lineRule="auto"/>
        <w:rPr>
          <w:rFonts w:ascii="Arial" w:cs="Arial" w:eastAsia="Arial" w:hAnsi="Arial"/>
          <w:sz w:val="16"/>
          <w:szCs w:val="16"/>
          <w:color w:val="auto"/>
        </w:rPr>
      </w:pPr>
      <w:r>
        <w:rPr>
          <w:rFonts w:ascii="Arial" w:cs="Arial" w:eastAsia="Arial" w:hAnsi="Arial"/>
          <w:sz w:val="16"/>
          <w:szCs w:val="16"/>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5" w:lineRule="exact"/>
        <w:rPr>
          <w:rFonts w:ascii="Arial" w:cs="Arial" w:eastAsia="Arial" w:hAnsi="Arial"/>
          <w:sz w:val="16"/>
          <w:szCs w:val="16"/>
          <w:color w:val="auto"/>
        </w:rPr>
      </w:pPr>
    </w:p>
    <w:p>
      <w:pPr>
        <w:jc w:val="both"/>
        <w:ind w:left="900" w:hanging="383"/>
        <w:spacing w:after="0" w:line="256"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clinical studies and product innovation to support growth. </w:t>
      </w:r>
      <w:r>
        <w:rPr>
          <w:rFonts w:ascii="Arial" w:cs="Arial" w:eastAsia="Arial" w:hAnsi="Arial"/>
          <w:sz w:val="17"/>
          <w:szCs w:val="17"/>
          <w:color w:val="auto"/>
        </w:rPr>
        <w:t>A significant aspect of our business is our investment in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w:t>
      </w:r>
    </w:p>
    <w:p>
      <w:pPr>
        <w:spacing w:after="0" w:line="69" w:lineRule="exact"/>
        <w:rPr>
          <w:rFonts w:ascii="Arial" w:cs="Arial" w:eastAsia="Arial" w:hAnsi="Arial"/>
          <w:sz w:val="17"/>
          <w:szCs w:val="17"/>
          <w:color w:val="auto"/>
        </w:rPr>
      </w:pPr>
    </w:p>
    <w:p>
      <w:pPr>
        <w:jc w:val="both"/>
        <w:ind w:left="900"/>
        <w:spacing w:after="0" w:line="274" w:lineRule="auto"/>
        <w:rPr>
          <w:rFonts w:ascii="Arial" w:cs="Arial" w:eastAsia="Arial" w:hAnsi="Arial"/>
          <w:sz w:val="17"/>
          <w:szCs w:val="17"/>
          <w:color w:val="auto"/>
        </w:rPr>
      </w:pPr>
      <w:r>
        <w:rPr>
          <w:rFonts w:ascii="Arial" w:cs="Arial" w:eastAsia="Arial" w:hAnsi="Arial"/>
          <w:sz w:val="16"/>
          <w:szCs w:val="16"/>
          <w:color w:val="auto"/>
        </w:rPr>
        <w:t>Our clinical research has resulted in approximately 90 peer-reviewed publications for our tests. In addition to clinical studies, we are collaborating with investigators from multiple academic cancer centers. For example,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51" w:lineRule="exact"/>
        <w:rPr>
          <w:rFonts w:ascii="Arial" w:cs="Arial" w:eastAsia="Arial" w:hAnsi="Arial"/>
          <w:sz w:val="17"/>
          <w:szCs w:val="17"/>
          <w:color w:val="auto"/>
        </w:rPr>
      </w:pPr>
    </w:p>
    <w:p>
      <w:pPr>
        <w:jc w:val="both"/>
        <w:ind w:left="900" w:hanging="383"/>
        <w:spacing w:after="0" w:line="23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Ability to attract new biopharmaceutical customers and maintain and expand relationships with existing customers</w:t>
      </w:r>
      <w:r>
        <w:rPr>
          <w:rFonts w:ascii="Arial" w:cs="Arial" w:eastAsia="Arial" w:hAnsi="Arial"/>
          <w:sz w:val="18"/>
          <w:szCs w:val="18"/>
          <w:color w:val="auto"/>
        </w:rPr>
        <w:t>.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and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jc w:val="both"/>
        <w:ind w:left="900"/>
        <w:spacing w:after="0" w:line="261" w:lineRule="auto"/>
        <w:rPr>
          <w:sz w:val="20"/>
          <w:szCs w:val="20"/>
          <w:color w:val="auto"/>
        </w:rPr>
      </w:pPr>
      <w:r>
        <w:rPr>
          <w:rFonts w:ascii="Arial" w:cs="Arial" w:eastAsia="Arial" w:hAnsi="Arial"/>
          <w:sz w:val="18"/>
          <w:szCs w:val="18"/>
          <w:color w:val="auto"/>
        </w:rPr>
        <w:t>data, in combination with clinical outcomes or claims data, has revenue-generating potential, including for novel target identification and companion diagnostic discovery and development.</w:t>
      </w:r>
    </w:p>
    <w:p>
      <w:pPr>
        <w:spacing w:after="0" w:line="63" w:lineRule="exact"/>
        <w:rPr>
          <w:sz w:val="20"/>
          <w:szCs w:val="20"/>
          <w:color w:val="auto"/>
        </w:rPr>
      </w:pPr>
    </w:p>
    <w:p>
      <w:pPr>
        <w:jc w:val="both"/>
        <w:ind w:left="900"/>
        <w:spacing w:after="0" w:line="276" w:lineRule="auto"/>
        <w:rPr>
          <w:sz w:val="20"/>
          <w:szCs w:val="20"/>
          <w:color w:val="auto"/>
        </w:rPr>
      </w:pPr>
      <w:r>
        <w:rPr>
          <w:rFonts w:ascii="Arial" w:cs="Arial" w:eastAsia="Arial" w:hAnsi="Arial"/>
          <w:sz w:val="16"/>
          <w:szCs w:val="16"/>
          <w:color w:val="auto"/>
        </w:rPr>
        <w:t>On June 30, 2022, the Company announced an arrangement with Royal Philips, a global leader in health care technology, in which our Nodify Lung blood-based lung nodule risk assessment testing will be incorporated into Philips Lung Cancer Orchestrator lung cancer patient management system. The incorporation of proteomics data – along with the radiologic and patient history data currently used to determine treatment decisions – can help create diagnostic efficiency for cancer care centers in the management of a growing number of lung nodule cases, via the contextual launch of Biodesix Nodify Lung application within Lung Cancer Orchestrator. Philips Lung Cancer Orchestrator solution is designed to enable health systems to operationalize lung cancer screening and lung nodule management programs at scale.</w:t>
      </w:r>
    </w:p>
    <w:p>
      <w:pPr>
        <w:spacing w:after="0" w:line="50" w:lineRule="exact"/>
        <w:rPr>
          <w:sz w:val="20"/>
          <w:szCs w:val="20"/>
          <w:color w:val="auto"/>
        </w:rPr>
      </w:pPr>
    </w:p>
    <w:p>
      <w:pPr>
        <w:jc w:val="both"/>
        <w:ind w:left="900" w:hanging="383"/>
        <w:spacing w:after="0" w:line="277"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Motivating and expanding our field sales force and customer support team</w:t>
      </w:r>
      <w:r>
        <w:rPr>
          <w:rFonts w:ascii="Arial" w:cs="Arial" w:eastAsia="Arial" w:hAnsi="Arial"/>
          <w:sz w:val="16"/>
          <w:szCs w:val="16"/>
          <w:color w:val="auto"/>
        </w:rPr>
        <w:t>. Our field sales force is the primary point of contact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setting. These representatives of the company must cover expansive geographic regions which limits their time for interaction and education of our products in the clinical setting. We plan to continue investing in the field sales force, increasing the total number of sales representatives to drive continued growth,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w:t>
      </w:r>
    </w:p>
    <w:p>
      <w:pPr>
        <w:spacing w:after="0" w:line="5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See Part II, Item 1A “Risk Factors” within this Form 10-Q and Item 1A “Risk Factors” of Part I of our Annual Report on Form 10-K for the year ended December 31, 2021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COVID-19 pandemic has disrupted, and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have the option to work from home. Our sales, marketing and business development efforts have also been constrained by our operational response to the COVID-19 pandemic. We will continue to adjust our operational norms, as needed, to help slow the spread of COVID-19, including complying with government directives and guidelines as they are modified and supplemented.</w:t>
      </w:r>
    </w:p>
    <w:p>
      <w:pPr>
        <w:spacing w:after="0" w:line="8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COVID-19 pandemic and the surge associated with the Delta and Omicron variants have negatively affected our lung diagnostic testing-related revenue and our clinical studies. For example, cancer patients had more limited access to hospitals, healthcare providers and medical resources as steps were taken to control the spread of COVID-19.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We do not anticipate the need for COVID testing to be commensurate with the peak demand experienced during the first quarter 2021 and instead expect the demand to moderate as new variants and infections occur. The reduction in demand for COVID-19 diagnostic testing will be a key indicator of continued recovery and is taken as a positive sign for both our Lung Diagnostic and Biopharmaceutical Services during 2022. There is no assurance that our COVID-19 testing program will continue to be accepted by the market or that other diagnostic tests will become more accepted, produce quicker results or are more accurate. Further, the longevity and extent of the COVID-19 pandemic is uncertain and the need for COVID-19 testing could vary which could have a significant effect on our results of operations and profitability. As a result, increases in revenue due to any increase in demand for these diagnostic tests may not be indicative of our future revenue. For example, we began to see recovery during the fourth quarter 2020 in our core lung diagnostic testing as our delivered tests exceeded first quarter 2020 delivered tests. The Company’s sales efforts continued to be impacted by the COVID-19 pandemic during the first half of the first quarter 2022 due to surges associated with variants, which negatively affected the growth rate of our core lung diagnostic testing-related revenue and our clinical studies. However, we began to see further recovery during the latter half of the first quarter and throughout the second quarter 2022 in lung diagnostic testing as health care practitioners, including pulmonologists, increasingly returned to pre-pandemic related care. While the full outcome of the COVID-19 pandemic is unknown, it continues to negatively impact our ability to grow and scale our business in line with our expectations and disclosures at the time of our initial public offering (IPO).</w:t>
      </w:r>
    </w:p>
    <w:p>
      <w:pPr>
        <w:spacing w:after="0" w:line="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See Item 1A “Risk Factors” of Part II in this Quarterly Report on Form 10-Q and those discussed in our other filings with the SEC, including the risks described in Item 1A “Risk Factors” of Part I of our Annual Report on Form 10-K for the year ended December 31, 2021, which was filed on March 14, 2022, for a description of how the COVID-19 pandemic may adversely affect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Second Quarter 2022 Financial and Operational Highlights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were significant developments affecting our business, capital structure and liquidity during the three months ended June 30, 2022 as compared to the same period in 2021 unless otherwise noted:</w:t>
      </w:r>
    </w:p>
    <w:p>
      <w:pPr>
        <w:spacing w:after="0" w:line="90" w:lineRule="exact"/>
        <w:rPr>
          <w:sz w:val="20"/>
          <w:szCs w:val="20"/>
          <w:color w:val="auto"/>
        </w:rPr>
      </w:pPr>
    </w:p>
    <w:p>
      <w:pPr>
        <w:ind w:left="860" w:hanging="508"/>
        <w:spacing w:after="0" w:line="225" w:lineRule="auto"/>
        <w:tabs>
          <w:tab w:leader="none" w:pos="8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Total revenue of $11.0 million, a decrease of 8%, driven primarily by an anticipated year-over-year decline in COVID-19 diagnostic testing revenue, offset by strong year-over-year growth in core lung diagnostics:</w:t>
      </w:r>
    </w:p>
    <w:p>
      <w:pPr>
        <w:spacing w:after="0" w:line="82" w:lineRule="exact"/>
        <w:rPr>
          <w:sz w:val="20"/>
          <w:szCs w:val="20"/>
          <w:color w:val="auto"/>
        </w:rPr>
      </w:pPr>
    </w:p>
    <w:p>
      <w:pPr>
        <w:ind w:left="1540" w:hanging="514"/>
        <w:spacing w:after="0" w:line="261"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Core lung diagnostic revenue of $7.3 million, reflected a year-over-year increase of 52% that was driven primarily by the increased adoption of Nodify Lung nodule management tests (Nodify CDT &amp; Nodify XL2);</w:t>
      </w:r>
    </w:p>
    <w:p>
      <w:pPr>
        <w:spacing w:after="0" w:line="62" w:lineRule="exact"/>
        <w:rPr>
          <w:rFonts w:ascii="Arial" w:cs="Arial" w:eastAsia="Arial" w:hAnsi="Arial"/>
          <w:sz w:val="18"/>
          <w:szCs w:val="18"/>
          <w:color w:val="auto"/>
        </w:rPr>
      </w:pPr>
    </w:p>
    <w:p>
      <w:pPr>
        <w:ind w:left="1540" w:right="20" w:hanging="514"/>
        <w:spacing w:after="0" w:line="261"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COVID-19 testing revenue of $3.0 million reflected a year-over-year decrease of 51% that was driven by the shift to at-home rapid antigen testing;</w:t>
      </w:r>
    </w:p>
    <w:p>
      <w:pPr>
        <w:spacing w:after="0" w:line="62" w:lineRule="exact"/>
        <w:rPr>
          <w:rFonts w:ascii="Arial" w:cs="Arial" w:eastAsia="Arial" w:hAnsi="Arial"/>
          <w:sz w:val="18"/>
          <w:szCs w:val="18"/>
          <w:color w:val="auto"/>
        </w:rPr>
      </w:pPr>
    </w:p>
    <w:p>
      <w:pPr>
        <w:ind w:left="1540" w:hanging="514"/>
        <w:spacing w:after="0" w:line="261"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Services revenue of $0.7 million decreased 29% year-over-year. COVID-related delays in clinical study enrollment and sample shipping logistics have begun to recover but are still impacting timelines for existing and new agreements;</w:t>
      </w:r>
    </w:p>
    <w:p>
      <w:pPr>
        <w:spacing w:after="0" w:line="62" w:lineRule="exact"/>
        <w:rPr>
          <w:rFonts w:ascii="Arial" w:cs="Arial" w:eastAsia="Arial" w:hAnsi="Arial"/>
          <w:sz w:val="18"/>
          <w:szCs w:val="18"/>
          <w:color w:val="auto"/>
        </w:rPr>
      </w:pPr>
    </w:p>
    <w:p>
      <w:pPr>
        <w:ind w:left="860" w:hanging="508"/>
        <w:spacing w:after="0" w:line="291" w:lineRule="auto"/>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Second quarter 2022 gross margin of $7.0 million, or 64% as a percentage of revenue as compared to 40% in the comparable prior year period primarily driven by the mix shift of sales to higher-margin core lung diagnostics and away from lower-margin COVID-19 testing;</w:t>
      </w:r>
    </w:p>
    <w:p>
      <w:pPr>
        <w:spacing w:after="0" w:line="38" w:lineRule="exact"/>
        <w:rPr>
          <w:rFonts w:ascii="Arial" w:cs="Arial" w:eastAsia="Arial" w:hAnsi="Arial"/>
          <w:sz w:val="17"/>
          <w:szCs w:val="17"/>
          <w:color w:val="auto"/>
        </w:rPr>
      </w:pPr>
    </w:p>
    <w:p>
      <w:pPr>
        <w:ind w:left="860" w:right="20" w:hanging="508"/>
        <w:spacing w:after="0" w:line="261"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expenses (excluding direct costs and expenses) of $18.6 million, an increase of 21% driven primarily by growth in sales and marketing to drive our growth in core lung diagnostic sales as well as the recent GeneStrat NGS commercial launch;</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Includes non-cash stock compensation expense of $1.4 million as compared to $0.5 million;</w:t>
      </w:r>
    </w:p>
    <w:p>
      <w:pPr>
        <w:spacing w:after="0" w:line="103" w:lineRule="exact"/>
        <w:rPr>
          <w:rFonts w:ascii="Arial" w:cs="Arial" w:eastAsia="Arial" w:hAnsi="Arial"/>
          <w:sz w:val="18"/>
          <w:szCs w:val="18"/>
          <w:color w:val="auto"/>
        </w:rPr>
      </w:pPr>
    </w:p>
    <w:p>
      <w:pPr>
        <w:ind w:left="860" w:hanging="508"/>
        <w:spacing w:after="0" w:line="261"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loss of $15.8 million, an increase of 39%, driven primarily by the loss on extinguishment charge resulting from the restructuring of the contingent consideration agreement with Indi;</w:t>
      </w:r>
    </w:p>
    <w:p>
      <w:pPr>
        <w:spacing w:after="0" w:line="62" w:lineRule="exact"/>
        <w:rPr>
          <w:rFonts w:ascii="Arial" w:cs="Arial" w:eastAsia="Arial" w:hAnsi="Arial"/>
          <w:sz w:val="18"/>
          <w:szCs w:val="18"/>
          <w:color w:val="auto"/>
        </w:rPr>
      </w:pPr>
    </w:p>
    <w:p>
      <w:pPr>
        <w:ind w:left="860" w:hanging="508"/>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and cash equivalents of $28.7 million, inclusive of $5.1 million in restricted cash, as of June 30;</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Raised net proceeds of $27.3 million during the quarter through debt and equity offerings;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Included payment of $2.0 million for scheduled milestone payment in April 2022 to Indi.</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core lung diagnostics testing and (ii) COVID-19 testing.</w:t>
      </w:r>
    </w:p>
    <w:p>
      <w:pPr>
        <w:spacing w:after="0" w:line="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Cost of diagnostic testing generally consists of cost of materials, direct labor, including bonus, employee benefits,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5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7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Internal expenses include employee-related costs, including salaries and related benefits for employees engaged in research and development functions. We do not track internal costs by product candidate because these costs are deployed across multiple programs and, as such, are not separately classified.</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7"/>
          <w:szCs w:val="17"/>
          <w:color w:val="auto"/>
        </w:rPr>
        <w:t>Our general and administrative expenses include costs for our executive, accounting, finance, legal and human resources functions. These expenses consist principally of salaries, bonuses, employee benefits,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connection with the purchase transaction of Indi, we recorded contingent consideration pertaining to the amounts potentially payable to Indi shareholder pursuant to the terms of the asset purchase agreement. The fair value of contingent consideration was assessed at each balance sheet date and changes, if any, to the fair value were recognized as operating expenses within the statement of operations. The Company met the gross margin target of $2.0 million for three consecutive months during the three months ended June 30, 2021. Subsequent changes to the contingent consideration following the achievement of the gross margin target are recorded as ‘Interest expense’ in the statements of operations resulting from the passage of time and fixed payment schedule. The significant unobservable inputs used in the measurement of fair value included the probability of successful achievement of the specified product gross margin targets, the period in which the targets were expected to be achieved, and discount rates which ranged from 11% to 16%. As a result of the achievement of the gross margin target, the only significant unobservable input used in the measurement of fair value includes the discount rate since all other inputs became fixed and determinable. During the period ended June 30, 2022, the Company increased the discount rate to reflect current market and Company specific conditions.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April 7, 2022, the Company entered into Amendment No. 3 to the Indi APA in which the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Interest Income</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the three and six months ended June 30, 2022, interest expense consists of cash and non-cash interest from Promissory Note One, the 2021 Term Loan and changes in the value of our contingent consideration associated with the passage of time subsequent to the achievement of the gross margin target in the second quarter 2021. For the three and six months ended June 30, 2021, interest expense primarily consists of cash and non-cash interest from our 2021 Term Loan. Interest income, which is included in ‘Other income, net’ in the statements of operations consists of income earned on our cash and cash equivalents.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significant components of our results of operations for the periods presented (in thousands, except percentages).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7"/>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gridSpan w:val="4"/>
            <w:vMerge w:val="restart"/>
          </w:tcPr>
          <w:p>
            <w:pPr>
              <w:ind w:left="420"/>
              <w:spacing w:after="0"/>
              <w:rPr>
                <w:sz w:val="20"/>
                <w:szCs w:val="20"/>
                <w:color w:val="auto"/>
              </w:rPr>
            </w:pPr>
            <w:r>
              <w:rPr>
                <w:rFonts w:ascii="Arial" w:cs="Arial" w:eastAsia="Arial" w:hAnsi="Arial"/>
                <w:sz w:val="18"/>
                <w:szCs w:val="18"/>
                <w:b w:val="1"/>
                <w:bCs w:val="1"/>
                <w:color w:val="auto"/>
                <w:w w:val="90"/>
              </w:rPr>
              <w:t>Change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0"/>
              </w:rPr>
              <w:t>Six Months Ended</w:t>
            </w:r>
          </w:p>
        </w:tc>
        <w:tc>
          <w:tcPr>
            <w:tcW w:w="1120" w:type="dxa"/>
            <w:vAlign w:val="bottom"/>
            <w:gridSpan w:val="4"/>
            <w:vMerge w:val="restart"/>
          </w:tcPr>
          <w:p>
            <w:pPr>
              <w:ind w:left="500"/>
              <w:spacing w:after="0"/>
              <w:rPr>
                <w:sz w:val="20"/>
                <w:szCs w:val="20"/>
                <w:color w:val="auto"/>
              </w:rPr>
            </w:pPr>
            <w:r>
              <w:rPr>
                <w:rFonts w:ascii="Arial" w:cs="Arial" w:eastAsia="Arial" w:hAnsi="Arial"/>
                <w:sz w:val="18"/>
                <w:szCs w:val="18"/>
                <w:b w:val="1"/>
                <w:bCs w:val="1"/>
                <w:color w:val="auto"/>
                <w:w w:val="90"/>
              </w:rPr>
              <w:t>Change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6"/>
          </w:tcPr>
          <w:p>
            <w:pPr>
              <w:ind w:left="420"/>
              <w:spacing w:after="0"/>
              <w:rPr>
                <w:sz w:val="20"/>
                <w:szCs w:val="20"/>
                <w:color w:val="auto"/>
              </w:rPr>
            </w:pPr>
            <w:r>
              <w:rPr>
                <w:rFonts w:ascii="Arial" w:cs="Arial" w:eastAsia="Arial" w:hAnsi="Arial"/>
                <w:sz w:val="18"/>
                <w:szCs w:val="18"/>
                <w:b w:val="1"/>
                <w:bCs w:val="1"/>
                <w:color w:val="auto"/>
              </w:rPr>
              <w:t>June 30,</w:t>
            </w:r>
          </w:p>
        </w:tc>
        <w:tc>
          <w:tcPr>
            <w:tcW w:w="1040" w:type="dxa"/>
            <w:vAlign w:val="bottom"/>
            <w:gridSpan w:val="4"/>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4"/>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2022</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2022</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196"/>
        </w:trPr>
        <w:tc>
          <w:tcPr>
            <w:tcW w:w="40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10,950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11,885</w:t>
            </w:r>
          </w:p>
        </w:tc>
        <w:tc>
          <w:tcPr>
            <w:tcW w:w="12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(935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shd w:val="clear" w:color="auto" w:fill="CFF0FC"/>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40,751</w:t>
            </w:r>
          </w:p>
        </w:tc>
        <w:tc>
          <w:tcPr>
            <w:tcW w:w="12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w w:val="86"/>
              </w:rPr>
              <w:t>$ (23,253</w:t>
            </w: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(18,088 )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Direct costs and expenses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7,085</w:t>
            </w:r>
          </w:p>
        </w:tc>
        <w:tc>
          <w:tcPr>
            <w:tcW w:w="12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(3,105 )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(44 )</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shd w:val="clear" w:color="auto" w:fill="CFF0FC"/>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25,303</w:t>
            </w:r>
          </w:p>
        </w:tc>
        <w:tc>
          <w:tcPr>
            <w:tcW w:w="12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3,361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3,323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1 %</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6,567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6,644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Sales, marketing, general and administrative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11,425</w:t>
            </w:r>
          </w:p>
        </w:tc>
        <w:tc>
          <w:tcPr>
            <w:tcW w:w="12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23,352</w:t>
            </w:r>
          </w:p>
        </w:tc>
        <w:tc>
          <w:tcPr>
            <w:tcW w:w="12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6,370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3"/>
        </w:trPr>
        <w:tc>
          <w:tcPr>
            <w:tcW w:w="40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20" w:type="dxa"/>
            <w:vAlign w:val="bottom"/>
          </w:tcPr>
          <w:p>
            <w:pPr>
              <w:spacing w:after="0"/>
              <w:rPr>
                <w:sz w:val="17"/>
                <w:szCs w:val="17"/>
                <w:color w:val="auto"/>
              </w:rPr>
            </w:pPr>
          </w:p>
        </w:tc>
        <w:tc>
          <w:tcPr>
            <w:tcW w:w="8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(639 )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w w:val="95"/>
              </w:rPr>
              <w:t>(100 )%</w:t>
            </w:r>
          </w:p>
        </w:tc>
        <w:tc>
          <w:tcPr>
            <w:tcW w:w="7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(1,622 )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Impairment loss on intangible 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3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22,576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22,472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0 %</w:t>
            </w: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43,585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56,921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(13,336 )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196"/>
        </w:trPr>
        <w:tc>
          <w:tcPr>
            <w:tcW w:w="40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(11,626</w:t>
            </w:r>
          </w:p>
        </w:tc>
        <w:tc>
          <w:tcPr>
            <w:tcW w:w="2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(10,587</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shd w:val="clear" w:color="auto" w:fill="CFF0FC"/>
              </w:rPr>
              <w:t>%</w:t>
            </w: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(26,087</w:t>
            </w:r>
          </w:p>
        </w:tc>
        <w:tc>
          <w:tcPr>
            <w:tcW w:w="2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(16,170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(9,917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(61</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3"/>
        </w:trPr>
        <w:tc>
          <w:tcPr>
            <w:tcW w:w="40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(1,017 )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(1,346 )</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(815 )</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(531 )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(65 )</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shd w:val="clear" w:color="auto" w:fill="CFF0FC"/>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(2,483 )</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(1,466 )</w:t>
            </w:r>
          </w:p>
        </w:tc>
        <w:tc>
          <w:tcPr>
            <w:tcW w:w="100" w:type="dxa"/>
            <w:vAlign w:val="bottom"/>
            <w:shd w:val="clear" w:color="auto" w:fill="CFF0FC"/>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Loss on extinguishment of liabilities</w:t>
            </w:r>
          </w:p>
        </w:tc>
        <w:tc>
          <w:tcPr>
            <w:tcW w:w="120" w:type="dxa"/>
            <w:vAlign w:val="bottom"/>
          </w:tcPr>
          <w:p>
            <w:pPr>
              <w:spacing w:after="0"/>
              <w:rPr>
                <w:sz w:val="17"/>
                <w:szCs w:val="17"/>
                <w:color w:val="auto"/>
              </w:rPr>
            </w:pPr>
          </w:p>
        </w:tc>
        <w:tc>
          <w:tcPr>
            <w:tcW w:w="8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(2,952 )</w:t>
            </w:r>
          </w:p>
        </w:tc>
        <w:tc>
          <w:tcPr>
            <w:tcW w:w="160" w:type="dxa"/>
            <w:vAlign w:val="bottom"/>
          </w:tcPr>
          <w:p>
            <w:pPr>
              <w:spacing w:after="0"/>
              <w:rPr>
                <w:sz w:val="17"/>
                <w:szCs w:val="17"/>
                <w:color w:val="auto"/>
              </w:rPr>
            </w:pPr>
          </w:p>
        </w:tc>
        <w:tc>
          <w:tcPr>
            <w:tcW w:w="7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(2,952 )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4"/>
          </w:tcPr>
          <w:p>
            <w:pPr>
              <w:jc w:val="right"/>
              <w:ind w:right="10"/>
              <w:spacing w:after="0" w:line="202" w:lineRule="exact"/>
              <w:rPr>
                <w:sz w:val="20"/>
                <w:szCs w:val="20"/>
                <w:color w:val="auto"/>
              </w:rPr>
            </w:pPr>
            <w:r>
              <w:rPr>
                <w:rFonts w:ascii="Arial" w:cs="Arial" w:eastAsia="Arial" w:hAnsi="Arial"/>
                <w:sz w:val="18"/>
                <w:szCs w:val="18"/>
                <w:color w:val="auto"/>
                <w:w w:val="95"/>
              </w:rPr>
              <w:t>(100 )%</w:t>
            </w:r>
          </w:p>
        </w:tc>
        <w:tc>
          <w:tcPr>
            <w:tcW w:w="7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(2,952 )</w:t>
            </w:r>
          </w:p>
        </w:tc>
        <w:tc>
          <w:tcPr>
            <w:tcW w:w="1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(728 )</w:t>
            </w:r>
          </w:p>
        </w:tc>
        <w:tc>
          <w:tcPr>
            <w:tcW w:w="1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(2,224 )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w w:val="90"/>
              </w:rPr>
              <w:t>11100 %</w:t>
            </w:r>
          </w:p>
        </w:tc>
        <w:tc>
          <w:tcPr>
            <w:tcW w:w="0" w:type="dxa"/>
            <w:vAlign w:val="bottom"/>
          </w:tcPr>
          <w:p>
            <w:pPr>
              <w:spacing w:after="0"/>
              <w:rPr>
                <w:sz w:val="1"/>
                <w:szCs w:val="1"/>
                <w:color w:val="auto"/>
              </w:rPr>
            </w:pPr>
          </w:p>
        </w:tc>
      </w:tr>
      <w:tr>
        <w:trPr>
          <w:trHeight w:val="20"/>
        </w:trPr>
        <w:tc>
          <w:tcPr>
            <w:tcW w:w="3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other expense</w:t>
            </w:r>
          </w:p>
        </w:tc>
        <w:tc>
          <w:tcPr>
            <w:tcW w:w="120" w:type="dxa"/>
            <w:vAlign w:val="bottom"/>
          </w:tcPr>
          <w:p>
            <w:pPr>
              <w:spacing w:after="0"/>
              <w:rPr>
                <w:sz w:val="17"/>
                <w:szCs w:val="17"/>
                <w:color w:val="auto"/>
              </w:rPr>
            </w:pPr>
          </w:p>
        </w:tc>
        <w:tc>
          <w:tcPr>
            <w:tcW w:w="8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(4,198 )</w:t>
            </w:r>
          </w:p>
        </w:tc>
        <w:tc>
          <w:tcPr>
            <w:tcW w:w="160" w:type="dxa"/>
            <w:vAlign w:val="bottom"/>
          </w:tcPr>
          <w:p>
            <w:pPr>
              <w:spacing w:after="0"/>
              <w:rPr>
                <w:sz w:val="17"/>
                <w:szCs w:val="17"/>
                <w:color w:val="auto"/>
              </w:rPr>
            </w:pP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(815 )</w:t>
            </w:r>
          </w:p>
        </w:tc>
        <w:tc>
          <w:tcPr>
            <w:tcW w:w="10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(3,383 )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4"/>
          </w:tcPr>
          <w:p>
            <w:pPr>
              <w:jc w:val="right"/>
              <w:ind w:right="10"/>
              <w:spacing w:after="0" w:line="196" w:lineRule="exact"/>
              <w:rPr>
                <w:sz w:val="20"/>
                <w:szCs w:val="20"/>
                <w:color w:val="auto"/>
              </w:rPr>
            </w:pPr>
            <w:r>
              <w:rPr>
                <w:rFonts w:ascii="Arial" w:cs="Arial" w:eastAsia="Arial" w:hAnsi="Arial"/>
                <w:sz w:val="18"/>
                <w:szCs w:val="18"/>
                <w:color w:val="auto"/>
                <w:w w:val="95"/>
              </w:rPr>
              <w:t>(415 )%</w:t>
            </w:r>
          </w:p>
        </w:tc>
        <w:tc>
          <w:tcPr>
            <w:tcW w:w="7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(5,323 )</w:t>
            </w:r>
          </w:p>
        </w:tc>
        <w:tc>
          <w:tcPr>
            <w:tcW w:w="14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(2,193 )</w:t>
            </w:r>
          </w:p>
        </w:tc>
        <w:tc>
          <w:tcPr>
            <w:tcW w:w="10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(3,130 )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6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w w:val="91"/>
              </w:rPr>
              <w:t>(15,824 )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(11,402 )</w:t>
            </w:r>
          </w:p>
        </w:tc>
        <w:tc>
          <w:tcPr>
            <w:tcW w:w="10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8"/>
              </w:rPr>
              <w:t>$ (4,422 )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(39 )%$</w:t>
            </w:r>
          </w:p>
        </w:tc>
        <w:tc>
          <w:tcPr>
            <w:tcW w:w="78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w w:val="88"/>
              </w:rPr>
              <w:t>(31,410 )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1"/>
              </w:rPr>
              <w:t>(18,363 )</w:t>
            </w:r>
          </w:p>
        </w:tc>
        <w:tc>
          <w:tcPr>
            <w:tcW w:w="100" w:type="dxa"/>
            <w:vAlign w:val="bottom"/>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4"/>
              </w:rPr>
              <w:t>$ (13,047 )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-2133600</wp:posOffset>
            </wp:positionV>
            <wp:extent cx="109728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97280" cy="1289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-1876425</wp:posOffset>
            </wp:positionV>
            <wp:extent cx="1097280"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97280" cy="12890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-1619250</wp:posOffset>
            </wp:positionV>
            <wp:extent cx="103759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37590" cy="1289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-1619250</wp:posOffset>
            </wp:positionV>
            <wp:extent cx="109728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97280" cy="12890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-1230630</wp:posOffset>
            </wp:positionV>
            <wp:extent cx="7747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-1230630</wp:posOffset>
            </wp:positionV>
            <wp:extent cx="7683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-1230630</wp:posOffset>
            </wp:positionV>
            <wp:extent cx="7683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-1230630</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-1230630</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-1362075</wp:posOffset>
            </wp:positionV>
            <wp:extent cx="122555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25550" cy="1371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-1087755</wp:posOffset>
            </wp:positionV>
            <wp:extent cx="109728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97280" cy="1289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-830580</wp:posOffset>
            </wp:positionV>
            <wp:extent cx="1097280"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97280" cy="12890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-441960</wp:posOffset>
            </wp:positionV>
            <wp:extent cx="7747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-573405</wp:posOffset>
            </wp:positionV>
            <wp:extent cx="1183005"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83005" cy="13716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-441960</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-573405</wp:posOffset>
            </wp:positionV>
            <wp:extent cx="122555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25550" cy="13716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-159385</wp:posOffset>
            </wp:positionV>
            <wp:extent cx="7747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-159385</wp:posOffset>
            </wp:positionV>
            <wp:extent cx="7683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-159385</wp:posOffset>
            </wp:positionV>
            <wp:extent cx="7683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-159385</wp:posOffset>
            </wp:positionV>
            <wp:extent cx="6858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-159385</wp:posOffset>
            </wp:positionV>
            <wp:extent cx="685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685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-159385</wp:posOffset>
            </wp:positionV>
            <wp:extent cx="685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We generate revenue from our diagnostic tests and services that we provide. Our revenues for the periods indicated were as follows (in thousands, except percentages):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5"/>
          </w:tcPr>
          <w:p>
            <w:pPr>
              <w:spacing w:after="0"/>
              <w:rPr>
                <w:sz w:val="20"/>
                <w:szCs w:val="20"/>
                <w:color w:val="auto"/>
              </w:rPr>
            </w:pPr>
            <w:r>
              <w:rPr>
                <w:rFonts w:ascii="Arial" w:cs="Arial" w:eastAsia="Arial" w:hAnsi="Arial"/>
                <w:sz w:val="18"/>
                <w:szCs w:val="18"/>
                <w:b w:val="1"/>
                <w:bCs w:val="1"/>
                <w:color w:val="auto"/>
                <w:w w:val="94"/>
              </w:rPr>
              <w:t>Three Months Ended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w w:val="93"/>
              </w:rPr>
              <w:t>Change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17"/>
                <w:szCs w:val="17"/>
                <w:color w:val="auto"/>
              </w:rPr>
            </w:pPr>
          </w:p>
        </w:tc>
        <w:tc>
          <w:tcPr>
            <w:tcW w:w="1180" w:type="dxa"/>
            <w:vAlign w:val="bottom"/>
            <w:gridSpan w:val="3"/>
            <w:vMerge w:val="restart"/>
          </w:tcPr>
          <w:p>
            <w:pPr>
              <w:ind w:left="540"/>
              <w:spacing w:after="0"/>
              <w:rPr>
                <w:sz w:val="20"/>
                <w:szCs w:val="20"/>
                <w:color w:val="auto"/>
              </w:rPr>
            </w:pPr>
            <w:r>
              <w:rPr>
                <w:rFonts w:ascii="Arial" w:cs="Arial" w:eastAsia="Arial" w:hAnsi="Arial"/>
                <w:sz w:val="18"/>
                <w:szCs w:val="18"/>
                <w:b w:val="1"/>
                <w:bCs w:val="1"/>
                <w:color w:val="auto"/>
                <w:w w:val="93"/>
              </w:rPr>
              <w:t>Change</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94"/>
              </w:rPr>
              <w:t>2022</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2021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1"/>
              </w:rPr>
              <w:t>)%</w:t>
            </w: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line="196" w:lineRule="exact"/>
              <w:rPr>
                <w:sz w:val="20"/>
                <w:szCs w:val="20"/>
                <w:color w:val="auto"/>
              </w:rPr>
            </w:pPr>
            <w:r>
              <w:rPr>
                <w:rFonts w:ascii="Arial" w:cs="Arial" w:eastAsia="Arial" w:hAnsi="Arial"/>
                <w:sz w:val="18"/>
                <w:szCs w:val="18"/>
                <w:color w:val="auto"/>
              </w:rPr>
              <w:t>Diagnostic revenue</w:t>
            </w:r>
          </w:p>
        </w:tc>
        <w:tc>
          <w:tcPr>
            <w:tcW w:w="12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w w:val="98"/>
              </w:rPr>
              <w:t>10,206</w:t>
            </w: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10,838</w:t>
            </w:r>
          </w:p>
        </w:tc>
        <w:tc>
          <w:tcPr>
            <w:tcW w:w="2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(632</w:t>
            </w:r>
          </w:p>
        </w:tc>
        <w:tc>
          <w:tcPr>
            <w:tcW w:w="2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$ 15,839</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38,033</w:t>
            </w:r>
          </w:p>
        </w:tc>
        <w:tc>
          <w:tcPr>
            <w:tcW w:w="2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w w:val="89"/>
              </w:rPr>
              <w:t>$ (22,194</w:t>
            </w:r>
          </w:p>
        </w:tc>
        <w:tc>
          <w:tcPr>
            <w:tcW w:w="2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Services revenue</w:t>
            </w: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744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1,047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(303 )</w:t>
            </w:r>
          </w:p>
        </w:tc>
        <w:tc>
          <w:tcPr>
            <w:tcW w:w="28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(29 )%</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1,659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2,718</w:t>
            </w:r>
          </w:p>
        </w:tc>
        <w:tc>
          <w:tcPr>
            <w:tcW w:w="11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(1,059 )</w:t>
            </w:r>
          </w:p>
        </w:tc>
        <w:tc>
          <w:tcPr>
            <w:tcW w:w="2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196"/>
        </w:trPr>
        <w:tc>
          <w:tcPr>
            <w:tcW w:w="37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10,950</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11,885</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(935</w:t>
            </w:r>
          </w:p>
        </w:tc>
        <w:tc>
          <w:tcPr>
            <w:tcW w:w="22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1"/>
              </w:rPr>
              <w:t>)%</w:t>
            </w: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4"/>
              </w:rPr>
              <w:t>$ 17,498</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40,751</w:t>
            </w:r>
          </w:p>
        </w:tc>
        <w:tc>
          <w:tcPr>
            <w:tcW w:w="2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 (23,253</w:t>
            </w:r>
          </w:p>
        </w:tc>
        <w:tc>
          <w:tcPr>
            <w:tcW w:w="20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9"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Total revenue decreased $0.9 million or 8%, and $23.3 million or 57% for the three and six months ended June 30, 2022, respectively, compared to the same periods in 2021.</w:t>
      </w:r>
    </w:p>
    <w:p>
      <w:pPr>
        <w:spacing w:after="0" w:line="63"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color w:val="auto"/>
        </w:rPr>
        <w:t>Diagnostic test revenue decreased $0.6 million or 6%, and $22.2 million or 58% for the three and six months ended June 30, 2022, respectively, compared to the same periods in 2021. The decrease for the three and six months ended June 30, 2022 compared to the same periods in 2021 is due to a $3.1 million and $25.4 million reduction in COVID-19 revenue, respectively, as the Company focuses its sales effort on the core lung diagnostic product lines. The reduction in Diagnostic test revenue was partially offset by an increase in our core lung diagnostic revenue of $2.5 million and $3.2 million for the three and six months ended June 30, 2022, respectively, compared to the same periods in 2021 driven primarily from an increase in Nodify XL2 and CDT, and GeneStrat NGS tests delivered. The Company’s sales efforts continued to be impacted by the COVID-19 pandemic during the first half of the first quarter 2022 due to surges associated with variants, which negatively affected the growth rate of our core lung diagnostic testing-related revenue and our clinical studies. However, we began to see further recovery during the latter half of the first quarter and throughout the second quarter 2022 in lung diagnostic testing as health care practitioners, including pulmonologists, increasingly returned to pre-pandemic related care.</w:t>
      </w:r>
    </w:p>
    <w:p>
      <w:pPr>
        <w:spacing w:after="0" w:line="61"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Services revenue decreased $0.3 million or 29%, and $1.1 million or 39% for the three and six months ended June 30, 2022, respectively, compared to the same periods in 2021 due to lower testing volumes driven by delayed receipt of samples from partner organizations, with an expected increase in volume in the coming months as those samples are delivered. In addition to delayed receipts in samples, service revenue can fluctuate due to several factors including contract timing, which can be long under normal circumstances, and currently reflects the slower pace of overall prospective clinical trial enrollment recovering from disruptions put forth by the recent Omicron COVID-19 variant spike.</w:t>
      </w:r>
    </w:p>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04"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Direct costs and expenses related to revenue decreased $3.1 million or 44%, and $18.1 million or 71% for the three and six months ended June 30, 2022, respectively, compared to the same periods in 2021 driven primarily by the overall decline in COVID-19 testing, as vaccinations increase as well as broader adoption and availability of at-home testing, partially offset by an increase in direct costs and expenses associated with increased lung diagnostic revenue.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jc w:val="both"/>
        <w:ind w:right="100"/>
        <w:spacing w:after="0" w:line="241" w:lineRule="auto"/>
        <w:rPr>
          <w:sz w:val="20"/>
          <w:szCs w:val="20"/>
          <w:color w:val="auto"/>
        </w:rPr>
      </w:pPr>
      <w:r>
        <w:rPr>
          <w:rFonts w:ascii="Arial" w:cs="Arial" w:eastAsia="Arial" w:hAnsi="Arial"/>
          <w:sz w:val="18"/>
          <w:szCs w:val="18"/>
          <w:color w:val="auto"/>
        </w:rPr>
        <w:t>Research and development expenses increased $38,000 or 1%, and decreased $77,000 or 1% for the three and six months ended June 30, 2022, respectively, compared to the same periods in 2021. The increase in costs for the three months ended June 30, 2022 was due primarily to increased spending on clinical trials and employee compensation and benefit costs, partially offset by decreased other laboratory costs. The decrease in costs for the six months ended June 30, 2022 was due primarily to decreased spending on clinical trials and other laboratory costs, partially offset by employee compensation and benefit costs.</w:t>
      </w:r>
    </w:p>
    <w:p>
      <w:pPr>
        <w:spacing w:after="0" w:line="81"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The following table summarizes our external and internal costs for the three and six months ended June 30, 2022 and 2021 (in thousands, except percentages).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5"/>
          </w:tcPr>
          <w:p>
            <w:pPr>
              <w:ind w:left="20"/>
              <w:spacing w:after="0"/>
              <w:rPr>
                <w:sz w:val="20"/>
                <w:szCs w:val="20"/>
                <w:color w:val="auto"/>
              </w:rPr>
            </w:pPr>
            <w:r>
              <w:rPr>
                <w:rFonts w:ascii="Arial" w:cs="Arial" w:eastAsia="Arial" w:hAnsi="Arial"/>
                <w:sz w:val="18"/>
                <w:szCs w:val="18"/>
                <w:b w:val="1"/>
                <w:bCs w:val="1"/>
                <w:color w:val="auto"/>
                <w:w w:val="94"/>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w w:val="93"/>
              </w:rPr>
              <w:t>Change</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w w:val="90"/>
              </w:rPr>
              <w:t>Change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94"/>
              </w:rPr>
              <w:t>2021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84"/>
              </w:rPr>
              <w:t>2022</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External expenses:</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Clinical trials and associated costs</w:t>
            </w:r>
          </w:p>
        </w:tc>
        <w:tc>
          <w:tcPr>
            <w:tcW w:w="14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596</w:t>
            </w:r>
          </w:p>
        </w:tc>
        <w:tc>
          <w:tcPr>
            <w:tcW w:w="4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26 % $</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1,208</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1,307</w:t>
            </w: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(99 )</w:t>
            </w:r>
          </w:p>
        </w:tc>
        <w:tc>
          <w:tcPr>
            <w:tcW w:w="26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3"/>
        </w:trPr>
        <w:tc>
          <w:tcPr>
            <w:tcW w:w="3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 external costs</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803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1,027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(224 )</w:t>
            </w:r>
          </w:p>
        </w:tc>
        <w:tc>
          <w:tcPr>
            <w:tcW w:w="260" w:type="dxa"/>
            <w:vAlign w:val="bottom"/>
          </w:tcPr>
          <w:p>
            <w:pPr>
              <w:spacing w:after="0"/>
              <w:rPr>
                <w:sz w:val="17"/>
                <w:szCs w:val="17"/>
                <w:color w:val="auto"/>
              </w:rPr>
            </w:pPr>
          </w:p>
        </w:tc>
        <w:tc>
          <w:tcPr>
            <w:tcW w:w="88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(22 )%</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1,839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(171 )</w:t>
            </w:r>
          </w:p>
        </w:tc>
        <w:tc>
          <w:tcPr>
            <w:tcW w:w="26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external costs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1,553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1,623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(70 )</w:t>
            </w:r>
          </w:p>
        </w:tc>
        <w:tc>
          <w:tcPr>
            <w:tcW w:w="260" w:type="dxa"/>
            <w:vAlign w:val="bottom"/>
          </w:tcPr>
          <w:p>
            <w:pPr>
              <w:spacing w:after="0"/>
              <w:rPr>
                <w:sz w:val="17"/>
                <w:szCs w:val="17"/>
                <w:color w:val="auto"/>
              </w:rPr>
            </w:pPr>
          </w:p>
        </w:tc>
        <w:tc>
          <w:tcPr>
            <w:tcW w:w="88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auto"/>
              </w:rPr>
              <w:t>(4 )%</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3,047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3,317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(270 )</w:t>
            </w:r>
          </w:p>
        </w:tc>
        <w:tc>
          <w:tcPr>
            <w:tcW w:w="260" w:type="dxa"/>
            <w:vAlign w:val="bottom"/>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3"/>
        </w:trPr>
        <w:tc>
          <w:tcPr>
            <w:tcW w:w="3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Internal expenses</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1,808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6 %</w:t>
            </w: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3,520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3,327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2"/>
            <w:vMerge w:val="continue"/>
          </w:tcPr>
          <w:p>
            <w:pPr>
              <w:spacing w:after="0"/>
              <w:rPr>
                <w:sz w:val="17"/>
                <w:szCs w:val="17"/>
                <w:color w:val="auto"/>
              </w:rPr>
            </w:pPr>
          </w:p>
        </w:tc>
        <w:tc>
          <w:tcPr>
            <w:tcW w:w="140" w:type="dxa"/>
            <w:vAlign w:val="bottom"/>
          </w:tcPr>
          <w:p>
            <w:pPr>
              <w:ind w:left="2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3,361</w:t>
            </w:r>
          </w:p>
        </w:tc>
        <w:tc>
          <w:tcPr>
            <w:tcW w:w="2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3,323</w:t>
            </w:r>
          </w:p>
        </w:tc>
        <w:tc>
          <w:tcPr>
            <w:tcW w:w="24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1 % $</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6,567</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6,644</w:t>
            </w:r>
          </w:p>
        </w:tc>
        <w:tc>
          <w:tcPr>
            <w:tcW w:w="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(77 )</w:t>
            </w:r>
          </w:p>
        </w:tc>
        <w:tc>
          <w:tcPr>
            <w:tcW w:w="260" w:type="dxa"/>
            <w:vAlign w:val="bottom"/>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04"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Sales, marketing, general and administrative expenses increased $3.8 million or 33%, and $6.4 million or 27% for the three and six months ended June 30, 2022, respectively, compared to the same periods in 2021. This increase was driven primarily by increases in employee compensation and benefits for both the three and six months ended June 30, 2022. This is also the result of increases in non-employee costs for both the three and six months ended June 30, 2022 associated with increased spending on various sales meetings, training, and campaigns.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04"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color w:val="auto"/>
        </w:rPr>
        <w:t>Change in fair value of contingent consideration decreased $0.6 million or 100%, and $1.6 million or 100% for the three and six months ended June 30, 2022, respectively, compared to the same periods in 2021. The net change to contingent consideration through the date the gross margin target was met is recorded as operating expenses in the statements of operations. The decrease of $0.6 million and $1.6 million is a result of the gross margin target being met during the three months ended June 30, 2021 and subsequent changes to the contingent consideration following the achievement of the gross margin target are recorded as ‘Interest expense’ in the statements of operations resulting from the passage of time and fixed payment schedule.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Interest expense increased $0.5 million or 65%, and $1.0 million or 69% for the three and six months ended June 30, 2022, respectively, compared to the same periods in 2021. This increase for the three months ended June 30, 2022 is primarily related to the securities purchase agreement with Streeterville Capital, LLC (the Lender), in which the Lender purchased Promissory Note One for which the Company recorded $0.5 million in interest expense. Additionally, the increase for the six months ended June 30, 2022 is primarily driven by interest related to Promissory Note One and the accelerated accretion of the $2.7 million SVB final payment as interest expense over the expected remaining term of the loan.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liabilities</w:t>
      </w:r>
    </w:p>
    <w:p>
      <w:pPr>
        <w:spacing w:after="0" w:line="104" w:lineRule="exact"/>
        <w:rPr>
          <w:sz w:val="20"/>
          <w:szCs w:val="20"/>
          <w:color w:val="auto"/>
        </w:rPr>
      </w:pPr>
    </w:p>
    <w:p>
      <w:pPr>
        <w:jc w:val="both"/>
        <w:ind w:right="100"/>
        <w:spacing w:after="0" w:line="243" w:lineRule="auto"/>
        <w:rPr>
          <w:sz w:val="20"/>
          <w:szCs w:val="20"/>
          <w:color w:val="auto"/>
        </w:rPr>
      </w:pPr>
      <w:r>
        <w:rPr>
          <w:rFonts w:ascii="Arial" w:cs="Arial" w:eastAsia="Arial" w:hAnsi="Arial"/>
          <w:sz w:val="18"/>
          <w:szCs w:val="18"/>
          <w:color w:val="auto"/>
        </w:rPr>
        <w:t>On April 7, 2022, the Company entered into Amendment No. 3 to the Indi APA in which all parties agreed to restructure the milestone payments. During the three months ended June 30, 2022, the Company evaluated Amendment No. 3 to the Indi APA in accordance with applicable accounting standards under U.S. GAAP which resulted in the extinguishment of the original instrument due to the substantially different terms. As a result, during the three months ended June 30, 2022, we recorded a loss on the extinguishment of $2.9 million.</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36" w:right="239" w:bottom="1440" w:gutter="0" w:footer="0" w:header="0"/>
        </w:sectPr>
      </w:pPr>
    </w:p>
    <w:bookmarkStart w:id="35" w:name="page36"/>
    <w:bookmarkEnd w:id="35"/>
    <w:p>
      <w:pPr>
        <w:jc w:val="both"/>
        <w:spacing w:after="0" w:line="241" w:lineRule="auto"/>
        <w:rPr>
          <w:sz w:val="20"/>
          <w:szCs w:val="20"/>
          <w:color w:val="auto"/>
        </w:rPr>
      </w:pPr>
      <w:r>
        <w:rPr>
          <w:rFonts w:ascii="Arial" w:cs="Arial" w:eastAsia="Arial" w:hAnsi="Arial"/>
          <w:sz w:val="18"/>
          <w:szCs w:val="18"/>
          <w:color w:val="auto"/>
        </w:rPr>
        <w:t>On March 19, 2021, the Company entered into a new Loan and Security Agreement (2021 Term Loan) for an original principal amount of $30 million with a maturity date of March 1, 2026. In connection with entering into the 2021 Term Loan, the Company repaid all outstanding principal and unpaid interest in the amount of $25.9 million due under the secured promissory note (2018 Notes) and contemporaneously terminated the Loan and Security Agreement, dated as of February 23, 2018, as amended. As a result of the extinguishment of the 2018 Notes, the Company recorded a loss on extinguishment of $0.7 million during the three months ended March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During March 2020, a global pandemic was declared by the World Health Organization related to the rapidly growing outbreak of a novel strain of coronavirus (COVID-19). As a result of the pandemic, the Company diversified its diagnostic testing beyond lung diagnostic testing to include the critical service of COVID-19 diagnostic testing.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In addition, the COVID-19 pandemic negatively affected our lung diagnostic testing-related revenue and our clinical studies. We began to see recovery during the fourth quarter 2020 in our core lung diagnostic testing as our delivered tests exceeded first quarter 2020 delivered tests. The Company’s sales efforts continued to be impacted by the COVID-19 pandemic during the first half of the first quarter 2022 due to surges associated with variants, which negatively affected the growth rate of our core lung diagnostic testing-related revenue and our clinical studies. However, we began to see further recovery during the latter half of the first quarter and throughout the second quarter 2022 in lung diagnostic testing as health care practitioners, including pulmonologists, increasingly returned to pre-pandemic related care. While the full outcome of the COVID-19 pandemic is unknown, it continues to negatively impact our ability to grow and scale our business in line with our expectations and disclosures at the time of our IPO. As a result, the items identified above have had an adverse effect on our revenue, results of operations and cash flows.</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March 2021, we completed the closing of our 2021 Term Loan for a principal amount of $30 million and extinguished our prior 2018 term loan for $25.9 million. The 2021 Term Loan contains customary affirmative covenants, including covenants regarding compliance with applicable laws and regulation, payment of taxes, insurance coverage, notice of certain events, and reporting requirements. Further, the 2021 Term Loan contains customary negative covenants limiting the ability to, among other things, incur future debt, transfer assets except for the ordinary course of business, make acquisitions, make certain restricted payments, and sell assets, subject to certain exceptions. The 2021 Term Loan requires the Company to comply with a minimum liquidity ratio covenant (as defined in the 2021 Term Loan) of not less than 0.95 to 1.00, and had a trailing six-month rolling revenue requirement of not less than 70% of the Company’s projected revenue performed at the end each reporting period.</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September 30, 2021, we entered into the Consent and First Amendment to Loan and Security Agreement (the 2021 Term Loan Amendment) to, among other things, amend our 2021 Term Loan to eliminate the revenue covenant for the period ended September 30, 2021 and modify the revenue covenant threshold for the three month period ended December 31, 2021. In addition, we agreed to establish a restricted cash collateral account for $15 million for the benefit of our lender if the balance of our cash and cash equivalents declined below $40 million.</w:t>
      </w:r>
    </w:p>
    <w:p>
      <w:pPr>
        <w:spacing w:after="0" w:line="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December 30, 2021, the Company raised approximately $16.3 million in gross proceeds from the sale of 3,756,994 common shares at a public offering price of $4.35 per share in an at-the-market offering. The Company received net proceeds of $15.7 million after deducting underwriting discounts and commissions and offering expenses payable by the Company.</w:t>
      </w:r>
    </w:p>
    <w:p>
      <w:pPr>
        <w:spacing w:after="0" w:line="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December 31, 2021, we entered into the Consent and Second Amendment to Loan and Security Agreement (Second Amendment) to, among other things, amend our 2021 Term Loan and First Amendment to: (i) obtain consent for the $4.6 million January 2022 milestone payment due under the Indi APA, (ii) repay $20 million in outstanding principal on December 31, 2021, (iii) waive the $600,000 prepayment fee on the $20 million Term Loan repayment, (iv) waive the minimum revenue covenant as of December 31, 2021, and (v) modify the minimum revenue requirement to not less than 75% for the three months ended March 31, 2022 and not less than 75% on a trailing six month rolling basis for each quarter thereafter of the Company’s projected revenue performed at the end of each reporting period. The Lender agreed to apply the full amount of funds previously established within the restricted cash collateral account to partially repay the $20 million in outstanding principal, thereby eliminating the restricted cash collateral account.</w:t>
      </w:r>
    </w:p>
    <w:p>
      <w:pPr>
        <w:spacing w:after="0" w:line="5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March 7, 2022 (the Effective Date), the Company entered into a purchase agreement with Lincoln Park, pursuant to which Lincoln Park has committed to purchase up to $50.0 million of the Company's common stock (the Purchase Agreement).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 sole discretion, over the 36-month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jc w:val="both"/>
        <w:spacing w:after="0" w:line="248" w:lineRule="auto"/>
        <w:rPr>
          <w:sz w:val="20"/>
          <w:szCs w:val="20"/>
          <w:color w:val="auto"/>
        </w:rPr>
      </w:pPr>
      <w:r>
        <w:rPr>
          <w:rFonts w:ascii="Arial" w:cs="Arial" w:eastAsia="Arial" w:hAnsi="Arial"/>
          <w:sz w:val="18"/>
          <w:szCs w:val="18"/>
          <w:color w:val="auto"/>
        </w:rPr>
        <w:t>period commencing on the Effective Date. As consideration for Lincoln Park's irrevocable commitment to purchase our common stock upon the terms of and subject to satisfaction of the conditions set forth in the purchase agreement, on the Effective Date, the Company issued 184,275 shares of common stock to Lincoln Park as a commitment fee valued at $600,000 for which no consideration was received.</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7, 2022, the Company entered into subscription agreements (the Subscription Agreements) with a consortium of investors (the Investors), including three members of our Board of Directors and other existing shareholders of the Company, for the issuance and sale by the Company of an aggregate of 6,508,376 shares of the Company’s common stock in an offering for an aggregate purchase price of approximately $11.7 million.</w:t>
      </w:r>
    </w:p>
    <w:p>
      <w:pPr>
        <w:spacing w:after="0" w:line="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April 7, 2022, the Company entered into the Consent and Third Amendment to Loan and Security Agreement (Third Amendment) whereby subject to the terms and conditions of the Third Amendment, certain waivers and consents were provided. Under the terms of the Third Amendment to our 2021 Term Loan, the Company agreed to the repayment of $3.0 million in outstanding principal in April 2022 with an additional $2.0 million to be paid no later than September 30, 2022, in exchange for the following:</w:t>
      </w:r>
    </w:p>
    <w:p>
      <w:pPr>
        <w:spacing w:after="0" w:line="80"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Consent for a $2.0 million April 2022 mutually agreed upon milestone payment under the Indi APA, as amended;</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Waiver of minimum revenue requirement for the three months ended March 31, 2022 and adjustment of remaining revenue milestones for 2022; and</w:t>
      </w:r>
    </w:p>
    <w:p>
      <w:pPr>
        <w:spacing w:after="0" w:line="62"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Waiver and elimination of the prepayment fee on the $3.0 million 2021 Term Loan partial repayment in April 2022 and subsequent $2.0 million principal repayment.</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further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are subject to consent from our lender under the 2021 Term Loan and related amendments. We have obtained lender consent for contractual payments through the third milestone and interest payment of $2.1 million paid in July 2022 and we are in discussions with our lender to obtain consents for future payments.</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May 9, 2022, the Company entered into a securities purchase agreement with Streeterville Capital, LLC (the Lender), pursuant to which, among other things, the Lender: (i) purchased a secured promissory note (Promissory Note One) in the aggregate principal amount totaling $16.0 million in exchange for $15.0 million less certain expenses and (ii) agreed to purchase another secured promissory note at the Company’s election (Promissory Note Two and, together with Promissory Note One, the Promissory Notes), subject to certain conditions precedent in aggregate principal amount totaling $10.3 million in exchange for $10.0 million in cash proceeds. Each of the Promissory Notes may, at the Company's option, be settled in cash or shares of common stock of the Company, upon the terms and subject to the limitations and conditions set forth in the Promissory Notes. On May 9, 2022, the Company closed on the first tranche for gross proceeds of $15.0 million (approximately $12.8 million, net, after deducting debt issuance costs and OID), and intends to use the proceeds from such issuance for general corporate purposes.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mentioned above, the Company maintains two facilities that enable equity financing on an ongoing basis at the Company’s sole discretion, our at-the-market offering and our common stock purchase agreement with Lincoln Park Capital Fund, LLC (the LPC facility). During the three and six months ended June 30, 2022, the Company raised approximately $2.9 million and $4.5 million, respectively ($2.8 million and $4.0 million, respectively, after deducting underwriting discounts and commissions and offering expenses payable), in gross proceeds from the sale of 1,419,139 and 2,127,891 common shares at a weighted average price per share of $2.03 and $2.11, respectively, under these programs. As of June 30, 2022, the Company had remaining available capacity for share issuances of approximately $29.9 million under the at-the-market facility and up to $49.2 million under the LPC facility, each subject to the restrictions and limitations of the underlying facilities, as applicable.</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As of June 30, 2022, we maintained cash and cash equivalents of $28.7 million, inclusive of restricted cash of $5.1 million, and we have $23.2 million in outstanding aggregate principal amount on our 2021 Term Loan and Promissory Note One.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 lung diagnostic testing and COVID-19 testing, and (ii) providing biopharmaceutical companies with development and testing services. In accordance with Accounting Standards Update 2014-15 (ASC Topic 205-40), </w:t>
      </w:r>
      <w:r>
        <w:rPr>
          <w:rFonts w:ascii="Arial" w:cs="Arial" w:eastAsia="Arial" w:hAnsi="Arial"/>
          <w:sz w:val="17"/>
          <w:szCs w:val="17"/>
          <w:i w:val="1"/>
          <w:iCs w:val="1"/>
          <w:color w:val="auto"/>
        </w:rPr>
        <w:t>Presentation of Financial Statements - Going Concern: Disclosure of Uncertainties about an Entity’s Ability to Continue as a Going Concern</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 required to evaluate whether there is substantial doubt about its ability to continue as a going concern each reporting period, including interim periods. In evaluating the Company’s ability to continue as a going concern, management projected its cash flow sources, including the debt and equity funding and amendments to the 2021 Term Loan and Indi APA, and evaluated the conditions and events that could raise substantial doubt about the Company’s ability to continue as a going concern within one year after the date that these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jc w:val="both"/>
        <w:ind w:right="20"/>
        <w:spacing w:after="0" w:line="291" w:lineRule="auto"/>
        <w:rPr>
          <w:sz w:val="20"/>
          <w:szCs w:val="20"/>
          <w:color w:val="auto"/>
        </w:rPr>
      </w:pPr>
      <w:r>
        <w:rPr>
          <w:rFonts w:ascii="Arial" w:cs="Arial" w:eastAsia="Arial" w:hAnsi="Arial"/>
          <w:sz w:val="17"/>
          <w:szCs w:val="17"/>
          <w:color w:val="auto"/>
        </w:rPr>
        <w:t>were issued. Management considered the Company’s current projections of future cash flows, current financial condition, sources of liquidity and debt obligations for at least one year from the date of issuance of this Form 10-Q in considering whether it has the ability to meet its obligations.</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ability to meet our obligations as they come due may be impacted by our ability to remain compliant with financial covenants in our loan agreements or to obtain waivers or amendments that impact the related covenants. As of June 30, 2022, the Company was in compliance with all restrictive and financial covenants associated with its borrowings. However, due to the continued uncertainty caused by the COVID-19 pandemic, significant risks remain with respect to our ability to meet these thresholds and any material adverse effect on our revenues, income and expenses could impact our ability to maintain compliance with these covenants.</w:t>
      </w:r>
    </w:p>
    <w:p>
      <w:pPr>
        <w:spacing w:after="0" w:line="8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Based on our current operating plan, unless we continue to raise additional capital (debt or equity) or obtain waiver from complying with such financial covenants, we expect that we will be unable to maintain our financial covenants under our existing loan agreements during the next twelve months, which could result in an Event of Default, as defined, causing an acceleration of the outstanding balances. We have taken steps to improve our liquidity through the actions noted above and have also undertaken several proactive measures to mitigate the financial and operational impacts of COVID-19 through the reduction of planned capital expenditures and certain operating expenses but we do not expect that these actions alone will be sufficient to maintain our financial covenants. We plan to raise additional funding through the issuance of equity or debt securities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nor can there be any assurance that the Company will be a beneficiary of the COVID-19 Action Plan.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revenues, results of operations and cash flows have been materially adversely impacted by the items noted above. We expect to continue to incur significant expenses for the foreseeable future and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Our unaudited financial statements have been prepared assuming we will continue as a going concern and do not include any adjustments that might be necessary should we be unable to continue as a going concern.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flows for the periods indicated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flows (used in) provided by:</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980" w:type="dxa"/>
            <w:vAlign w:val="bottom"/>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w w:val="85"/>
              </w:rPr>
              <w:t>(22,693 )</w:t>
            </w:r>
          </w:p>
        </w:tc>
        <w:tc>
          <w:tcPr>
            <w:tcW w:w="960" w:type="dxa"/>
            <w:vAlign w:val="bottom"/>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8"/>
              </w:rPr>
              <w:t>(10,236 )</w:t>
            </w:r>
          </w:p>
        </w:tc>
      </w:tr>
      <w:tr>
        <w:trPr>
          <w:trHeight w:val="203"/>
        </w:trPr>
        <w:tc>
          <w:tcPr>
            <w:tcW w:w="77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(732 )</w:t>
            </w:r>
          </w:p>
        </w:tc>
        <w:tc>
          <w:tcPr>
            <w:tcW w:w="9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(864 )</w:t>
            </w:r>
          </w:p>
        </w:tc>
      </w:tr>
      <w:tr>
        <w:trPr>
          <w:trHeight w:val="203"/>
        </w:trPr>
        <w:tc>
          <w:tcPr>
            <w:tcW w:w="7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19,299</w:t>
            </w:r>
          </w:p>
        </w:tc>
        <w:tc>
          <w:tcPr>
            <w:tcW w:w="2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5,229</w:t>
            </w:r>
          </w:p>
        </w:tc>
        <w:tc>
          <w:tcPr>
            <w:tcW w:w="100" w:type="dxa"/>
            <w:vAlign w:val="bottom"/>
          </w:tcPr>
          <w:p>
            <w:pPr>
              <w:spacing w:after="0"/>
              <w:rPr>
                <w:sz w:val="17"/>
                <w:szCs w:val="17"/>
                <w:color w:val="auto"/>
              </w:rPr>
            </w:pPr>
          </w:p>
        </w:tc>
      </w:tr>
      <w:tr>
        <w:trPr>
          <w:trHeight w:val="236"/>
        </w:trPr>
        <w:tc>
          <w:tcPr>
            <w:tcW w:w="77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Net decrease in cash and cash equivalents and restricted cash</w:t>
            </w:r>
          </w:p>
        </w:tc>
        <w:tc>
          <w:tcPr>
            <w:tcW w:w="980" w:type="dxa"/>
            <w:vAlign w:val="bottom"/>
            <w:tcBorders>
              <w:bottom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(4,126</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96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(5,871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cash flows resulted in a net decrease in cash and cash equivalents of $4.1 million during the six months ended June 30, 2022 as compared to the net decrease in cash of $5.9 million for the six months ended June 30, 2021. For the six months ended June 30, 2022, net cash used in operating activities increased by approximately $12.5 million due to a year-over-year increase in net loss from operations of $13.0 million, primarily driven by an increase in non-cash expenses of approximately $4.0 million, and unfavorable changes in net working capital of $3.5 million primarily as a result of a decrease in cash collections from customers and payments to vendors.</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cash used in investing activities during the six months ended June 30, 2022 totaled $0.7 million, a decrease of $0.1 million compared to the same period in 2021. The decrease in net cash used in investing activities was primarily due to decreases in purchases of property and equipment, partially offset by an increase in payments for patents and trademarks.</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cash provided by financing activities during the six months ended June 30, 2022 totaled $19.3 million, an increase of $14.1 million compared to the same period in 2021. The net cash provided by financing activities for the six months ended June 30, 2022 primarily resulted from $16.1 million net proceeds from the issuance of common stock, $12.8 million net proceeds from the issuance of Promissory Note One, partially offset by the milestone payments to Indi of $6.6 million and partial repayment of the 2021 Term Loan of $3.0 million. The net cash provided by financing activities for the six months ended June 30, 2021 primarily resulted from the net proceeds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jc w:val="both"/>
        <w:spacing w:after="0" w:line="261" w:lineRule="auto"/>
        <w:rPr>
          <w:sz w:val="20"/>
          <w:szCs w:val="20"/>
          <w:color w:val="auto"/>
        </w:rPr>
      </w:pPr>
      <w:r>
        <w:rPr>
          <w:rFonts w:ascii="Arial" w:cs="Arial" w:eastAsia="Arial" w:hAnsi="Arial"/>
          <w:sz w:val="18"/>
          <w:szCs w:val="18"/>
          <w:color w:val="auto"/>
        </w:rPr>
        <w:t>from our 2021 Term Loan of $29.9 million, and proceeds from the exercise of stock options of approximately $0.7 million, primarily offset by the repayment of $25.4 million from our 2018 Term Loan.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a result of the entering into additional operating lease agreements, the secured promissory note, and Amendment No. 3 to the Indi APA, our non-cancelable contractual obligations and commitments for lease and debt obligations as presented in our Form 10-K have been modified. The following table provides an update as follows as of June 30, 2022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400"/>
              <w:spacing w:after="0" w:line="156" w:lineRule="exact"/>
              <w:rPr>
                <w:sz w:val="20"/>
                <w:szCs w:val="20"/>
                <w:color w:val="auto"/>
              </w:rPr>
            </w:pPr>
            <w:r>
              <w:rPr>
                <w:rFonts w:ascii="Arial" w:cs="Arial" w:eastAsia="Arial" w:hAnsi="Arial"/>
                <w:sz w:val="18"/>
                <w:szCs w:val="18"/>
                <w:b w:val="1"/>
                <w:bCs w:val="1"/>
                <w:color w:val="auto"/>
                <w:w w:val="88"/>
              </w:rPr>
              <w:t>Less than</w:t>
            </w:r>
          </w:p>
        </w:tc>
        <w:tc>
          <w:tcPr>
            <w:tcW w:w="200" w:type="dxa"/>
            <w:vAlign w:val="bottom"/>
          </w:tcPr>
          <w:p>
            <w:pPr>
              <w:spacing w:after="0"/>
              <w:rPr>
                <w:sz w:val="13"/>
                <w:szCs w:val="13"/>
                <w:color w:val="auto"/>
              </w:rPr>
            </w:pPr>
          </w:p>
        </w:tc>
        <w:tc>
          <w:tcPr>
            <w:tcW w:w="820" w:type="dxa"/>
            <w:vAlign w:val="bottom"/>
          </w:tcPr>
          <w:p>
            <w:pPr>
              <w:jc w:val="right"/>
              <w:ind w:right="210"/>
              <w:spacing w:after="0" w:line="156" w:lineRule="exact"/>
              <w:rPr>
                <w:sz w:val="20"/>
                <w:szCs w:val="20"/>
                <w:color w:val="auto"/>
              </w:rPr>
            </w:pPr>
            <w:r>
              <w:rPr>
                <w:rFonts w:ascii="Arial" w:cs="Arial" w:eastAsia="Arial" w:hAnsi="Arial"/>
                <w:sz w:val="18"/>
                <w:szCs w:val="18"/>
                <w:b w:val="1"/>
                <w:bCs w:val="1"/>
                <w:color w:val="auto"/>
              </w:rPr>
              <w:t>1 to 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190"/>
              <w:spacing w:after="0" w:line="156" w:lineRule="exact"/>
              <w:rPr>
                <w:sz w:val="20"/>
                <w:szCs w:val="20"/>
                <w:color w:val="auto"/>
              </w:rPr>
            </w:pPr>
            <w:r>
              <w:rPr>
                <w:rFonts w:ascii="Arial" w:cs="Arial" w:eastAsia="Arial" w:hAnsi="Arial"/>
                <w:sz w:val="18"/>
                <w:szCs w:val="18"/>
                <w:b w:val="1"/>
                <w:bCs w:val="1"/>
                <w:color w:val="auto"/>
                <w:w w:val="97"/>
              </w:rPr>
              <w:t>4 to 5</w:t>
            </w:r>
          </w:p>
        </w:tc>
        <w:tc>
          <w:tcPr>
            <w:tcW w:w="220" w:type="dxa"/>
            <w:vAlign w:val="bottom"/>
          </w:tcPr>
          <w:p>
            <w:pPr>
              <w:spacing w:after="0"/>
              <w:rPr>
                <w:sz w:val="13"/>
                <w:szCs w:val="13"/>
                <w:color w:val="auto"/>
              </w:rPr>
            </w:pPr>
          </w:p>
        </w:tc>
        <w:tc>
          <w:tcPr>
            <w:tcW w:w="104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w w:val="98"/>
              </w:rPr>
              <w:t>More than 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 year</w:t>
            </w:r>
          </w:p>
        </w:tc>
        <w:tc>
          <w:tcPr>
            <w:tcW w:w="20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years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auto"/>
            </w:tcBorders>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Borrowings and interest </w:t>
            </w:r>
            <w:r>
              <w:rPr>
                <w:rFonts w:ascii="Arial" w:cs="Arial" w:eastAsia="Arial" w:hAnsi="Arial"/>
                <w:sz w:val="22"/>
                <w:szCs w:val="22"/>
                <w:color w:val="auto"/>
                <w:vertAlign w:val="superscript"/>
              </w:rPr>
              <w:t>(1)</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27,416</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17,126</w:t>
            </w: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10,274</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4"/>
                <w:szCs w:val="24"/>
                <w:color w:val="auto"/>
                <w:vertAlign w:val="superscript"/>
              </w:rPr>
              <w:t>(2)</w:t>
            </w:r>
          </w:p>
        </w:tc>
        <w:tc>
          <w:tcPr>
            <w:tcW w:w="2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38,871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8,656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30,215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5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3"/>
                <w:szCs w:val="23"/>
                <w:color w:val="auto"/>
                <w:vertAlign w:val="superscript"/>
              </w:rPr>
              <w:t>(3)</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28,783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(19,084 )</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5,603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38,326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FF0FC"/>
            </w:tcBorders>
            <w:gridSpan w:val="2"/>
          </w:tcPr>
          <w:p>
            <w:pPr>
              <w:ind w:left="1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95,070</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6,698</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46,092</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3,954</w:t>
            </w: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38,326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-159385</wp:posOffset>
            </wp:positionV>
            <wp:extent cx="7683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-159385</wp:posOffset>
            </wp:positionV>
            <wp:extent cx="7747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-159385</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-159385</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8"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Includes the Promissory Note One and 2021 Term Loan payments of principal, interest and final payment fee of $2.7 million due upon loan maturity.</w:t>
      </w:r>
    </w:p>
    <w:p>
      <w:pPr>
        <w:spacing w:after="0" w:line="15" w:lineRule="exact"/>
        <w:rPr>
          <w:rFonts w:ascii="Arial" w:cs="Arial" w:eastAsia="Arial" w:hAnsi="Arial"/>
          <w:sz w:val="21"/>
          <w:szCs w:val="21"/>
          <w:color w:val="auto"/>
          <w:vertAlign w:val="superscript"/>
        </w:rPr>
      </w:pPr>
    </w:p>
    <w:p>
      <w:pPr>
        <w:jc w:val="both"/>
        <w:ind w:left="380" w:hanging="372"/>
        <w:spacing w:after="0" w:line="260" w:lineRule="auto"/>
        <w:tabs>
          <w:tab w:leader="none" w:pos="38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The gross margin target associated with the purchase transaction of Indi was achieved in the quarter ending June 30, 2021, giving rise to the previously disclosed contingent obligations of $37.0 million in the aggregate payable through the issuance of Company’s shares of common stock subject to a fixed price put option. The Company entered into an amendment in August 2021 to the original agreement in which all parties agreed to forgo the issuance of shares of common stock of the Company that would otherwise be issued, and the Company will instead make six quarterly installment payments of $4.6 million beginning in January 2022 and a final payment of approximately $9.3 million in July 2023 for a total of $37.0 million. The aggregate amount of payments owed by the Company under this amendment is the same as if Indi had exercised the put right or the Company had exercised the call right provided for in the original agreement. On April 7, 2022, the Company entered into Amendment No. 3 to the Indi APA in which all parties agreed to restructure the milestone payments associated with the contingent consideration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original payment schedule and the amended payment schedule, at an aggregate per annum rate equal to 10%, with such interest to be payable quarterly on the following installment payment date.</w:t>
      </w:r>
    </w:p>
    <w:p>
      <w:pPr>
        <w:ind w:left="380" w:hanging="372"/>
        <w:spacing w:after="0" w:line="220" w:lineRule="auto"/>
        <w:tabs>
          <w:tab w:leader="none" w:pos="38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Includes $20.8 million of tenant improvement allowances expected to be received during the remainder of 2022 and the first half of 2023.</w:t>
      </w:r>
    </w:p>
    <w:p>
      <w:pPr>
        <w:spacing w:after="0" w:line="90"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There have been no other significant changes to our future contractual obligations as disclosed in our Annual Report on Form 10-K for the year ended December 31,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we have not entered into any off-balance sheet arrangements.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1 of this Quarterly Report on Form 10-Q.</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Diagnostic test revenues are recognized upon completion of our performance obligation to the deliver test results to our customer, either the prescribing physician or third-party to which we contracted for services to be performed. We consider diagnostic testing to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jc w:val="both"/>
        <w:spacing w:after="0" w:line="243" w:lineRule="auto"/>
        <w:rPr>
          <w:sz w:val="20"/>
          <w:szCs w:val="20"/>
          <w:color w:val="auto"/>
        </w:rPr>
      </w:pPr>
      <w:r>
        <w:rPr>
          <w:rFonts w:ascii="Arial" w:cs="Arial" w:eastAsia="Arial" w:hAnsi="Arial"/>
          <w:sz w:val="18"/>
          <w:szCs w:val="18"/>
          <w:color w:val="auto"/>
        </w:rPr>
        <w:t>completed upon the delivery of test results to our customer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 These estimates require significant judgment by management.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Service revenues are recognized upon completion of our performance obligation to deliver testing results for assay development and testing services.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and Grant Date Fair Value</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Share-based compensation related to stock options granted to our employees, directors and non-employees is measured at the grant date based on the fair value of the award. For our service-based awards, the fair value of each award is recognized as expense on a straight-line basis over the requisite service period, which is generally the vesting period of the respective awards. Compensation expense for share-based awards with performance conditions is recognized based upon the probability the performance conditions will be met as defined in the grant. Restricted stock units are measured at their grant date fair value using the closing price of our common stock on the date of grant and recognized to expense on a straight-line basis over the vesting period of each award. We estimate forfeitures and adjust these estimates to actual forfeitures as they occur.</w:t>
      </w:r>
    </w:p>
    <w:p>
      <w:pPr>
        <w:spacing w:after="0" w:line="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use the Black-Scholes option-pricing model to estimate the fair value of our share-based option awards, which requires assumptions to be made related to expected term of an award, expected volatility, the risk-free rate and expected dividend yield. The fair value of our common stock is based on our closing price as reported on the date of grant on the primary stock exchange on which our common stock is traded. Changes in these subjective assumptions can materially affect the estimated value of equity grants and the share-based compensation that we record in our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February 2016, the FASB issued ASU No. 2016-2, Leases (Topic 842). This ASU intends to make accounting for leasing activities more transparent and comparable, and requires substantially all leases be recognized by lessees on their balance sheet as a right-of-use asset and corresponding lease liability, including leases currently accounted for as operating leases. In addition to other related amendments, the FASB issued ASU No. 2018-11, Leases (Topic 842): Targeted Improvements,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elected this transition method and adopted ASC 842 on January 1, 2022 and as a result, recorded operating lease right-of-use (ROU) assets of $1.3 million, including offsetting deferred rent of $0.1 million, along with the associated operating lease liabilities of $1.3 million. On January 1, 2022, the Company did not have any finance leases. Additional information and disclosures required by this new standard are contained in Note 3 and Note 7 to our condensed financial statements in Part 1 of this Quarterly Report on Form 10-Q.</w:t>
      </w:r>
    </w:p>
    <w:p>
      <w:pPr>
        <w:spacing w:after="0" w:line="6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xml:space="preserve"> (ASC Topic 326). This ASU requires measurement and recognition of expected credit losses for financial assets. This guidance will become effective for the Company beginning January 1, 2023 with early adoption permitted. The Company is currently evaluating this guidance and assessing the overall impact on its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jc w:val="both"/>
        <w:ind w:right="20"/>
        <w:spacing w:after="0" w:line="261" w:lineRule="auto"/>
        <w:rPr>
          <w:sz w:val="20"/>
          <w:szCs w:val="20"/>
          <w:color w:val="auto"/>
        </w:rPr>
      </w:pPr>
      <w:r>
        <w:rPr>
          <w:rFonts w:ascii="Arial" w:cs="Arial" w:eastAsia="Arial" w:hAnsi="Arial"/>
          <w:sz w:val="18"/>
          <w:szCs w:val="18"/>
          <w:color w:val="auto"/>
        </w:rPr>
        <w:t>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exposed to market risk for changes in interest rates related primarily to our cash and cash equivalents and our indebtedness, including our outstanding 2021 Term Loan. As of June 30, 2022, we had $7 million outstanding on the 2021 Term Loan subject to a floating per annum rate equal to the greater of (i) 2.00% above the prime rate, or (ii) 5.25%. Historically, we have not entered into derivative agreements such as interest rate caps and swaps to manage our floating interest rate exposure.</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Periodically throughout the year, we have maintained balances in various operating accounts in excess of federally insured limits. Our cash and cash equivalents are funds held in checking and bank savings accounts, primarily at two U.S. financial institutions.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June 30, 2022, a hypothetical 100 basis point increase in interest rates would not have a material impact on our investment portfolio, financial position or results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changes to our internal control over financial reporting during the three months ended June 30, 2022, that have materially affected, or are reasonable likely to materially effect, our internal controls over financial reporting.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“Item 1A. Risk Factors” of our Annual Report on Form 10-K as of and for the year ended December 31, 2021, filed March 14, 2022, and subsequent quarterly reports on Form 10-Q, if applicable, include a discussion of our risk factors. The information presented below updates, and should be read in conjunction with, the risk factors and information we previously disclosed and, except as presented below, there have been no material changes from the risk factors described in our Annual Report on Form 10-K and subsequent quarterly reports on Form 10-Q. These risks could materially and adversely affect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contractual and regulatory limitations on our ability to consummate future financings.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Pursuant to that certain securities purchase agreement we entered into in May 2022 in connection with the issuance of a promissory note to Streeterville Capital, LLC (Lender), we agreed to be subject to certain restrictions on our ability to issue securities during the term of the notes issued under the agreement. Specifically, we agreed to obtain the Lender’s consent prior to issuing any debt securities or certain equity securities where the pricing of such equity securities is tied to the public trading price of our common stock. Furthermore, we also must offer the Lender the right to purchase up to 30% of future equity and debt securities offerings, subject to certain exceptions and limitations, in each case during the term of any note issued to the Lender.</w:t>
      </w:r>
    </w:p>
    <w:p>
      <w:pPr>
        <w:spacing w:after="0" w:line="5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Furthermore, if our public float falls below $75 million at the next measurement date, we will be subject to the restrictions set forth in General Instruction I.B.6 to Form S-3 that limits our ability to conduct primary offerings under a Form S- 3 registration statement, like issuances under our at-the-market program. Under such limitations, we may not sell, during any 12-month period, securities on Form S-3 having an aggregate market value of more than one-third of our public float. These restrictions may delay or prevent us from entering into funding arrangements or being able to access the capital markets, including under our at-the-market program, on favorable terms or at all.</w:t>
      </w:r>
    </w:p>
    <w:p>
      <w:pPr>
        <w:spacing w:after="0" w:line="8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If we fail to comply with the restrictions and covenants in our May 2022 securities purchase agreement, there could be an event of default under the promissory notes issued thereunder, which could result in an acceleration of payments due under those notes and other consequences.</w:t>
      </w:r>
    </w:p>
    <w:p>
      <w:pPr>
        <w:spacing w:after="0" w:line="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Failure to meet the restrictions, obligations, and limitations under the May 2022 securities purchase agreement may result in an event of default in accordance with the terms of Promissory Note One issued thereunder and could result in acceleration of obligations under other loan agreements. An event of default would, among other things, provide the noteholder with the right to increase the outstanding balance by 10% for certain major events of default and 5% for others. Additionally, upon an event of default, the noteholder may consider the promissory note immediately due and payable. Furthermore, upon an event of default, the interest rate may also be increased to the lesser of 15% per annum or the maximum rate permitted under applicable law.</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redemption feature under Promissory Note One is dependent upon the market value of our common stock, which could result in significant dilution to our existing stockholders.</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Beginning on the date that is nine months after the issuance date of Promissory Note One, the Lender has the right to redeem up to $1.4 million of the outstanding balance per month. While we have the option to make such payments in either (a) cash, (b) in the form of shares of Common Stock with the number of redemption shares being equal to the portion of the applicable redemption amount divided by the Redemption Conversion Price or (c) a combination of cash and shares of Common Stock. Since the redemption conversion price shall equal 85% multiplied by the lowest daily volume weighted average price of the Common Stock during the ten trading days immediately preceding the date the Lender delivers notice electing to redeem a portion of Promissory Note One, the number of shares to be issued by us in satisfaction of redemption will vary, perhaps considerably. A reduction in our trading value could cause us to issue a greater number of shares under a redemption notice and therefore increase the dilutive effect to other stockholders.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April 7, 2022, the Company entered into subscription agreements (the Subscription Agreements) with a consortium of investors (the Investors), including three members of our Board of Directors and other existing shareholders of the Company, for the issuance and sale by the Company of an aggregate of 6,508,376 shares of the Company’s common stock (the Shares) in an offering (the Private Placement). The three members of our Board of Directors acquired an aggregate of 3,631,284 shares pursuant to the form of a Subscription Agreement that did not include any registration rights as they are exempt from registration pursuant to Section 4(a)(2) of the Securities Act of 1933, as amended (the Securities Act), and Rule 506 promulgated thereunder. The remaining 2,877,092 shares were acquired by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jc w:val="both"/>
        <w:spacing w:after="0" w:line="324" w:lineRule="auto"/>
        <w:rPr>
          <w:sz w:val="20"/>
          <w:szCs w:val="20"/>
          <w:color w:val="auto"/>
        </w:rPr>
      </w:pPr>
      <w:r>
        <w:rPr>
          <w:rFonts w:ascii="Arial" w:cs="Arial" w:eastAsia="Arial" w:hAnsi="Arial"/>
          <w:sz w:val="16"/>
          <w:szCs w:val="16"/>
          <w:color w:val="auto"/>
        </w:rPr>
        <w:t>others pursuant to the form of a Subscription Agreement whereby we agreed to file, subject to certain exceptions, a shelf registration statement with respect to resales of such shares with the Securities and Exchange Commission no later than 60 days from April 7, 2022, which the Company filed on June 6, 2022.</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Pursuant to the Subscription Agreements, the Investors purchased shares at a purchase price (determined in accordance with Nasdaq rules relating to the “Minimum Value” of the Company’s common stock) of $1.79 per share, which is equal to the closing price of the Company's common stock on April 7, 2022, for an aggregate purchase price of approximately $11.7 million, in order to, among other things, fund the partial repayment of the 2021 Term Loan and for general corporate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620" w:type="dxa"/>
            <w:vAlign w:val="bottom"/>
            <w:gridSpan w:val="7"/>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5"/>
        </w:trPr>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100" w:type="dxa"/>
            <w:vAlign w:val="bottom"/>
            <w:gridSpan w:val="1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Biodesix, Inc. 2021 Senior Management Bonus to Equity Plan</w:t>
              </w:r>
            </w:hyperlink>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10100" w:type="dxa"/>
            <w:vAlign w:val="bottom"/>
            <w:gridSpan w:val="1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Amendment No. 1 to the Biodesix, Inc. 2021 Senior Management Bonus to Equity Plan</w:t>
              </w:r>
            </w:hyperlink>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100" w:type="dxa"/>
            <w:vAlign w:val="bottom"/>
            <w:gridSpan w:val="10"/>
          </w:tcPr>
          <w:p>
            <w:pPr>
              <w:spacing w:after="0"/>
              <w:rPr>
                <w:rFonts w:ascii="Arial" w:cs="Arial" w:eastAsia="Arial" w:hAnsi="Arial"/>
                <w:sz w:val="18"/>
                <w:szCs w:val="18"/>
                <w:color w:val="0000FF"/>
                <w:w w:val="95"/>
              </w:rPr>
            </w:pPr>
            <w:hyperlink w:anchor="page51">
              <w:r>
                <w:rPr>
                  <w:rFonts w:ascii="Arial" w:cs="Arial" w:eastAsia="Arial" w:hAnsi="Arial"/>
                  <w:sz w:val="18"/>
                  <w:szCs w:val="18"/>
                  <w:color w:val="0000FF"/>
                  <w:w w:val="95"/>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FF"/>
            </w:tcBorders>
            <w:gridSpan w:val="2"/>
            <w:shd w:val="clear" w:color="auto" w:fill="0000FF"/>
          </w:tcPr>
          <w:p>
            <w:pPr>
              <w:spacing w:after="0" w:line="20" w:lineRule="exact"/>
              <w:rPr>
                <w:sz w:val="1"/>
                <w:szCs w:val="1"/>
                <w:color w:val="auto"/>
              </w:rPr>
            </w:pPr>
          </w:p>
        </w:tc>
        <w:tc>
          <w:tcPr>
            <w:tcW w:w="498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9960" w:type="dxa"/>
            <w:vAlign w:val="bottom"/>
            <w:gridSpan w:val="6"/>
          </w:tcPr>
          <w:p>
            <w:pPr>
              <w:spacing w:after="0" w:line="156" w:lineRule="exact"/>
              <w:rPr>
                <w:rFonts w:ascii="Arial" w:cs="Arial" w:eastAsia="Arial" w:hAnsi="Arial"/>
                <w:sz w:val="18"/>
                <w:szCs w:val="18"/>
                <w:color w:val="0000FF"/>
              </w:rPr>
            </w:pPr>
            <w:hyperlink w:anchor="page51">
              <w:r>
                <w:rPr>
                  <w:rFonts w:ascii="Arial" w:cs="Arial" w:eastAsia="Arial" w:hAnsi="Arial"/>
                  <w:sz w:val="18"/>
                  <w:szCs w:val="18"/>
                  <w:color w:val="0000FF"/>
                </w:rPr>
                <w:t>Adopted Pursuant to Section 302 of the Sarbanes-Oxley Act of 2002.</w:t>
              </w:r>
            </w:hyperlink>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EE"/>
            </w:tcBorders>
            <w:gridSpan w:val="2"/>
            <w:shd w:val="clear" w:color="auto" w:fill="0000FF"/>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gridSpan w:val="10"/>
          </w:tcPr>
          <w:p>
            <w:pPr>
              <w:spacing w:after="0"/>
              <w:rPr>
                <w:rFonts w:ascii="Arial" w:cs="Arial" w:eastAsia="Arial" w:hAnsi="Arial"/>
                <w:sz w:val="18"/>
                <w:szCs w:val="18"/>
                <w:color w:val="0000FF"/>
                <w:w w:val="96"/>
              </w:rPr>
            </w:pPr>
            <w:hyperlink w:anchor="page52">
              <w:r>
                <w:rPr>
                  <w:rFonts w:ascii="Arial" w:cs="Arial" w:eastAsia="Arial" w:hAnsi="Arial"/>
                  <w:sz w:val="18"/>
                  <w:szCs w:val="18"/>
                  <w:color w:val="0000FF"/>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10000" w:type="dxa"/>
            <w:vAlign w:val="bottom"/>
            <w:gridSpan w:val="8"/>
          </w:tcPr>
          <w:p>
            <w:pPr>
              <w:spacing w:after="0" w:line="156" w:lineRule="exact"/>
              <w:rPr>
                <w:rFonts w:ascii="Arial" w:cs="Arial" w:eastAsia="Arial" w:hAnsi="Arial"/>
                <w:sz w:val="18"/>
                <w:szCs w:val="18"/>
                <w:color w:val="0000FF"/>
              </w:rPr>
            </w:pPr>
            <w:hyperlink w:anchor="page52">
              <w:r>
                <w:rPr>
                  <w:rFonts w:ascii="Arial" w:cs="Arial" w:eastAsia="Arial" w:hAnsi="Arial"/>
                  <w:sz w:val="18"/>
                  <w:szCs w:val="18"/>
                  <w:color w:val="0000FF"/>
                </w:rPr>
                <w:t>Adopted Pursuant to Section 302 of the Sarbanes-Oxley Act of 2002.</w:t>
              </w:r>
            </w:hyperlink>
          </w:p>
        </w:tc>
        <w:tc>
          <w:tcPr>
            <w:tcW w:w="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EE"/>
            </w:tcBorders>
            <w:gridSpan w:val="2"/>
            <w:shd w:val="clear" w:color="auto" w:fill="0000FF"/>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100" w:type="dxa"/>
            <w:vAlign w:val="bottom"/>
            <w:gridSpan w:val="10"/>
          </w:tcPr>
          <w:p>
            <w:pPr>
              <w:spacing w:after="0"/>
              <w:rPr>
                <w:rFonts w:ascii="Arial" w:cs="Arial" w:eastAsia="Arial" w:hAnsi="Arial"/>
                <w:sz w:val="18"/>
                <w:szCs w:val="18"/>
                <w:color w:val="0000FF"/>
                <w:w w:val="95"/>
              </w:rPr>
            </w:pPr>
            <w:hyperlink w:anchor="page53">
              <w:r>
                <w:rPr>
                  <w:rFonts w:ascii="Arial" w:cs="Arial" w:eastAsia="Arial" w:hAnsi="Arial"/>
                  <w:sz w:val="18"/>
                  <w:szCs w:val="18"/>
                  <w:color w:val="0000FF"/>
                  <w:w w:val="95"/>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60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10020" w:type="dxa"/>
            <w:vAlign w:val="bottom"/>
            <w:gridSpan w:val="9"/>
          </w:tcPr>
          <w:p>
            <w:pPr>
              <w:spacing w:after="0" w:line="156" w:lineRule="exact"/>
              <w:rPr>
                <w:rFonts w:ascii="Arial" w:cs="Arial" w:eastAsia="Arial" w:hAnsi="Arial"/>
                <w:sz w:val="18"/>
                <w:szCs w:val="18"/>
                <w:color w:val="0000FF"/>
              </w:rPr>
            </w:pPr>
            <w:hyperlink w:anchor="page53">
              <w:r>
                <w:rPr>
                  <w:rFonts w:ascii="Arial" w:cs="Arial" w:eastAsia="Arial" w:hAnsi="Arial"/>
                  <w:sz w:val="18"/>
                  <w:szCs w:val="18"/>
                  <w:color w:val="0000FF"/>
                </w:rPr>
                <w:t>Oxley Act of 2002.</w:t>
              </w:r>
            </w:hyperlink>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0100" w:type="dxa"/>
            <w:vAlign w:val="bottom"/>
            <w:gridSpan w:val="10"/>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080" w:type="dxa"/>
            <w:vAlign w:val="bottom"/>
            <w:gridSpan w:val="6"/>
            <w:shd w:val="clear" w:color="auto" w:fill="0000FF"/>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9980" w:type="dxa"/>
            <w:vAlign w:val="bottom"/>
            <w:gridSpan w:val="7"/>
          </w:tcPr>
          <w:p>
            <w:pPr>
              <w:spacing w:after="0" w:line="156" w:lineRule="exact"/>
              <w:rPr>
                <w:rFonts w:ascii="Arial" w:cs="Arial" w:eastAsia="Arial" w:hAnsi="Arial"/>
                <w:sz w:val="18"/>
                <w:szCs w:val="18"/>
                <w:color w:val="0000FF"/>
              </w:rPr>
            </w:pPr>
            <w:hyperlink w:anchor="page54">
              <w:r>
                <w:rPr>
                  <w:rFonts w:ascii="Arial" w:cs="Arial" w:eastAsia="Arial" w:hAnsi="Arial"/>
                  <w:sz w:val="18"/>
                  <w:szCs w:val="18"/>
                  <w:color w:val="0000FF"/>
                </w:rPr>
                <w:t>Act of 2002.</w:t>
              </w:r>
            </w:hyperlink>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0"/>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4340" w:firstLine="82"/>
        <w:spacing w:after="0" w:line="406" w:lineRule="auto"/>
        <w:tabs>
          <w:tab w:leader="none" w:pos="1046"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9512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36"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3500" w:type="dxa"/>
            <w:vAlign w:val="bottom"/>
            <w:gridSpan w:val="2"/>
          </w:tcPr>
          <w:p>
            <w:pPr>
              <w:ind w:left="1880"/>
              <w:spacing w:after="0"/>
              <w:rPr>
                <w:sz w:val="20"/>
                <w:szCs w:val="20"/>
                <w:color w:val="auto"/>
              </w:rPr>
            </w:pPr>
            <w:r>
              <w:rPr>
                <w:rFonts w:ascii="Arial" w:cs="Arial" w:eastAsia="Arial" w:hAnsi="Arial"/>
                <w:sz w:val="18"/>
                <w:szCs w:val="18"/>
                <w:color w:val="auto"/>
              </w:rPr>
              <w:t>Biodesix, Inc.</w:t>
            </w:r>
          </w:p>
        </w:tc>
        <w:tc>
          <w:tcPr>
            <w:tcW w:w="4300" w:type="dxa"/>
            <w:vAlign w:val="bottom"/>
          </w:tcPr>
          <w:p>
            <w:pPr>
              <w:spacing w:after="0"/>
              <w:rPr>
                <w:sz w:val="20"/>
                <w:szCs w:val="20"/>
                <w:color w:val="auto"/>
              </w:rPr>
            </w:pPr>
          </w:p>
        </w:tc>
      </w:tr>
      <w:tr>
        <w:trPr>
          <w:trHeight w:val="351"/>
        </w:trPr>
        <w:tc>
          <w:tcPr>
            <w:tcW w:w="3420" w:type="dxa"/>
            <w:vAlign w:val="bottom"/>
          </w:tcPr>
          <w:p>
            <w:pPr>
              <w:spacing w:after="0"/>
              <w:rPr>
                <w:sz w:val="20"/>
                <w:szCs w:val="20"/>
                <w:color w:val="auto"/>
              </w:rPr>
            </w:pPr>
            <w:r>
              <w:rPr>
                <w:rFonts w:ascii="Arial" w:cs="Arial" w:eastAsia="Arial" w:hAnsi="Arial"/>
                <w:sz w:val="18"/>
                <w:szCs w:val="18"/>
                <w:color w:val="auto"/>
              </w:rPr>
              <w:t>Date: August 4, 2022</w:t>
            </w:r>
          </w:p>
        </w:tc>
        <w:tc>
          <w:tcPr>
            <w:tcW w:w="3500" w:type="dxa"/>
            <w:vAlign w:val="bottom"/>
            <w:gridSpan w:val="2"/>
          </w:tcPr>
          <w:p>
            <w:pPr>
              <w:ind w:left="1880"/>
              <w:spacing w:after="0"/>
              <w:rPr>
                <w:sz w:val="20"/>
                <w:szCs w:val="20"/>
                <w:color w:val="auto"/>
              </w:rPr>
            </w:pPr>
            <w:r>
              <w:rPr>
                <w:rFonts w:ascii="Arial" w:cs="Arial" w:eastAsia="Arial" w:hAnsi="Arial"/>
                <w:sz w:val="18"/>
                <w:szCs w:val="18"/>
                <w:color w:val="auto"/>
              </w:rPr>
              <w:t>By:</w:t>
            </w:r>
          </w:p>
        </w:tc>
        <w:tc>
          <w:tcPr>
            <w:tcW w:w="4300" w:type="dxa"/>
            <w:vAlign w:val="bottom"/>
          </w:tcPr>
          <w:p>
            <w:pPr>
              <w:jc w:val="center"/>
              <w:ind w:right="1172"/>
              <w:spacing w:after="0"/>
              <w:rPr>
                <w:sz w:val="20"/>
                <w:szCs w:val="20"/>
                <w:color w:val="auto"/>
              </w:rPr>
            </w:pPr>
            <w:r>
              <w:rPr>
                <w:rFonts w:ascii="Arial" w:cs="Arial" w:eastAsia="Arial" w:hAnsi="Arial"/>
                <w:sz w:val="18"/>
                <w:szCs w:val="18"/>
                <w:color w:val="auto"/>
                <w:w w:val="94"/>
              </w:rPr>
              <w:t>/s/ RYAN H. SIUREK</w:t>
            </w:r>
          </w:p>
        </w:tc>
      </w:tr>
      <w:tr>
        <w:trPr>
          <w:trHeight w:val="155"/>
        </w:trPr>
        <w:tc>
          <w:tcPr>
            <w:tcW w:w="34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4300" w:type="dxa"/>
            <w:vAlign w:val="bottom"/>
            <w:tcBorders>
              <w:top w:val="single" w:sz="8" w:color="auto"/>
            </w:tcBorders>
          </w:tcPr>
          <w:p>
            <w:pPr>
              <w:jc w:val="center"/>
              <w:ind w:right="1172"/>
              <w:spacing w:after="0" w:line="154" w:lineRule="exact"/>
              <w:rPr>
                <w:sz w:val="20"/>
                <w:szCs w:val="20"/>
                <w:color w:val="auto"/>
              </w:rPr>
            </w:pPr>
            <w:r>
              <w:rPr>
                <w:rFonts w:ascii="Arial" w:cs="Arial" w:eastAsia="Arial" w:hAnsi="Arial"/>
                <w:sz w:val="17"/>
                <w:szCs w:val="17"/>
                <w:i w:val="1"/>
                <w:iCs w:val="1"/>
                <w:color w:val="auto"/>
                <w:w w:val="94"/>
              </w:rPr>
              <w:t>Ryan H. Siurek</w:t>
            </w:r>
          </w:p>
        </w:tc>
      </w:tr>
      <w:tr>
        <w:trPr>
          <w:trHeight w:val="230"/>
        </w:trPr>
        <w:tc>
          <w:tcPr>
            <w:tcW w:w="3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00" w:type="dxa"/>
            <w:vAlign w:val="bottom"/>
          </w:tcPr>
          <w:p>
            <w:pPr>
              <w:jc w:val="center"/>
              <w:ind w:right="1172"/>
              <w:spacing w:after="0"/>
              <w:rPr>
                <w:sz w:val="20"/>
                <w:szCs w:val="20"/>
                <w:color w:val="auto"/>
              </w:rPr>
            </w:pPr>
            <w:r>
              <w:rPr>
                <w:rFonts w:ascii="Arial" w:cs="Arial" w:eastAsia="Arial" w:hAnsi="Arial"/>
                <w:sz w:val="18"/>
                <w:szCs w:val="18"/>
                <w:i w:val="1"/>
                <w:iCs w:val="1"/>
                <w:color w:val="auto"/>
                <w:w w:val="92"/>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13"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IODESIX</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180"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2021 S</w:t>
      </w:r>
      <w:r>
        <w:rPr>
          <w:rFonts w:ascii="Arial" w:cs="Arial" w:eastAsia="Arial" w:hAnsi="Arial"/>
          <w:sz w:val="13"/>
          <w:szCs w:val="13"/>
          <w:b w:val="1"/>
          <w:bCs w:val="1"/>
          <w:color w:val="auto"/>
        </w:rPr>
        <w:t>ENIOR</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ANAGEMENT</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ONUS TO</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QUITY</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spacing w:after="0" w:line="202" w:lineRule="exact"/>
        <w:rPr>
          <w:sz w:val="20"/>
          <w:szCs w:val="20"/>
          <w:color w:val="auto"/>
        </w:rPr>
      </w:pPr>
    </w:p>
    <w:p>
      <w:pPr>
        <w:ind w:left="380" w:right="20" w:hanging="378"/>
        <w:spacing w:after="0" w:line="235" w:lineRule="auto"/>
        <w:tabs>
          <w:tab w:leader="none" w:pos="38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URPOSES</w:t>
      </w:r>
      <w:r>
        <w:rPr>
          <w:rFonts w:ascii="Arial" w:cs="Arial" w:eastAsia="Arial" w:hAnsi="Arial"/>
          <w:sz w:val="20"/>
          <w:szCs w:val="20"/>
          <w:b w:val="1"/>
          <w:bCs w:val="1"/>
          <w:color w:val="auto"/>
        </w:rPr>
        <w:t xml:space="preserve">. </w:t>
      </w:r>
      <w:r>
        <w:rPr>
          <w:rFonts w:ascii="Arial" w:cs="Arial" w:eastAsia="Arial" w:hAnsi="Arial"/>
          <w:sz w:val="20"/>
          <w:szCs w:val="20"/>
          <w:color w:val="auto"/>
        </w:rPr>
        <w:t>The purpose of the Biodesix, Inc. 2021 Senior Management Bonus to Equity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is to provide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designated employees of Biodesix,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or its subsidiaries with the opportunity to receive a portion of their annual cash bonus in the form of a Nonstatutory Stock Option (as defined under the Equity Incentive Plan). The Plan is a subplan of the Equity Incentive Plan.</w:t>
      </w:r>
    </w:p>
    <w:p>
      <w:pPr>
        <w:spacing w:after="0" w:line="179" w:lineRule="exact"/>
        <w:rPr>
          <w:rFonts w:ascii="Arial" w:cs="Arial" w:eastAsia="Arial" w:hAnsi="Arial"/>
          <w:sz w:val="20"/>
          <w:szCs w:val="20"/>
          <w:b w:val="1"/>
          <w:bCs w:val="1"/>
          <w:color w:val="auto"/>
        </w:rPr>
      </w:pPr>
    </w:p>
    <w:p>
      <w:pPr>
        <w:ind w:left="380" w:hanging="378"/>
        <w:spacing w:after="0"/>
        <w:tabs>
          <w:tab w:leader="none" w:pos="38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EFINITIONS</w:t>
      </w:r>
      <w:r>
        <w:rPr>
          <w:rFonts w:ascii="Arial" w:cs="Arial" w:eastAsia="Arial" w:hAnsi="Arial"/>
          <w:sz w:val="20"/>
          <w:szCs w:val="20"/>
          <w:b w:val="1"/>
          <w:bCs w:val="1"/>
          <w:color w:val="auto"/>
        </w:rPr>
        <w:t xml:space="preserve">. </w:t>
      </w:r>
      <w:r>
        <w:rPr>
          <w:rFonts w:ascii="Arial" w:cs="Arial" w:eastAsia="Arial" w:hAnsi="Arial"/>
          <w:sz w:val="20"/>
          <w:szCs w:val="20"/>
          <w:color w:val="auto"/>
        </w:rPr>
        <w:t>For purposes of the Plan:</w:t>
      </w:r>
    </w:p>
    <w:p>
      <w:pPr>
        <w:spacing w:after="0" w:line="208"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w:t>
      </w:r>
    </w:p>
    <w:p>
      <w:pPr>
        <w:spacing w:after="0" w:line="202"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Bonus Year</w:t>
      </w:r>
      <w:r>
        <w:rPr>
          <w:rFonts w:ascii="Arial" w:cs="Arial" w:eastAsia="Arial" w:hAnsi="Arial"/>
          <w:sz w:val="20"/>
          <w:szCs w:val="20"/>
          <w:color w:val="auto"/>
        </w:rPr>
        <w:t>” means the calendar year in respect of which an annual cash bonus is earned.</w:t>
      </w:r>
    </w:p>
    <w:p>
      <w:pPr>
        <w:spacing w:after="0" w:line="202" w:lineRule="exact"/>
        <w:rPr>
          <w:rFonts w:ascii="Arial" w:cs="Arial" w:eastAsia="Arial" w:hAnsi="Arial"/>
          <w:sz w:val="20"/>
          <w:szCs w:val="20"/>
          <w:b w:val="1"/>
          <w:bCs w:val="1"/>
          <w:color w:val="auto"/>
        </w:rPr>
      </w:pPr>
    </w:p>
    <w:p>
      <w:pPr>
        <w:ind w:left="380" w:right="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this Biodesix, Inc. 2021 Senior Management Bonus to Equity Plan, as set forth herein and as amended from time to time.</w:t>
      </w:r>
    </w:p>
    <w:p>
      <w:pPr>
        <w:spacing w:after="0" w:line="176" w:lineRule="exact"/>
        <w:rPr>
          <w:rFonts w:ascii="Arial" w:cs="Arial" w:eastAsia="Arial" w:hAnsi="Arial"/>
          <w:sz w:val="20"/>
          <w:szCs w:val="20"/>
          <w:b w:val="1"/>
          <w:bCs w:val="1"/>
          <w:color w:val="auto"/>
        </w:rPr>
      </w:pPr>
    </w:p>
    <w:p>
      <w:pPr>
        <w:ind w:left="380" w:right="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of the Board, or a subcommittee thereof, or such other committee designated by the Board to administer the Plan.</w:t>
      </w:r>
    </w:p>
    <w:p>
      <w:pPr>
        <w:spacing w:after="0" w:line="176"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means Biodesix, Inc., a Delaware corporation, or any successor thereto.</w:t>
      </w:r>
    </w:p>
    <w:p>
      <w:pPr>
        <w:spacing w:after="0" w:line="202"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Eligible Employee</w:t>
      </w:r>
      <w:r>
        <w:rPr>
          <w:rFonts w:ascii="Arial" w:cs="Arial" w:eastAsia="Arial" w:hAnsi="Arial"/>
          <w:sz w:val="19"/>
          <w:szCs w:val="19"/>
          <w:color w:val="auto"/>
        </w:rPr>
        <w:t>” means an employee of the Company or its subsidiaries who the Committee designates as eligible.</w:t>
      </w:r>
    </w:p>
    <w:p>
      <w:pPr>
        <w:spacing w:after="0" w:line="213" w:lineRule="exact"/>
        <w:rPr>
          <w:rFonts w:ascii="Arial" w:cs="Arial" w:eastAsia="Arial" w:hAnsi="Arial"/>
          <w:sz w:val="20"/>
          <w:szCs w:val="20"/>
          <w:b w:val="1"/>
          <w:bCs w:val="1"/>
          <w:color w:val="auto"/>
        </w:rPr>
      </w:pPr>
    </w:p>
    <w:p>
      <w:pPr>
        <w:ind w:left="380" w:right="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Equity Incentive Plan</w:t>
      </w:r>
      <w:r>
        <w:rPr>
          <w:rFonts w:ascii="Arial" w:cs="Arial" w:eastAsia="Arial" w:hAnsi="Arial"/>
          <w:sz w:val="20"/>
          <w:szCs w:val="20"/>
          <w:color w:val="auto"/>
        </w:rPr>
        <w:t>” means the Biodesix, Inc. 2020 Equity Incentive Plan, as amended from time to time, or any successor equity plan adopted by the Company.</w:t>
      </w:r>
    </w:p>
    <w:p>
      <w:pPr>
        <w:spacing w:after="0" w:line="176" w:lineRule="exact"/>
        <w:rPr>
          <w:rFonts w:ascii="Arial" w:cs="Arial" w:eastAsia="Arial" w:hAnsi="Arial"/>
          <w:sz w:val="20"/>
          <w:szCs w:val="20"/>
          <w:b w:val="1"/>
          <w:bCs w:val="1"/>
          <w:color w:val="auto"/>
        </w:rPr>
      </w:pPr>
    </w:p>
    <w:p>
      <w:pPr>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Individual Cap</w:t>
      </w:r>
      <w:r>
        <w:rPr>
          <w:rFonts w:ascii="Arial" w:cs="Arial" w:eastAsia="Arial" w:hAnsi="Arial"/>
          <w:sz w:val="20"/>
          <w:szCs w:val="20"/>
          <w:color w:val="auto"/>
        </w:rPr>
        <w:t>” means the maximum amount of a Participant’s annual cash bonus that may be received in the form of a Nonstatutory Stock Option, as determined under Section 5(c) of the Plan.</w:t>
      </w:r>
    </w:p>
    <w:p>
      <w:pPr>
        <w:spacing w:after="0" w:line="176"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Option Election</w:t>
      </w:r>
      <w:r>
        <w:rPr>
          <w:rFonts w:ascii="Arial" w:cs="Arial" w:eastAsia="Arial" w:hAnsi="Arial"/>
          <w:sz w:val="20"/>
          <w:szCs w:val="20"/>
          <w:color w:val="auto"/>
        </w:rPr>
        <w:t>” means an effective election under Section 5 of the Plan.</w:t>
      </w:r>
    </w:p>
    <w:p>
      <w:pPr>
        <w:spacing w:after="0" w:line="202"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an Eligible Employee who makes an Option Election under Section 5 of the Plan.</w:t>
      </w:r>
    </w:p>
    <w:p>
      <w:pPr>
        <w:spacing w:after="0" w:line="202" w:lineRule="exact"/>
        <w:rPr>
          <w:rFonts w:ascii="Arial" w:cs="Arial" w:eastAsia="Arial" w:hAnsi="Arial"/>
          <w:sz w:val="20"/>
          <w:szCs w:val="20"/>
          <w:b w:val="1"/>
          <w:bCs w:val="1"/>
          <w:color w:val="auto"/>
        </w:rPr>
      </w:pPr>
    </w:p>
    <w:p>
      <w:pPr>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shall mean Section 409A of the Internal Revenue Code of 1986, as amended, and any regulations promulgated thereunder.</w:t>
      </w:r>
    </w:p>
    <w:p>
      <w:pPr>
        <w:spacing w:after="0" w:line="170" w:lineRule="exact"/>
        <w:rPr>
          <w:rFonts w:ascii="Arial" w:cs="Arial" w:eastAsia="Arial" w:hAnsi="Arial"/>
          <w:sz w:val="20"/>
          <w:szCs w:val="20"/>
          <w:b w:val="1"/>
          <w:bCs w:val="1"/>
          <w:color w:val="auto"/>
        </w:rPr>
      </w:pPr>
    </w:p>
    <w:p>
      <w:pPr>
        <w:ind w:left="380" w:right="20" w:hanging="378"/>
        <w:spacing w:after="0" w:line="233" w:lineRule="auto"/>
        <w:tabs>
          <w:tab w:leader="none" w:pos="38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DMINISTRATION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shall be administered by the Committee. The Committee shall, subject to the terms of this Plan, interpret</w:t>
      </w:r>
      <w:r>
        <w:rPr>
          <w:rFonts w:ascii="Arial" w:cs="Arial" w:eastAsia="Arial" w:hAnsi="Arial"/>
          <w:sz w:val="20"/>
          <w:szCs w:val="20"/>
          <w:b w:val="1"/>
          <w:bCs w:val="1"/>
          <w:color w:val="auto"/>
        </w:rPr>
        <w:t xml:space="preserve"> </w:t>
      </w:r>
      <w:r>
        <w:rPr>
          <w:rFonts w:ascii="Arial" w:cs="Arial" w:eastAsia="Arial" w:hAnsi="Arial"/>
          <w:sz w:val="20"/>
          <w:szCs w:val="20"/>
          <w:color w:val="auto"/>
        </w:rPr>
        <w:t>this Plan and the application thereof, and establish, amend and revoke rules and regulations or impose conditions it deems necessary or desirable for the administration of the Plan. All such interpretations, rules, regulations and conditions shall be final, binding and conclusive upon the Participants and all other persons having or claiming any right or interest in the Plan or any Nonstatutory Stock Option granted hereunder.</w:t>
      </w:r>
    </w:p>
    <w:p>
      <w:pPr>
        <w:spacing w:after="0" w:line="185" w:lineRule="exact"/>
        <w:rPr>
          <w:rFonts w:ascii="Arial" w:cs="Arial" w:eastAsia="Arial" w:hAnsi="Arial"/>
          <w:sz w:val="20"/>
          <w:szCs w:val="20"/>
          <w:b w:val="1"/>
          <w:bCs w:val="1"/>
          <w:color w:val="auto"/>
        </w:rPr>
      </w:pPr>
    </w:p>
    <w:p>
      <w:pPr>
        <w:ind w:left="380" w:right="80"/>
        <w:spacing w:after="0" w:line="275" w:lineRule="auto"/>
        <w:rPr>
          <w:rFonts w:ascii="Arial" w:cs="Arial" w:eastAsia="Arial" w:hAnsi="Arial"/>
          <w:sz w:val="20"/>
          <w:szCs w:val="20"/>
          <w:b w:val="1"/>
          <w:bCs w:val="1"/>
          <w:color w:val="auto"/>
        </w:rPr>
      </w:pPr>
      <w:r>
        <w:rPr>
          <w:rFonts w:ascii="Arial" w:cs="Arial" w:eastAsia="Arial" w:hAnsi="Arial"/>
          <w:sz w:val="18"/>
          <w:szCs w:val="18"/>
          <w:color w:val="auto"/>
        </w:rPr>
        <w:t>No member of the Board or Committee, and no officer of the Company to whom the Committee delegates any of its power and authority hereunder, shall be liable for any act, omission, interpretation, construction or determination made in connection with this Plan in good faith, and the members of the Board and the Committee and such officers shall be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292100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1" w:right="339" w:bottom="1440" w:gutter="0" w:footer="0" w:header="0"/>
        </w:sectPr>
      </w:pPr>
    </w:p>
    <w:bookmarkStart w:id="46" w:name="page47"/>
    <w:bookmarkEnd w:id="46"/>
    <w:p>
      <w:pPr>
        <w:ind w:left="378"/>
        <w:spacing w:after="0" w:line="248" w:lineRule="auto"/>
        <w:rPr>
          <w:sz w:val="20"/>
          <w:szCs w:val="20"/>
          <w:color w:val="auto"/>
        </w:rPr>
      </w:pPr>
      <w:r>
        <w:rPr>
          <w:rFonts w:ascii="Arial" w:cs="Arial" w:eastAsia="Arial" w:hAnsi="Arial"/>
          <w:sz w:val="19"/>
          <w:szCs w:val="19"/>
          <w:color w:val="auto"/>
        </w:rPr>
        <w:t>indemnification and reimbursement by the Company in respect of any claim, loss, damage or expense (including attorneys’ fees) arising therefrom to the full extent permitted by law (except as otherwise may be provided in the Company’s Amended and Restated Certificate of Incorporation) under any indemnification agreement to which such director or officer is then party and under any directors’ and officers’ liability insurance that may be in effect from time to time.</w:t>
      </w:r>
    </w:p>
    <w:p>
      <w:pPr>
        <w:spacing w:after="0" w:line="171" w:lineRule="exact"/>
        <w:rPr>
          <w:sz w:val="20"/>
          <w:szCs w:val="20"/>
          <w:color w:val="auto"/>
        </w:rPr>
      </w:pPr>
    </w:p>
    <w:p>
      <w:pPr>
        <w:ind w:left="378" w:hanging="378"/>
        <w:spacing w:after="0"/>
        <w:tabs>
          <w:tab w:leader="none" w:pos="378"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LIGIBILITY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shall have the authority to determine who is an Eligible Employee under the Plan.</w:t>
      </w:r>
    </w:p>
    <w:p>
      <w:pPr>
        <w:spacing w:after="0" w:line="202" w:lineRule="exact"/>
        <w:rPr>
          <w:rFonts w:ascii="Arial" w:cs="Arial" w:eastAsia="Arial" w:hAnsi="Arial"/>
          <w:sz w:val="20"/>
          <w:szCs w:val="20"/>
          <w:b w:val="1"/>
          <w:bCs w:val="1"/>
          <w:color w:val="auto"/>
        </w:rPr>
      </w:pPr>
    </w:p>
    <w:p>
      <w:pPr>
        <w:ind w:left="378" w:hanging="378"/>
        <w:spacing w:after="0"/>
        <w:tabs>
          <w:tab w:leader="none" w:pos="378"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O</w:t>
      </w:r>
      <w:r>
        <w:rPr>
          <w:rFonts w:ascii="Arial" w:cs="Arial" w:eastAsia="Arial" w:hAnsi="Arial"/>
          <w:sz w:val="13"/>
          <w:szCs w:val="13"/>
          <w:b w:val="1"/>
          <w:bCs w:val="1"/>
          <w:color w:val="auto"/>
        </w:rPr>
        <w:t>PTION</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LECTION</w:t>
      </w:r>
      <w:r>
        <w:rPr>
          <w:rFonts w:ascii="Arial" w:cs="Arial" w:eastAsia="Arial" w:hAnsi="Arial"/>
          <w:sz w:val="20"/>
          <w:szCs w:val="20"/>
          <w:b w:val="1"/>
          <w:bCs w:val="1"/>
          <w:color w:val="auto"/>
        </w:rPr>
        <w:t>.</w:t>
      </w:r>
    </w:p>
    <w:p>
      <w:pPr>
        <w:spacing w:after="0" w:line="202" w:lineRule="exact"/>
        <w:rPr>
          <w:rFonts w:ascii="Arial" w:cs="Arial" w:eastAsia="Arial" w:hAnsi="Arial"/>
          <w:sz w:val="20"/>
          <w:szCs w:val="20"/>
          <w:b w:val="1"/>
          <w:bCs w:val="1"/>
          <w:color w:val="auto"/>
        </w:rPr>
      </w:pPr>
    </w:p>
    <w:p>
      <w:pPr>
        <w:ind w:left="1118" w:right="60" w:hanging="369"/>
        <w:spacing w:after="0" w:line="243" w:lineRule="auto"/>
        <w:tabs>
          <w:tab w:leader="none" w:pos="1118" w:val="left"/>
        </w:tabs>
        <w:numPr>
          <w:ilvl w:val="1"/>
          <w:numId w:val="24"/>
        </w:numPr>
        <w:rPr>
          <w:rFonts w:ascii="Arial" w:cs="Arial" w:eastAsia="Arial" w:hAnsi="Arial"/>
          <w:sz w:val="19"/>
          <w:szCs w:val="19"/>
          <w:color w:val="auto"/>
        </w:rPr>
      </w:pPr>
      <w:r>
        <w:rPr>
          <w:rFonts w:ascii="Arial" w:cs="Arial" w:eastAsia="Arial" w:hAnsi="Arial"/>
          <w:sz w:val="19"/>
          <w:szCs w:val="19"/>
          <w:b w:val="1"/>
          <w:bCs w:val="1"/>
          <w:color w:val="auto"/>
        </w:rPr>
        <w:t>A</w:t>
      </w:r>
      <w:r>
        <w:rPr>
          <w:rFonts w:ascii="Arial" w:cs="Arial" w:eastAsia="Arial" w:hAnsi="Arial"/>
          <w:sz w:val="12"/>
          <w:szCs w:val="12"/>
          <w:b w:val="1"/>
          <w:bCs w:val="1"/>
          <w:color w:val="auto"/>
        </w:rPr>
        <w:t>NNUAL</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LECTIONS</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first day of each Bonus Year, each Eligible Employee may elect, in accordance with rules</w:t>
      </w:r>
      <w:r>
        <w:rPr>
          <w:rFonts w:ascii="Arial" w:cs="Arial" w:eastAsia="Arial" w:hAnsi="Arial"/>
          <w:sz w:val="19"/>
          <w:szCs w:val="19"/>
          <w:b w:val="1"/>
          <w:bCs w:val="1"/>
          <w:color w:val="auto"/>
        </w:rPr>
        <w:t xml:space="preserve"> </w:t>
      </w:r>
      <w:r>
        <w:rPr>
          <w:rFonts w:ascii="Arial" w:cs="Arial" w:eastAsia="Arial" w:hAnsi="Arial"/>
          <w:sz w:val="19"/>
          <w:szCs w:val="19"/>
          <w:color w:val="auto"/>
        </w:rPr>
        <w:t>and procedures established by the Committee, to forgo 25%, 50%, 75% or 100% of such Eligible Employee’s annual cash bonus that may be earned in such Bonus Year in exchange for a fully-vested Nonstatutory Stock Option to purchase the number of shares of Common Stock determined under the Conversion Formula set forth in Section 5(d) (an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Notwithstanding the foregoing, any election under this paragraph will be limited by the Individual Cap set forth Section 5(c), or by any maximum dollar amount set forth by the Company or the Eligible Employee in such election. Any election made under this Section 5(a) shall become irrevocable as of December 31 of the year prior to the Bonus Year for which the election is made.</w:t>
      </w:r>
    </w:p>
    <w:p>
      <w:pPr>
        <w:spacing w:after="0" w:line="174" w:lineRule="exact"/>
        <w:rPr>
          <w:rFonts w:ascii="Arial" w:cs="Arial" w:eastAsia="Arial" w:hAnsi="Arial"/>
          <w:sz w:val="19"/>
          <w:szCs w:val="19"/>
          <w:color w:val="auto"/>
        </w:rPr>
      </w:pPr>
    </w:p>
    <w:p>
      <w:pPr>
        <w:ind w:left="1118" w:right="20" w:hanging="369"/>
        <w:spacing w:after="0" w:line="244" w:lineRule="auto"/>
        <w:tabs>
          <w:tab w:leader="none" w:pos="1118" w:val="left"/>
        </w:tabs>
        <w:numPr>
          <w:ilvl w:val="1"/>
          <w:numId w:val="24"/>
        </w:numPr>
        <w:rPr>
          <w:rFonts w:ascii="Arial" w:cs="Arial" w:eastAsia="Arial" w:hAnsi="Arial"/>
          <w:sz w:val="19"/>
          <w:szCs w:val="19"/>
          <w:color w:val="auto"/>
        </w:rPr>
      </w:pPr>
      <w:r>
        <w:rPr>
          <w:rFonts w:ascii="Arial" w:cs="Arial" w:eastAsia="Arial" w:hAnsi="Arial"/>
          <w:sz w:val="19"/>
          <w:szCs w:val="19"/>
          <w:b w:val="1"/>
          <w:bCs w:val="1"/>
          <w:color w:val="auto"/>
        </w:rPr>
        <w:t>I</w:t>
      </w:r>
      <w:r>
        <w:rPr>
          <w:rFonts w:ascii="Arial" w:cs="Arial" w:eastAsia="Arial" w:hAnsi="Arial"/>
          <w:sz w:val="12"/>
          <w:szCs w:val="12"/>
          <w:b w:val="1"/>
          <w:bCs w:val="1"/>
          <w:color w:val="auto"/>
        </w:rPr>
        <w:t>NITIAL</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ARTICIPANT</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LECTIONS</w:t>
      </w:r>
      <w:r>
        <w:rPr>
          <w:rFonts w:ascii="Arial" w:cs="Arial" w:eastAsia="Arial" w:hAnsi="Arial"/>
          <w:sz w:val="19"/>
          <w:szCs w:val="19"/>
          <w:b w:val="1"/>
          <w:bCs w:val="1"/>
          <w:color w:val="auto"/>
        </w:rPr>
        <w:t xml:space="preserve">. </w:t>
      </w:r>
      <w:r>
        <w:rPr>
          <w:rFonts w:ascii="Arial" w:cs="Arial" w:eastAsia="Arial" w:hAnsi="Arial"/>
          <w:sz w:val="19"/>
          <w:szCs w:val="19"/>
          <w:color w:val="auto"/>
        </w:rPr>
        <w:t>An individual who becomes an Eligible Employee for the first time after a Bonus Year has</w:t>
      </w:r>
      <w:r>
        <w:rPr>
          <w:rFonts w:ascii="Arial" w:cs="Arial" w:eastAsia="Arial" w:hAnsi="Arial"/>
          <w:sz w:val="19"/>
          <w:szCs w:val="19"/>
          <w:b w:val="1"/>
          <w:bCs w:val="1"/>
          <w:color w:val="auto"/>
        </w:rPr>
        <w:t xml:space="preserve"> </w:t>
      </w:r>
      <w:r>
        <w:rPr>
          <w:rFonts w:ascii="Arial" w:cs="Arial" w:eastAsia="Arial" w:hAnsi="Arial"/>
          <w:sz w:val="19"/>
          <w:szCs w:val="19"/>
          <w:color w:val="auto"/>
        </w:rPr>
        <w:t>commenced, and on or prior to September 30 of such year, may elect, not later than the 30th day following the date the individual becomes an Eligible Employee, and in accordance with rules and procedures established by the Committee, to forgo 25%, 50%, 75% or 100% of such Eligible Employee’s annual cash bonus that may be earned in such Bonus Year after the date of such election in exchange for an Option. Notwithstanding the foregoing, any election under this paragraph will be limited by the Individual Cap set forth Section 5(c), or by any maximum dollar amount set forth by the Company or the Eligible Employee in such election.</w:t>
      </w:r>
    </w:p>
    <w:p>
      <w:pPr>
        <w:spacing w:after="0" w:line="173" w:lineRule="exact"/>
        <w:rPr>
          <w:rFonts w:ascii="Arial" w:cs="Arial" w:eastAsia="Arial" w:hAnsi="Arial"/>
          <w:sz w:val="19"/>
          <w:szCs w:val="19"/>
          <w:color w:val="auto"/>
        </w:rPr>
      </w:pPr>
    </w:p>
    <w:p>
      <w:pPr>
        <w:ind w:left="1118" w:right="80" w:hanging="369"/>
        <w:spacing w:after="0" w:line="261" w:lineRule="auto"/>
        <w:tabs>
          <w:tab w:leader="none" w:pos="1118" w:val="left"/>
        </w:tabs>
        <w:numPr>
          <w:ilvl w:val="1"/>
          <w:numId w:val="24"/>
        </w:numPr>
        <w:rPr>
          <w:rFonts w:ascii="Arial" w:cs="Arial" w:eastAsia="Arial" w:hAnsi="Arial"/>
          <w:sz w:val="18"/>
          <w:szCs w:val="18"/>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NDIVIDUAL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AP</w:t>
      </w:r>
      <w:r>
        <w:rPr>
          <w:rFonts w:ascii="Arial" w:cs="Arial" w:eastAsia="Arial" w:hAnsi="Arial"/>
          <w:sz w:val="18"/>
          <w:szCs w:val="18"/>
          <w:b w:val="1"/>
          <w:bCs w:val="1"/>
          <w:color w:val="auto"/>
        </w:rPr>
        <w:t xml:space="preserve">. </w:t>
      </w:r>
      <w:r>
        <w:rPr>
          <w:rFonts w:ascii="Arial" w:cs="Arial" w:eastAsia="Arial" w:hAnsi="Arial"/>
          <w:sz w:val="18"/>
          <w:szCs w:val="18"/>
          <w:color w:val="auto"/>
        </w:rPr>
        <w:t>Each Option Election under this Section 5 shall be limited to an amount equal to the Eligible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target annual bonus for the Bonus Year. If, absent this limitation, a Participant’s election would result in such Participant forgoing an amount of the Participant’s annual cash bonus in excess of the Participant’s target annual bonus for the Bonus Year, the Participant shall be deemed to have elected to forgo an amount equal to 100% of such Participant’s target annual bonus for the Bonus Year in exchange for an Option, and any portion of the annual bonus in excess of such amount shall be paid to the Participant in cash, subject to the terms of the annual bonus plan as then in effect.</w:t>
      </w:r>
    </w:p>
    <w:p>
      <w:pPr>
        <w:spacing w:after="0" w:line="161" w:lineRule="exact"/>
        <w:rPr>
          <w:rFonts w:ascii="Arial" w:cs="Arial" w:eastAsia="Arial" w:hAnsi="Arial"/>
          <w:sz w:val="18"/>
          <w:szCs w:val="18"/>
          <w:color w:val="auto"/>
        </w:rPr>
      </w:pPr>
    </w:p>
    <w:p>
      <w:pPr>
        <w:ind w:left="1118" w:right="660" w:hanging="369"/>
        <w:spacing w:after="0" w:line="252" w:lineRule="auto"/>
        <w:tabs>
          <w:tab w:leader="none" w:pos="1118" w:val="left"/>
        </w:tabs>
        <w:numPr>
          <w:ilvl w:val="1"/>
          <w:numId w:val="24"/>
        </w:numPr>
        <w:rPr>
          <w:rFonts w:ascii="Arial" w:cs="Arial" w:eastAsia="Arial" w:hAnsi="Arial"/>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ONVERSION</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ORMULA</w:t>
      </w:r>
      <w:r>
        <w:rPr>
          <w:rFonts w:ascii="Arial" w:cs="Arial" w:eastAsia="Arial" w:hAnsi="Arial"/>
          <w:sz w:val="20"/>
          <w:szCs w:val="20"/>
          <w:b w:val="1"/>
          <w:bCs w:val="1"/>
          <w:color w:val="auto"/>
        </w:rPr>
        <w:t xml:space="preserve">. </w:t>
      </w:r>
      <w:r>
        <w:rPr>
          <w:rFonts w:ascii="Arial" w:cs="Arial" w:eastAsia="Arial" w:hAnsi="Arial"/>
          <w:sz w:val="20"/>
          <w:szCs w:val="20"/>
          <w:color w:val="auto"/>
        </w:rPr>
        <w:t>The number of shares of Common Stock subject to an Option shall be determined using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 formula: (Cash Value * 4)/Average Share Price.</w:t>
      </w:r>
    </w:p>
    <w:p>
      <w:pPr>
        <w:spacing w:after="0" w:line="171" w:lineRule="exact"/>
        <w:rPr>
          <w:rFonts w:ascii="Arial" w:cs="Arial" w:eastAsia="Arial" w:hAnsi="Arial"/>
          <w:sz w:val="20"/>
          <w:szCs w:val="20"/>
          <w:color w:val="auto"/>
        </w:rPr>
      </w:pPr>
    </w:p>
    <w:p>
      <w:pPr>
        <w:jc w:val="both"/>
        <w:ind w:left="1118" w:right="20"/>
        <w:spacing w:after="0" w:line="237"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Value</w:t>
      </w:r>
      <w:r>
        <w:rPr>
          <w:rFonts w:ascii="Arial" w:cs="Arial" w:eastAsia="Arial" w:hAnsi="Arial"/>
          <w:sz w:val="20"/>
          <w:szCs w:val="20"/>
          <w:color w:val="auto"/>
        </w:rPr>
        <w:t>” means the value of that portion of the annual cash bonus for the Bonus Year which a Participant has elected to forgo pursuant to a valid Option Election, after application of any applicable maximum dollar amounts or the Individual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311150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325" w:right="339" w:bottom="1440" w:gutter="0" w:footer="0" w:header="0"/>
        </w:sectPr>
      </w:pPr>
    </w:p>
    <w:bookmarkStart w:id="47" w:name="page48"/>
    <w:bookmarkEnd w:id="47"/>
    <w:p>
      <w:pPr>
        <w:ind w:left="111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Average Share Price</w:t>
      </w:r>
      <w:r>
        <w:rPr>
          <w:rFonts w:ascii="Arial" w:cs="Arial" w:eastAsia="Arial" w:hAnsi="Arial"/>
          <w:sz w:val="16"/>
          <w:szCs w:val="16"/>
          <w:color w:val="auto"/>
        </w:rPr>
        <w:t>” means the average share price for the Bonus Year, as determined in good faith by the Committee.</w:t>
      </w:r>
    </w:p>
    <w:p>
      <w:pPr>
        <w:spacing w:after="0" w:line="242" w:lineRule="exact"/>
        <w:rPr>
          <w:sz w:val="20"/>
          <w:szCs w:val="20"/>
          <w:color w:val="auto"/>
        </w:rPr>
      </w:pPr>
    </w:p>
    <w:p>
      <w:pPr>
        <w:ind w:left="378" w:right="80" w:hanging="378"/>
        <w:spacing w:after="0" w:line="269" w:lineRule="auto"/>
        <w:tabs>
          <w:tab w:leader="none" w:pos="378"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APITALIZATION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(i) any change in the Common Stock through a merger, consolidation,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 or otherwise, (ii) a stock dividend, or (iii) a stock split, combination or other change in the Common Stock, in each case, as described in Section 5.7 of the Equity Incentive Plan, the number of Nonqualified Stock Options held by each Participant shall be increased or decreased proportionately in accordance with Section 5.7 of the Equity Incentive Plan.</w:t>
      </w:r>
    </w:p>
    <w:p>
      <w:pPr>
        <w:spacing w:after="0" w:line="152" w:lineRule="exact"/>
        <w:rPr>
          <w:rFonts w:ascii="Arial" w:cs="Arial" w:eastAsia="Arial" w:hAnsi="Arial"/>
          <w:sz w:val="18"/>
          <w:szCs w:val="18"/>
          <w:b w:val="1"/>
          <w:bCs w:val="1"/>
          <w:color w:val="auto"/>
        </w:rPr>
      </w:pPr>
    </w:p>
    <w:p>
      <w:pPr>
        <w:ind w:left="378" w:hanging="378"/>
        <w:spacing w:after="0" w:line="269" w:lineRule="auto"/>
        <w:tabs>
          <w:tab w:leader="none" w:pos="378"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 OF</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 Participant’s employment with the Company or its applicable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for any reason (including by reason of death, disability, termination by the Company or its subsidiary without cause, voluntary resignation or otherwise), such Participant’s Option Election shall be cancelled and shall be of no force and effect, and no portion of any amount paid to the Participant in respect of his or her annual cash bonus shall be eligible for conversion to an Option.</w:t>
      </w:r>
    </w:p>
    <w:p>
      <w:pPr>
        <w:spacing w:after="0" w:line="152" w:lineRule="exact"/>
        <w:rPr>
          <w:rFonts w:ascii="Arial" w:cs="Arial" w:eastAsia="Arial" w:hAnsi="Arial"/>
          <w:sz w:val="18"/>
          <w:szCs w:val="18"/>
          <w:b w:val="1"/>
          <w:bCs w:val="1"/>
          <w:color w:val="auto"/>
        </w:rPr>
      </w:pPr>
    </w:p>
    <w:p>
      <w:pPr>
        <w:ind w:left="378" w:right="60" w:hanging="378"/>
        <w:spacing w:after="0" w:line="235" w:lineRule="auto"/>
        <w:tabs>
          <w:tab w:leader="none" w:pos="378"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 AND</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may amend or terminate the Plan at any time in whole or in part; provided, however, that</w:t>
      </w:r>
      <w:r>
        <w:rPr>
          <w:rFonts w:ascii="Arial" w:cs="Arial" w:eastAsia="Arial" w:hAnsi="Arial"/>
          <w:sz w:val="20"/>
          <w:szCs w:val="20"/>
          <w:b w:val="1"/>
          <w:bCs w:val="1"/>
          <w:color w:val="auto"/>
        </w:rPr>
        <w:t xml:space="preserve"> </w:t>
      </w:r>
      <w:r>
        <w:rPr>
          <w:rFonts w:ascii="Arial" w:cs="Arial" w:eastAsia="Arial" w:hAnsi="Arial"/>
          <w:sz w:val="20"/>
          <w:szCs w:val="20"/>
          <w:color w:val="auto"/>
        </w:rPr>
        <w:t>no amendment or termination shall adversely affect the rights of a Participant pursuant to a valid Option Election without the consent of the Participant. Notwithstanding the foregoing, the Plan may be amended at any time, without the consent of any Participant (or beneficiary), if necessary or desirable to comply with applicable law.</w:t>
      </w:r>
    </w:p>
    <w:p>
      <w:pPr>
        <w:spacing w:after="0" w:line="179" w:lineRule="exact"/>
        <w:rPr>
          <w:rFonts w:ascii="Arial" w:cs="Arial" w:eastAsia="Arial" w:hAnsi="Arial"/>
          <w:sz w:val="20"/>
          <w:szCs w:val="20"/>
          <w:b w:val="1"/>
          <w:bCs w:val="1"/>
          <w:color w:val="auto"/>
        </w:rPr>
      </w:pPr>
    </w:p>
    <w:p>
      <w:pPr>
        <w:ind w:left="378" w:hanging="378"/>
        <w:spacing w:after="0"/>
        <w:tabs>
          <w:tab w:leader="none" w:pos="378"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ENERAL</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ROVISIONS</w:t>
      </w:r>
      <w:r>
        <w:rPr>
          <w:rFonts w:ascii="Arial" w:cs="Arial" w:eastAsia="Arial" w:hAnsi="Arial"/>
          <w:sz w:val="20"/>
          <w:szCs w:val="20"/>
          <w:b w:val="1"/>
          <w:bCs w:val="1"/>
          <w:color w:val="auto"/>
        </w:rPr>
        <w:t>.</w:t>
      </w:r>
    </w:p>
    <w:p>
      <w:pPr>
        <w:spacing w:after="0" w:line="202" w:lineRule="exact"/>
        <w:rPr>
          <w:rFonts w:ascii="Arial" w:cs="Arial" w:eastAsia="Arial" w:hAnsi="Arial"/>
          <w:sz w:val="20"/>
          <w:szCs w:val="20"/>
          <w:b w:val="1"/>
          <w:bCs w:val="1"/>
          <w:color w:val="auto"/>
        </w:rPr>
      </w:pPr>
    </w:p>
    <w:p>
      <w:pPr>
        <w:ind w:left="1118" w:right="160" w:hanging="369"/>
        <w:spacing w:after="0" w:line="245" w:lineRule="auto"/>
        <w:tabs>
          <w:tab w:leader="none" w:pos="1118" w:val="left"/>
        </w:tabs>
        <w:numPr>
          <w:ilvl w:val="1"/>
          <w:numId w:val="25"/>
        </w:numPr>
        <w:rPr>
          <w:rFonts w:ascii="Arial" w:cs="Arial" w:eastAsia="Arial" w:hAnsi="Arial"/>
          <w:sz w:val="19"/>
          <w:szCs w:val="19"/>
          <w:color w:val="auto"/>
        </w:rPr>
      </w:pPr>
      <w:r>
        <w:rPr>
          <w:rFonts w:ascii="Arial" w:cs="Arial" w:eastAsia="Arial" w:hAnsi="Arial"/>
          <w:sz w:val="19"/>
          <w:szCs w:val="19"/>
          <w:b w:val="1"/>
          <w:bCs w:val="1"/>
          <w:color w:val="auto"/>
        </w:rPr>
        <w:t>N</w:t>
      </w:r>
      <w:r>
        <w:rPr>
          <w:rFonts w:ascii="Arial" w:cs="Arial" w:eastAsia="Arial" w:hAnsi="Arial"/>
          <w:sz w:val="12"/>
          <w:szCs w:val="12"/>
          <w:b w:val="1"/>
          <w:bCs w:val="1"/>
          <w:color w:val="auto"/>
        </w:rPr>
        <w:t>ON</w:t>
      </w:r>
      <w:r>
        <w:rPr>
          <w:rFonts w:ascii="Arial" w:cs="Arial" w:eastAsia="Arial" w:hAnsi="Arial"/>
          <w:sz w:val="19"/>
          <w:szCs w:val="19"/>
          <w:b w:val="1"/>
          <w:bCs w:val="1"/>
          <w:color w:val="auto"/>
        </w:rPr>
        <w:t>-A</w:t>
      </w:r>
      <w:r>
        <w:rPr>
          <w:rFonts w:ascii="Arial" w:cs="Arial" w:eastAsia="Arial" w:hAnsi="Arial"/>
          <w:sz w:val="12"/>
          <w:szCs w:val="12"/>
          <w:b w:val="1"/>
          <w:bCs w:val="1"/>
          <w:color w:val="auto"/>
        </w:rPr>
        <w:t>LIENATION OF</w:t>
      </w:r>
      <w:r>
        <w:rPr>
          <w:rFonts w:ascii="Arial" w:cs="Arial" w:eastAsia="Arial" w:hAnsi="Arial"/>
          <w:sz w:val="19"/>
          <w:szCs w:val="19"/>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a Participant nor any other person shall have any rights to sell, assign,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pledge, anticipate, or otherwise encumber the amounts, if any, payable under the Plan. Any attempted sale, assignment, transfer, pledge, anticipation or encumbrance shall be null and void and without any legal effect. No part of the amounts payable under the Plan shall be subject to seizure or sequestration for the payment of any debts, judgments, alimony or separate maintenance owed by a Participant or any other person, nor be transferable by operation of law in the event of a Participant’s or any other person’s bankruptcy or insolvency.</w:t>
      </w:r>
    </w:p>
    <w:p>
      <w:pPr>
        <w:spacing w:after="0" w:line="173" w:lineRule="exact"/>
        <w:rPr>
          <w:rFonts w:ascii="Arial" w:cs="Arial" w:eastAsia="Arial" w:hAnsi="Arial"/>
          <w:sz w:val="19"/>
          <w:szCs w:val="19"/>
          <w:color w:val="auto"/>
        </w:rPr>
      </w:pPr>
    </w:p>
    <w:p>
      <w:pPr>
        <w:ind w:left="1118" w:right="360" w:hanging="369"/>
        <w:spacing w:after="0" w:line="239" w:lineRule="auto"/>
        <w:tabs>
          <w:tab w:leader="none" w:pos="1118" w:val="left"/>
        </w:tabs>
        <w:numPr>
          <w:ilvl w:val="1"/>
          <w:numId w:val="25"/>
        </w:numPr>
        <w:rPr>
          <w:rFonts w:ascii="Arial" w:cs="Arial" w:eastAsia="Arial" w:hAnsi="Arial"/>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TOCKHOLDER</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IGHTS</w:t>
      </w:r>
      <w:r>
        <w:rPr>
          <w:rFonts w:ascii="Arial" w:cs="Arial" w:eastAsia="Arial" w:hAnsi="Arial"/>
          <w:sz w:val="20"/>
          <w:szCs w:val="20"/>
          <w:b w:val="1"/>
          <w:bCs w:val="1"/>
          <w:color w:val="auto"/>
        </w:rPr>
        <w:t xml:space="preserve">. </w:t>
      </w:r>
      <w:r>
        <w:rPr>
          <w:rFonts w:ascii="Arial" w:cs="Arial" w:eastAsia="Arial" w:hAnsi="Arial"/>
          <w:sz w:val="20"/>
          <w:szCs w:val="20"/>
          <w:color w:val="auto"/>
        </w:rPr>
        <w:t>Neither a Participant nor any other person shall have any rights as a stockholder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respect to an Option until shares of Common Stock are issued to the Participant in accordance with the terms of such Option under the Equity Incentive Plan.</w:t>
      </w:r>
    </w:p>
    <w:p>
      <w:pPr>
        <w:spacing w:after="0" w:line="176" w:lineRule="exact"/>
        <w:rPr>
          <w:rFonts w:ascii="Arial" w:cs="Arial" w:eastAsia="Arial" w:hAnsi="Arial"/>
          <w:sz w:val="20"/>
          <w:szCs w:val="20"/>
          <w:color w:val="auto"/>
        </w:rPr>
      </w:pPr>
    </w:p>
    <w:p>
      <w:pPr>
        <w:ind w:left="1118" w:right="160" w:hanging="369"/>
        <w:spacing w:after="0" w:line="257" w:lineRule="auto"/>
        <w:tabs>
          <w:tab w:leader="none" w:pos="1118"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409A. </w:t>
      </w:r>
      <w:r>
        <w:rPr>
          <w:rFonts w:ascii="Arial" w:cs="Arial" w:eastAsia="Arial" w:hAnsi="Arial"/>
          <w:sz w:val="18"/>
          <w:szCs w:val="18"/>
          <w:color w:val="auto"/>
        </w:rPr>
        <w:t>It is intended that the Plan and any Nonstatutory Stock Option granted hereunder be exempt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of Section 409A and any state law of similar effect. In the event any payment hereunder be deemed to be deferred compensation subject to the requirements of Section 409A, such payment shall be intended to comply with the requirements of Section 409A and the Plan shall be interpreted accordingly. To this end, and notwithstanding any other provision of this Plan to the contrary, if at the time of a Participant’s termination of employment with the Company or its subsidiary, (i) the Company’s securities are publicly traded on an established securities market, (ii) the Participant is a “specified employee” (as defined in Section 409A), and (iii) the deferral of the commencement of any payments or benefits otherwise payable hereunder as a result of such termination of employment is necessary in order to prevent any accelerated or additional tax under Section 409A, then the Company will defer the commencement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304165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325" w:right="359" w:bottom="1440" w:gutter="0" w:footer="0" w:header="0"/>
        </w:sectPr>
      </w:pPr>
    </w:p>
    <w:bookmarkStart w:id="48" w:name="page49"/>
    <w:bookmarkEnd w:id="48"/>
    <w:p>
      <w:pPr>
        <w:ind w:left="380"/>
        <w:spacing w:after="0" w:line="254" w:lineRule="auto"/>
        <w:rPr>
          <w:sz w:val="20"/>
          <w:szCs w:val="20"/>
          <w:color w:val="auto"/>
        </w:rPr>
      </w:pPr>
      <w:r>
        <w:rPr>
          <w:rFonts w:ascii="Arial" w:cs="Arial" w:eastAsia="Arial" w:hAnsi="Arial"/>
          <w:sz w:val="18"/>
          <w:szCs w:val="18"/>
          <w:color w:val="auto"/>
        </w:rPr>
        <w:t>such payment until the date that is six (6) months following the Participant’s termination of employment with the Company or its subsidiary (or the earliest date as is permitted under Section 409A). Any amounts, the payment of which are so deferred, shall be paid in a lump sum payment on the first (1st) day of the seventh (7th) month following the end of such deferral period. If the Participant dies during the deferral period prior to the payment of any deferred amount, then the unpaid deferred amount shall be paid to the personal representative of the Participant’s estate within sixty (60) days after the date of the Participant’s death. Notwithstanding any provision of this Plan to the contrary, and to the extent necessary to comply with Section 409A with respect to any “deferred compensation” within the meaning of Section 409A, a Participant will be deemed to have a date of termination for purposes of determining the timing of any payments or benefits hereunder only upon a “separation from service” within the meaning of Section 409A. The Company makes no representation that any or all of the payments described in this Plan will be exempt from or comply with Section 409A and makes no undertaking to preclude Section 409A from applying to any such payment. By making an Option Election, a Participant acknowledges and agrees that the Participant shall be solely responsible for the payment of any taxes, penalties, interest of other expenses incurred by the Participant on account of non-compliance with Section 409A.</w:t>
      </w:r>
    </w:p>
    <w:p>
      <w:pPr>
        <w:spacing w:after="0" w:line="170" w:lineRule="exact"/>
        <w:rPr>
          <w:sz w:val="20"/>
          <w:szCs w:val="20"/>
          <w:color w:val="auto"/>
        </w:rPr>
      </w:pPr>
    </w:p>
    <w:p>
      <w:pPr>
        <w:jc w:val="both"/>
        <w:ind w:left="380" w:right="140" w:hanging="369"/>
        <w:spacing w:after="0" w:line="239"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any provision of the Plan shall be held illegal or invalid for any reason, such illegality or invalidity shall</w:t>
      </w:r>
      <w:r>
        <w:rPr>
          <w:rFonts w:ascii="Arial" w:cs="Arial" w:eastAsia="Arial" w:hAnsi="Arial"/>
          <w:sz w:val="20"/>
          <w:szCs w:val="20"/>
          <w:b w:val="1"/>
          <w:bCs w:val="1"/>
          <w:color w:val="auto"/>
        </w:rPr>
        <w:t xml:space="preserve"> </w:t>
      </w:r>
      <w:r>
        <w:rPr>
          <w:rFonts w:ascii="Arial" w:cs="Arial" w:eastAsia="Arial" w:hAnsi="Arial"/>
          <w:sz w:val="20"/>
          <w:szCs w:val="20"/>
          <w:color w:val="auto"/>
        </w:rPr>
        <w:t>not affect the remaining provisions of the Plan, and the Plan shall be enforced as if the invalid provisions had never been set forth therein.</w:t>
      </w:r>
    </w:p>
    <w:p>
      <w:pPr>
        <w:spacing w:after="0" w:line="176" w:lineRule="exact"/>
        <w:rPr>
          <w:rFonts w:ascii="Arial" w:cs="Arial" w:eastAsia="Arial" w:hAnsi="Arial"/>
          <w:sz w:val="20"/>
          <w:szCs w:val="20"/>
          <w:color w:val="auto"/>
        </w:rPr>
      </w:pPr>
    </w:p>
    <w:p>
      <w:pPr>
        <w:jc w:val="both"/>
        <w:ind w:left="380" w:right="40" w:hanging="369"/>
        <w:spacing w:after="0" w:line="239"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UCCESSORS IN</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NTEREST</w:t>
      </w:r>
      <w:r>
        <w:rPr>
          <w:rFonts w:ascii="Arial" w:cs="Arial" w:eastAsia="Arial" w:hAnsi="Arial"/>
          <w:sz w:val="20"/>
          <w:szCs w:val="20"/>
          <w:b w:val="1"/>
          <w:bCs w:val="1"/>
          <w:color w:val="auto"/>
        </w:rPr>
        <w:t xml:space="preserve">. </w:t>
      </w:r>
      <w:r>
        <w:rPr>
          <w:rFonts w:ascii="Arial" w:cs="Arial" w:eastAsia="Arial" w:hAnsi="Arial"/>
          <w:sz w:val="20"/>
          <w:szCs w:val="20"/>
          <w:color w:val="auto"/>
        </w:rPr>
        <w:t>The obligation of the Company under the Plan shall be binding upon any successor or 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whether by merger, consolidation, sale of assets or otherwise, and for this purpose reference herein to the Corporation shall be deemed to include any such successor or successors.</w:t>
      </w:r>
    </w:p>
    <w:p>
      <w:pPr>
        <w:spacing w:after="0" w:line="176" w:lineRule="exact"/>
        <w:rPr>
          <w:rFonts w:ascii="Arial" w:cs="Arial" w:eastAsia="Arial" w:hAnsi="Arial"/>
          <w:sz w:val="20"/>
          <w:szCs w:val="20"/>
          <w:color w:val="auto"/>
        </w:rPr>
      </w:pPr>
    </w:p>
    <w:p>
      <w:pPr>
        <w:ind w:left="380" w:right="200" w:hanging="369"/>
        <w:spacing w:after="0" w:line="252"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OVERNING</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shall be construed and enforced in accordance with, and governed by, the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without giving effect to principles of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303530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325"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10.2</w:t>
      </w:r>
    </w:p>
    <w:p>
      <w:pPr>
        <w:jc w:val="center"/>
        <w:ind w:right="4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MENDMENT</w:t>
      </w:r>
      <w:r>
        <w:rPr>
          <w:rFonts w:ascii="Arial" w:cs="Arial" w:eastAsia="Arial" w:hAnsi="Arial"/>
          <w:sz w:val="20"/>
          <w:szCs w:val="20"/>
          <w:b w:val="1"/>
          <w:bCs w:val="1"/>
          <w:color w:val="auto"/>
        </w:rPr>
        <w:t xml:space="preserve"> N</w:t>
      </w:r>
      <w:r>
        <w:rPr>
          <w:rFonts w:ascii="Arial" w:cs="Arial" w:eastAsia="Arial" w:hAnsi="Arial"/>
          <w:sz w:val="13"/>
          <w:szCs w:val="13"/>
          <w:b w:val="1"/>
          <w:bCs w:val="1"/>
          <w:color w:val="auto"/>
        </w:rPr>
        <w:t>UMBER</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NE</w:t>
      </w:r>
    </w:p>
    <w:p>
      <w:pPr>
        <w:jc w:val="center"/>
        <w:spacing w:after="0" w:line="225"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w:t>
      </w:r>
    </w:p>
    <w:p>
      <w:pPr>
        <w:jc w:val="center"/>
        <w:spacing w:after="0" w:line="225" w:lineRule="auto"/>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IODESIX</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S</w:t>
      </w:r>
      <w:r>
        <w:rPr>
          <w:rFonts w:ascii="Arial" w:cs="Arial" w:eastAsia="Arial" w:hAnsi="Arial"/>
          <w:sz w:val="13"/>
          <w:szCs w:val="13"/>
          <w:b w:val="1"/>
          <w:bCs w:val="1"/>
          <w:color w:val="auto"/>
        </w:rPr>
        <w:t>ENIOR</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ANAGEMENT</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ONUS TO</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QUITY</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spacing w:after="0" w:line="180" w:lineRule="exact"/>
        <w:rPr>
          <w:sz w:val="20"/>
          <w:szCs w:val="20"/>
          <w:color w:val="auto"/>
        </w:rPr>
      </w:pPr>
    </w:p>
    <w:p>
      <w:pPr>
        <w:jc w:val="both"/>
        <w:ind w:right="40" w:firstLine="396"/>
        <w:spacing w:after="0" w:line="251" w:lineRule="auto"/>
        <w:rPr>
          <w:sz w:val="20"/>
          <w:szCs w:val="20"/>
          <w:color w:val="auto"/>
        </w:rPr>
      </w:pPr>
      <w:r>
        <w:rPr>
          <w:rFonts w:ascii="Arial" w:cs="Arial" w:eastAsia="Arial" w:hAnsi="Arial"/>
          <w:sz w:val="19"/>
          <w:szCs w:val="19"/>
          <w:b w:val="1"/>
          <w:bCs w:val="1"/>
          <w:color w:val="auto"/>
        </w:rPr>
        <w:t>W</w:t>
      </w:r>
      <w:r>
        <w:rPr>
          <w:rFonts w:ascii="Arial" w:cs="Arial" w:eastAsia="Arial" w:hAnsi="Arial"/>
          <w:sz w:val="12"/>
          <w:szCs w:val="12"/>
          <w:b w:val="1"/>
          <w:bCs w:val="1"/>
          <w:color w:val="auto"/>
        </w:rPr>
        <w:t>HEREAS</w:t>
      </w:r>
      <w:r>
        <w:rPr>
          <w:rFonts w:ascii="Arial" w:cs="Arial" w:eastAsia="Arial" w:hAnsi="Arial"/>
          <w:sz w:val="19"/>
          <w:szCs w:val="19"/>
          <w:b w:val="1"/>
          <w:bCs w:val="1"/>
          <w:color w:val="auto"/>
        </w:rPr>
        <w:t xml:space="preserve">, </w:t>
      </w:r>
      <w:r>
        <w:rPr>
          <w:rFonts w:ascii="Arial" w:cs="Arial" w:eastAsia="Arial" w:hAnsi="Arial"/>
          <w:sz w:val="19"/>
          <w:szCs w:val="19"/>
          <w:color w:val="auto"/>
        </w:rPr>
        <w:t>Biodesix,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heretofore has adopted and maintains the Biodesix, Inc. 2021 Senior</w:t>
      </w:r>
      <w:r>
        <w:rPr>
          <w:rFonts w:ascii="Arial" w:cs="Arial" w:eastAsia="Arial" w:hAnsi="Arial"/>
          <w:sz w:val="19"/>
          <w:szCs w:val="19"/>
          <w:b w:val="1"/>
          <w:bCs w:val="1"/>
          <w:color w:val="auto"/>
        </w:rPr>
        <w:t xml:space="preserve"> </w:t>
      </w:r>
      <w:r>
        <w:rPr>
          <w:rFonts w:ascii="Arial" w:cs="Arial" w:eastAsia="Arial" w:hAnsi="Arial"/>
          <w:sz w:val="19"/>
          <w:szCs w:val="19"/>
          <w:color w:val="auto"/>
        </w:rPr>
        <w:t>Management Bonus to Equity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 subplan of the Biodesix, Inc. 2020 Equity Incentive Plan (the “</w:t>
      </w:r>
      <w:r>
        <w:rPr>
          <w:rFonts w:ascii="Arial" w:cs="Arial" w:eastAsia="Arial" w:hAnsi="Arial"/>
          <w:sz w:val="19"/>
          <w:szCs w:val="19"/>
          <w:b w:val="1"/>
          <w:bCs w:val="1"/>
          <w:i w:val="1"/>
          <w:iCs w:val="1"/>
          <w:color w:val="auto"/>
        </w:rPr>
        <w:t>Equity Incentive Plan</w:t>
      </w:r>
      <w:r>
        <w:rPr>
          <w:rFonts w:ascii="Arial" w:cs="Arial" w:eastAsia="Arial" w:hAnsi="Arial"/>
          <w:sz w:val="19"/>
          <w:szCs w:val="19"/>
          <w:color w:val="auto"/>
        </w:rPr>
        <w:t>”) to provide certain designated employees of the Company or its subsidiaries with the opportunity to receive a portion of their annual cash bonus in the form of a Nonstatutory Stock Option (as defined under the Equity Incentive Plan);</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of Directors of the Company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may amend the Plan at any time; and</w:t>
      </w:r>
    </w:p>
    <w:p>
      <w:pPr>
        <w:spacing w:after="0" w:line="202" w:lineRule="exact"/>
        <w:rPr>
          <w:sz w:val="20"/>
          <w:szCs w:val="20"/>
          <w:color w:val="auto"/>
        </w:rPr>
      </w:pPr>
    </w:p>
    <w:p>
      <w:pPr>
        <w:ind w:right="140" w:firstLine="396"/>
        <w:spacing w:after="0" w:line="239"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desires to amend the Plan to provide for the cancellation of elections thereunder in the event the Company enters</w:t>
      </w:r>
      <w:r>
        <w:rPr>
          <w:rFonts w:ascii="Arial" w:cs="Arial" w:eastAsia="Arial" w:hAnsi="Arial"/>
          <w:sz w:val="20"/>
          <w:szCs w:val="20"/>
          <w:b w:val="1"/>
          <w:bCs w:val="1"/>
          <w:color w:val="auto"/>
        </w:rPr>
        <w:t xml:space="preserve"> </w:t>
      </w:r>
      <w:r>
        <w:rPr>
          <w:rFonts w:ascii="Arial" w:cs="Arial" w:eastAsia="Arial" w:hAnsi="Arial"/>
          <w:sz w:val="20"/>
          <w:szCs w:val="20"/>
          <w:color w:val="auto"/>
        </w:rPr>
        <w:t>into, or announces its intention to enter into, an agreement that, if consummated, would constitute a Change in Control (as defined under the Equity Incentive Plan).</w:t>
      </w:r>
    </w:p>
    <w:p>
      <w:pPr>
        <w:spacing w:after="0" w:line="177" w:lineRule="exact"/>
        <w:rPr>
          <w:sz w:val="20"/>
          <w:szCs w:val="20"/>
          <w:color w:val="auto"/>
        </w:rPr>
      </w:pPr>
    </w:p>
    <w:p>
      <w:pPr>
        <w:ind w:right="80" w:firstLine="749"/>
        <w:spacing w:after="0" w:line="252"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THEREFORE</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BE IT</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ESOLVED</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Plan hereby is amended, effective for Option Elections (as defined in the Plan) in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of Bonus Year 2022 and subsequent Bonus Years, to insert a new Section 5(e), to read as follows:</w:t>
      </w:r>
    </w:p>
    <w:p>
      <w:pPr>
        <w:spacing w:after="0" w:line="165" w:lineRule="exact"/>
        <w:rPr>
          <w:sz w:val="20"/>
          <w:szCs w:val="20"/>
          <w:color w:val="auto"/>
        </w:rPr>
      </w:pPr>
    </w:p>
    <w:p>
      <w:pPr>
        <w:ind w:left="1140" w:right="40" w:hanging="373"/>
        <w:spacing w:after="0" w:line="258" w:lineRule="auto"/>
        <w:tabs>
          <w:tab w:leader="none" w:pos="1120" w:val="left"/>
        </w:tabs>
        <w:rPr>
          <w:sz w:val="20"/>
          <w:szCs w:val="20"/>
          <w:color w:val="auto"/>
        </w:rPr>
      </w:pPr>
      <w:r>
        <w:rPr>
          <w:rFonts w:ascii="Arial" w:cs="Arial" w:eastAsia="Arial" w:hAnsi="Arial"/>
          <w:sz w:val="13"/>
          <w:szCs w:val="13"/>
          <w:b w:val="1"/>
          <w:bCs w:val="1"/>
          <w:color w:val="auto"/>
        </w:rPr>
        <w:t>E</w:t>
      </w:r>
      <w:r>
        <w:rPr>
          <w:rFonts w:ascii="Arial" w:cs="Arial" w:eastAsia="Arial" w:hAnsi="Arial"/>
          <w:sz w:val="19"/>
          <w:szCs w:val="19"/>
          <w:b w:val="1"/>
          <w:bCs w:val="1"/>
          <w:color w:val="auto"/>
        </w:rPr>
        <w:t>.</w:t>
      </w:r>
      <w:r>
        <w:rPr>
          <w:sz w:val="20"/>
          <w:szCs w:val="20"/>
          <w:color w:val="auto"/>
        </w:rPr>
        <w:tab/>
      </w:r>
      <w:r>
        <w:rPr>
          <w:rFonts w:ascii="Arial" w:cs="Arial" w:eastAsia="Arial" w:hAnsi="Arial"/>
          <w:sz w:val="18"/>
          <w:szCs w:val="18"/>
          <w:b w:val="1"/>
          <w:bCs w:val="1"/>
          <w:color w:val="auto"/>
        </w:rPr>
        <w:t>C</w:t>
      </w:r>
      <w:r>
        <w:rPr>
          <w:rFonts w:ascii="Arial" w:cs="Arial" w:eastAsia="Arial" w:hAnsi="Arial"/>
          <w:sz w:val="12"/>
          <w:szCs w:val="12"/>
          <w:b w:val="1"/>
          <w:bCs w:val="1"/>
          <w:color w:val="auto"/>
        </w:rPr>
        <w:t>ANCELLATION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LECTION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Plan to the contrary, an Option Election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a Bonus Year shall be automatically cancelled and of no effect in the event that on or after the first day of a Bonus Year, but prior to the date on which Nonstatutory Stock Options in satisfaction of such Option Election have been granted, the Company enters into, or announces its intention to enter into, an agreement that, if consummated, would constitute a Change in Control (as defined under the Equity Incentive Plan) (the “</w:t>
      </w:r>
      <w:r>
        <w:rPr>
          <w:rFonts w:ascii="Arial" w:cs="Arial" w:eastAsia="Arial" w:hAnsi="Arial"/>
          <w:sz w:val="18"/>
          <w:szCs w:val="18"/>
          <w:b w:val="1"/>
          <w:bCs w:val="1"/>
          <w:i w:val="1"/>
          <w:iCs w:val="1"/>
          <w:color w:val="auto"/>
        </w:rPr>
        <w:t>Option Cancellation</w:t>
      </w:r>
      <w:r>
        <w:rPr>
          <w:rFonts w:ascii="Arial" w:cs="Arial" w:eastAsia="Arial" w:hAnsi="Arial"/>
          <w:sz w:val="18"/>
          <w:szCs w:val="18"/>
          <w:color w:val="auto"/>
        </w:rPr>
        <w:t>”). The Option Cancellation is irrevocable notwithstanding whether such Change in Control is effectuated and each Participant with respect to whom an Option Election is cancelled pursuant to such Option Cancellation shall again be entitled to receive 100% of such Participant’s annual cash bonus earned in such Bonus Year as if no Option Election had been made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Scott Hutton, certify that:</w:t>
      </w:r>
    </w:p>
    <w:p>
      <w:pPr>
        <w:spacing w:after="0" w:line="225" w:lineRule="exact"/>
        <w:rPr>
          <w:sz w:val="20"/>
          <w:szCs w:val="20"/>
          <w:color w:val="auto"/>
        </w:rPr>
      </w:pPr>
    </w:p>
    <w:p>
      <w:pPr>
        <w:ind w:left="760" w:hanging="752"/>
        <w:spacing w:after="0"/>
        <w:tabs>
          <w:tab w:leader="none" w:pos="760" w:val="left"/>
        </w:tabs>
        <w:numPr>
          <w:ilvl w:val="0"/>
          <w:numId w:val="27"/>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Biodesix, Inc.;</w:t>
      </w:r>
    </w:p>
    <w:p>
      <w:pPr>
        <w:spacing w:after="0" w:line="202" w:lineRule="exact"/>
        <w:rPr>
          <w:rFonts w:ascii="Arial" w:cs="Arial" w:eastAsia="Arial" w:hAnsi="Arial"/>
          <w:sz w:val="20"/>
          <w:szCs w:val="20"/>
          <w:color w:val="auto"/>
        </w:rPr>
      </w:pPr>
    </w:p>
    <w:p>
      <w:pPr>
        <w:jc w:val="both"/>
        <w:ind w:left="760" w:hanging="752"/>
        <w:spacing w:after="0" w:line="236" w:lineRule="auto"/>
        <w:tabs>
          <w:tab w:leader="none" w:pos="760" w:val="left"/>
        </w:tabs>
        <w:numPr>
          <w:ilvl w:val="0"/>
          <w:numId w:val="27"/>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20"/>
          <w:szCs w:val="20"/>
          <w:color w:val="auto"/>
        </w:rPr>
      </w:pPr>
    </w:p>
    <w:p>
      <w:pPr>
        <w:ind w:left="760" w:hanging="752"/>
        <w:spacing w:after="0" w:line="263" w:lineRule="auto"/>
        <w:tabs>
          <w:tab w:leader="none" w:pos="760" w:val="left"/>
        </w:tabs>
        <w:numPr>
          <w:ilvl w:val="0"/>
          <w:numId w:val="27"/>
        </w:numPr>
        <w:rPr>
          <w:rFonts w:ascii="Arial" w:cs="Arial" w:eastAsia="Arial" w:hAnsi="Arial"/>
          <w:sz w:val="19"/>
          <w:szCs w:val="19"/>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9"/>
          <w:szCs w:val="19"/>
          <w:color w:val="auto"/>
        </w:rPr>
      </w:pPr>
    </w:p>
    <w:p>
      <w:pPr>
        <w:jc w:val="both"/>
        <w:ind w:left="760" w:hanging="752"/>
        <w:spacing w:after="0" w:line="236" w:lineRule="auto"/>
        <w:tabs>
          <w:tab w:leader="none" w:pos="760" w:val="left"/>
        </w:tabs>
        <w:numPr>
          <w:ilvl w:val="0"/>
          <w:numId w:val="27"/>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20"/>
          <w:szCs w:val="20"/>
          <w:color w:val="auto"/>
        </w:rPr>
      </w:pPr>
    </w:p>
    <w:p>
      <w:pPr>
        <w:jc w:val="both"/>
        <w:ind w:left="1500" w:hanging="743"/>
        <w:spacing w:after="0" w:line="248" w:lineRule="auto"/>
        <w:tabs>
          <w:tab w:leader="none" w:pos="15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500" w:hanging="743"/>
        <w:spacing w:after="0" w:line="248" w:lineRule="auto"/>
        <w:tabs>
          <w:tab w:leader="none" w:pos="15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760" w:hanging="752"/>
        <w:spacing w:after="0" w:line="294"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1500" w:hanging="743"/>
        <w:spacing w:after="0" w:line="263" w:lineRule="auto"/>
        <w:tabs>
          <w:tab w:leader="none" w:pos="1500" w:val="left"/>
        </w:tabs>
        <w:numPr>
          <w:ilvl w:val="1"/>
          <w:numId w:val="27"/>
        </w:numPr>
        <w:rPr>
          <w:rFonts w:ascii="Arial" w:cs="Arial" w:eastAsia="Arial" w:hAnsi="Arial"/>
          <w:sz w:val="19"/>
          <w:szCs w:val="19"/>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9"/>
          <w:szCs w:val="19"/>
          <w:color w:val="auto"/>
        </w:rPr>
      </w:pPr>
    </w:p>
    <w:p>
      <w:pPr>
        <w:ind w:left="1500" w:hanging="743"/>
        <w:spacing w:after="0" w:line="237" w:lineRule="auto"/>
        <w:tabs>
          <w:tab w:leader="none" w:pos="1500" w:val="left"/>
        </w:tabs>
        <w:numPr>
          <w:ilvl w:val="1"/>
          <w:numId w:val="27"/>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300" w:val="left"/>
          <w:tab w:leader="none" w:pos="788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14605</wp:posOffset>
            </wp:positionV>
            <wp:extent cx="3514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Scott Hutton</w:t>
      </w:r>
    </w:p>
    <w:p>
      <w:pPr>
        <w:spacing w:after="0" w:line="2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Robin Harper Cowie, certify that:</w:t>
      </w:r>
    </w:p>
    <w:p>
      <w:pPr>
        <w:spacing w:after="0" w:line="225" w:lineRule="exact"/>
        <w:rPr>
          <w:sz w:val="20"/>
          <w:szCs w:val="20"/>
          <w:color w:val="auto"/>
        </w:rPr>
      </w:pPr>
    </w:p>
    <w:p>
      <w:pPr>
        <w:ind w:left="760" w:hanging="752"/>
        <w:spacing w:after="0"/>
        <w:tabs>
          <w:tab w:leader="none" w:pos="760" w:val="left"/>
        </w:tabs>
        <w:numPr>
          <w:ilvl w:val="0"/>
          <w:numId w:val="28"/>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Biodesix, Inc.;</w:t>
      </w:r>
    </w:p>
    <w:p>
      <w:pPr>
        <w:spacing w:after="0" w:line="202" w:lineRule="exact"/>
        <w:rPr>
          <w:rFonts w:ascii="Arial" w:cs="Arial" w:eastAsia="Arial" w:hAnsi="Arial"/>
          <w:sz w:val="20"/>
          <w:szCs w:val="20"/>
          <w:color w:val="auto"/>
        </w:rPr>
      </w:pPr>
    </w:p>
    <w:p>
      <w:pPr>
        <w:jc w:val="both"/>
        <w:ind w:left="760" w:hanging="752"/>
        <w:spacing w:after="0" w:line="236" w:lineRule="auto"/>
        <w:tabs>
          <w:tab w:leader="none" w:pos="760" w:val="left"/>
        </w:tabs>
        <w:numPr>
          <w:ilvl w:val="0"/>
          <w:numId w:val="28"/>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20"/>
          <w:szCs w:val="20"/>
          <w:color w:val="auto"/>
        </w:rPr>
      </w:pPr>
    </w:p>
    <w:p>
      <w:pPr>
        <w:ind w:left="760" w:hanging="752"/>
        <w:spacing w:after="0" w:line="263" w:lineRule="auto"/>
        <w:tabs>
          <w:tab w:leader="none" w:pos="760" w:val="left"/>
        </w:tabs>
        <w:numPr>
          <w:ilvl w:val="0"/>
          <w:numId w:val="28"/>
        </w:numPr>
        <w:rPr>
          <w:rFonts w:ascii="Arial" w:cs="Arial" w:eastAsia="Arial" w:hAnsi="Arial"/>
          <w:sz w:val="19"/>
          <w:szCs w:val="19"/>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9"/>
          <w:szCs w:val="19"/>
          <w:color w:val="auto"/>
        </w:rPr>
      </w:pPr>
    </w:p>
    <w:p>
      <w:pPr>
        <w:jc w:val="both"/>
        <w:ind w:left="760" w:hanging="752"/>
        <w:spacing w:after="0" w:line="236" w:lineRule="auto"/>
        <w:tabs>
          <w:tab w:leader="none" w:pos="760" w:val="left"/>
        </w:tabs>
        <w:numPr>
          <w:ilvl w:val="0"/>
          <w:numId w:val="28"/>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20"/>
          <w:szCs w:val="20"/>
          <w:color w:val="auto"/>
        </w:rPr>
      </w:pPr>
    </w:p>
    <w:p>
      <w:pPr>
        <w:jc w:val="both"/>
        <w:ind w:left="1500" w:hanging="743"/>
        <w:spacing w:after="0" w:line="248" w:lineRule="auto"/>
        <w:tabs>
          <w:tab w:leader="none" w:pos="15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jc w:val="both"/>
        <w:ind w:left="1500" w:hanging="743"/>
        <w:spacing w:after="0" w:line="248" w:lineRule="auto"/>
        <w:tabs>
          <w:tab w:leader="none" w:pos="15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760" w:hanging="752"/>
        <w:spacing w:after="0" w:line="294"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1500" w:hanging="743"/>
        <w:spacing w:after="0" w:line="263" w:lineRule="auto"/>
        <w:tabs>
          <w:tab w:leader="none" w:pos="1500" w:val="left"/>
        </w:tabs>
        <w:numPr>
          <w:ilvl w:val="1"/>
          <w:numId w:val="28"/>
        </w:numPr>
        <w:rPr>
          <w:rFonts w:ascii="Arial" w:cs="Arial" w:eastAsia="Arial" w:hAnsi="Arial"/>
          <w:sz w:val="19"/>
          <w:szCs w:val="19"/>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9"/>
          <w:szCs w:val="19"/>
          <w:color w:val="auto"/>
        </w:rPr>
      </w:pPr>
    </w:p>
    <w:p>
      <w:pPr>
        <w:ind w:left="1500" w:hanging="743"/>
        <w:spacing w:after="0" w:line="237" w:lineRule="auto"/>
        <w:tabs>
          <w:tab w:leader="none" w:pos="1500" w:val="left"/>
        </w:tabs>
        <w:numPr>
          <w:ilvl w:val="1"/>
          <w:numId w:val="28"/>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300" w:val="left"/>
          <w:tab w:leader="none" w:pos="76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14605</wp:posOffset>
            </wp:positionV>
            <wp:extent cx="3514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Robin Harper Cowie</w:t>
      </w:r>
    </w:p>
    <w:p>
      <w:pPr>
        <w:spacing w:after="0" w:line="23"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In connection with the Quarterly Report of Biodesix, Inc. (the “Company”) on Form 10-Q for the period ending June 30, 2022 as filed with the Securities and Exchange Commission on the date hereof (the “Report”), I certify, pursuant to 18 U.S.C. § 1350, as adopted pursuant to § 906 of the Sarbanes-Oxley Act of 2002, that, to my knowledge:</w:t>
      </w:r>
    </w:p>
    <w:p>
      <w:pPr>
        <w:spacing w:after="0" w:line="182" w:lineRule="exact"/>
        <w:rPr>
          <w:sz w:val="20"/>
          <w:szCs w:val="20"/>
          <w:color w:val="auto"/>
        </w:rPr>
      </w:pPr>
    </w:p>
    <w:p>
      <w:pPr>
        <w:ind w:left="1120" w:hanging="363"/>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80" w:right="20" w:hanging="223"/>
        <w:spacing w:after="0" w:line="261" w:lineRule="auto"/>
        <w:tabs>
          <w:tab w:leader="none" w:pos="11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4800" w:val="left"/>
          <w:tab w:leader="none" w:pos="79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6350</wp:posOffset>
            </wp:positionV>
            <wp:extent cx="3488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Scott Hutton</w:t>
      </w:r>
    </w:p>
    <w:p>
      <w:pPr>
        <w:jc w:val="cente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In connection with the Quarterly Report of Biodesix, Inc. (the “Company”) on Form 10-Q for the period ending June 30, 2022 as filed with the Securities and Exchange Commission on the date hereof (the “Report”), I certify, pursuant to 18 U.S.C. § 1350, as adopted pursuant to § 906 of the Sarbanes-Oxley Act of 2002, that, to my knowledge:</w:t>
      </w:r>
    </w:p>
    <w:p>
      <w:pPr>
        <w:spacing w:after="0" w:line="182" w:lineRule="exact"/>
        <w:rPr>
          <w:sz w:val="20"/>
          <w:szCs w:val="20"/>
          <w:color w:val="auto"/>
        </w:rPr>
      </w:pPr>
    </w:p>
    <w:p>
      <w:pPr>
        <w:ind w:left="1120" w:hanging="363"/>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980" w:right="20" w:hanging="223"/>
        <w:spacing w:after="0" w:line="261" w:lineRule="auto"/>
        <w:tabs>
          <w:tab w:leader="none" w:pos="11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4800" w:val="left"/>
          <w:tab w:leader="none" w:pos="76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6350</wp:posOffset>
            </wp:positionV>
            <wp:extent cx="3488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Robin Harper Cowie</w:t>
      </w:r>
    </w:p>
    <w:p>
      <w:pPr>
        <w:jc w:val="cente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bullet"/>
      <w:start w:val="1"/>
    </w:lvl>
  </w:abstractNum>
  <w:abstractNum w:abstractNumId="8">
    <w:nsid w:val="257130A3"/>
    <w:multiLevelType w:val="hybridMultilevel"/>
    <w:lvl w:ilvl="0">
      <w:lvlJc w:val="left"/>
      <w:lvlText w:val="2"/>
      <w:numFmt w:val="bullet"/>
      <w:start w:val="1"/>
    </w:lvl>
  </w:abstractNum>
  <w:abstractNum w:abstractNumId="9">
    <w:nsid w:val="62BBD95A"/>
    <w:multiLevelType w:val="hybridMultilevel"/>
    <w:lvl w:ilvl="0">
      <w:lvlJc w:val="left"/>
      <w:lvlText w:val="3"/>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Roman"/>
      <w:start w:val="3"/>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lvl w:ilvl="1">
      <w:lvlJc w:val="left"/>
      <w:lvlText w:val="o"/>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lvl w:ilvl="1">
      <w:lvlJc w:val="left"/>
      <w:lvlText w:val="%2"/>
      <w:numFmt w:val="decimal"/>
      <w:start w:val="104"/>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4"/>
    </w:lvl>
    <w:lvl w:ilvl="1">
      <w:lvlJc w:val="left"/>
      <w:lvlText w:val="%2."/>
      <w:numFmt w:val="lowerLetter"/>
      <w:start w:val="1"/>
    </w:lvl>
  </w:abstractNum>
  <w:abstractNum w:abstractNumId="24">
    <w:nsid w:val="71F32454"/>
    <w:multiLevelType w:val="hybridMultilevel"/>
    <w:lvl w:ilvl="0">
      <w:lvlJc w:val="left"/>
      <w:lvlText w:val="%1."/>
      <w:numFmt w:val="decimal"/>
      <w:start w:val="6"/>
    </w:lvl>
    <w:lvl w:ilvl="1">
      <w:lvlJc w:val="left"/>
      <w:lvlText w:val="%2."/>
      <w:numFmt w:val="lowerLetter"/>
      <w:start w:val="1"/>
    </w:lvl>
  </w:abstractNum>
  <w:abstractNum w:abstractNumId="25">
    <w:nsid w:val="2CA88611"/>
    <w:multiLevelType w:val="hybridMultilevel"/>
    <w:lvl w:ilvl="0">
      <w:lvlJc w:val="left"/>
      <w:lvlText w:val="%1."/>
      <w:numFmt w:val="lowerLetter"/>
      <w:start w:val="4"/>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2022-08-04T05:25:46Z</dcterms:created>
  <dcterms:modified xsi:type="dcterms:W3CDTF">2022-08-04T05:25:46Z</dcterms:modified>
</cp:coreProperties>
</file>