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33" w:lineRule="auto"/>
        <w:tabs>
          <w:tab w:leader="none" w:pos="47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31"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0" w:lineRule="exact"/>
        <w:rPr>
          <w:sz w:val="24"/>
          <w:szCs w:val="24"/>
          <w:color w:val="auto"/>
        </w:rPr>
      </w:pPr>
    </w:p>
    <w:p>
      <w:pPr>
        <w:ind w:left="41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88265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p>
      <w:pPr>
        <w:spacing w:after="0" w:line="186"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5"/>
          <w:szCs w:val="25"/>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2"/>
          <w:szCs w:val="32"/>
          <w:b w:val="1"/>
          <w:bCs w:val="1"/>
          <w:color w:val="auto"/>
        </w:rPr>
        <w:t>.</w:t>
      </w: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20-3986492</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39" w:lineRule="exact"/>
        <w:rPr>
          <w:sz w:val="24"/>
          <w:szCs w:val="24"/>
          <w:color w:val="auto"/>
        </w:rPr>
      </w:pPr>
    </w:p>
    <w:p>
      <w:pPr>
        <w:sectPr>
          <w:pgSz w:w="11900" w:h="16838" w:orient="portrait"/>
          <w:cols w:equalWidth="0" w:num="2">
            <w:col w:w="7700" w:space="240"/>
            <w:col w:w="3300"/>
          </w:cols>
          <w:pgMar w:left="320" w:top="1333"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4"/>
                <w:szCs w:val="14"/>
                <w:b w:val="1"/>
                <w:bCs w:val="1"/>
                <w:color w:val="auto"/>
              </w:rPr>
              <w:t>919 West Dillon Rd</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80027</w:t>
            </w:r>
          </w:p>
        </w:tc>
        <w:tc>
          <w:tcPr>
            <w:tcW w:w="0" w:type="dxa"/>
            <w:vAlign w:val="bottom"/>
          </w:tcPr>
          <w:p>
            <w:pPr>
              <w:spacing w:after="0"/>
              <w:rPr>
                <w:sz w:val="1"/>
                <w:szCs w:val="1"/>
                <w:color w:val="auto"/>
              </w:rPr>
            </w:pPr>
          </w:p>
        </w:tc>
      </w:tr>
      <w:tr>
        <w:trPr>
          <w:trHeight w:val="180"/>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4"/>
                <w:szCs w:val="14"/>
                <w:b w:val="1"/>
                <w:bCs w:val="1"/>
                <w:color w:val="auto"/>
              </w:rPr>
              <w:t>Louisville, Colorado</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88265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60" w:type="dxa"/>
            <w:vAlign w:val="bottom"/>
            <w:vMerge w:val="restart"/>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00" w:type="dxa"/>
            <w:vAlign w:val="bottom"/>
            <w:vMerge w:val="continue"/>
          </w:tcPr>
          <w:p>
            <w:pPr>
              <w:spacing w:after="0"/>
              <w:rPr>
                <w:sz w:val="16"/>
                <w:szCs w:val="16"/>
                <w:color w:val="auto"/>
              </w:rPr>
            </w:pP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BDSX</w:t>
            </w:r>
          </w:p>
        </w:tc>
        <w:tc>
          <w:tcPr>
            <w:tcW w:w="3560" w:type="dxa"/>
            <w:vAlign w:val="bottom"/>
          </w:tcPr>
          <w:p>
            <w:pPr>
              <w:jc w:val="center"/>
              <w:ind w:left="799"/>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8"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spacing w:after="0" w:line="184" w:lineRule="exact"/>
        <w:tabs>
          <w:tab w:leader="none" w:pos="8100" w:val="left"/>
          <w:tab w:leader="none" w:pos="87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2" w:lineRule="exact"/>
        <w:rPr>
          <w:sz w:val="24"/>
          <w:szCs w:val="24"/>
          <w:color w:val="auto"/>
        </w:rPr>
      </w:pPr>
    </w:p>
    <w:p>
      <w:pPr>
        <w:ind w:right="2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July 31, 2024, the Registrant had 145,177,125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180" w:type="dxa"/>
            <w:vAlign w:val="bottom"/>
            <w:gridSpan w:val="14"/>
            <w:vMerge w:val="restart"/>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00" w:type="dxa"/>
            <w:vAlign w:val="bottom"/>
            <w:vMerge w:val="continue"/>
          </w:tcPr>
          <w:p>
            <w:pPr>
              <w:spacing w:after="0"/>
              <w:rPr>
                <w:sz w:val="14"/>
                <w:szCs w:val="14"/>
                <w:color w:val="auto"/>
              </w:rPr>
            </w:pPr>
          </w:p>
        </w:tc>
        <w:tc>
          <w:tcPr>
            <w:tcW w:w="2260" w:type="dxa"/>
            <w:vAlign w:val="bottom"/>
            <w:tcBorders>
              <w:bottom w:val="single" w:sz="8" w:color="0000FF"/>
            </w:tcBorders>
            <w:gridSpan w:val="8"/>
            <w:vMerge w:val="continue"/>
          </w:tcPr>
          <w:p>
            <w:pPr>
              <w:spacing w:after="0"/>
              <w:rPr>
                <w:sz w:val="14"/>
                <w:szCs w:val="14"/>
                <w:color w:val="auto"/>
              </w:rPr>
            </w:pPr>
          </w:p>
        </w:tc>
        <w:tc>
          <w:tcPr>
            <w:tcW w:w="7180" w:type="dxa"/>
            <w:vAlign w:val="bottom"/>
            <w:gridSpan w:val="14"/>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18"/>
                <w:szCs w:val="18"/>
                <w:color w:val="auto"/>
              </w:rPr>
            </w:pPr>
          </w:p>
        </w:tc>
        <w:tc>
          <w:tcPr>
            <w:tcW w:w="70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1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Balance Sheets as of June 30, 2024 and December 31, 2023</w:t>
            </w:r>
          </w:p>
        </w:tc>
        <w:tc>
          <w:tcPr>
            <w:tcW w:w="20" w:type="dxa"/>
            <w:vAlign w:val="bottom"/>
            <w:tcBorders>
              <w:bottom w:val="single" w:sz="8" w:color="0000EE"/>
            </w:tcBorders>
          </w:tcPr>
          <w:p>
            <w:pPr>
              <w:spacing w:after="0"/>
              <w:rPr>
                <w:sz w:val="18"/>
                <w:szCs w:val="18"/>
                <w:color w:val="auto"/>
              </w:rPr>
            </w:pPr>
          </w:p>
        </w:tc>
        <w:tc>
          <w:tcPr>
            <w:tcW w:w="42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Statements of Operations for the Three and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Statements Stockholders' Equity (Deficit) for the Three and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3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for the Six Months Ended June 30, 2024 and 2023</w:t>
            </w:r>
          </w:p>
        </w:tc>
        <w:tc>
          <w:tcPr>
            <w:tcW w:w="1880" w:type="dxa"/>
            <w:vAlign w:val="bottom"/>
            <w:tcBorders>
              <w:top w:val="single" w:sz="8" w:color="0000FF"/>
            </w:tcBorders>
            <w:gridSpan w:val="3"/>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20" w:type="dxa"/>
            <w:vAlign w:val="bottom"/>
            <w:tcBorders>
              <w:bottom w:val="single" w:sz="8" w:color="0000EE"/>
            </w:tcBorders>
          </w:tcPr>
          <w:p>
            <w:pPr>
              <w:spacing w:after="0"/>
              <w:rPr>
                <w:sz w:val="18"/>
                <w:szCs w:val="18"/>
                <w:color w:val="auto"/>
              </w:rPr>
            </w:pPr>
          </w:p>
        </w:tc>
        <w:tc>
          <w:tcPr>
            <w:tcW w:w="642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30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00" w:type="dxa"/>
            <w:vAlign w:val="bottom"/>
            <w:vMerge w:val="continue"/>
          </w:tcPr>
          <w:p>
            <w:pPr>
              <w:spacing w:after="0"/>
              <w:rPr>
                <w:sz w:val="24"/>
                <w:szCs w:val="24"/>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18"/>
                <w:szCs w:val="18"/>
                <w:color w:val="auto"/>
              </w:rPr>
            </w:pPr>
          </w:p>
        </w:tc>
        <w:tc>
          <w:tcPr>
            <w:tcW w:w="75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51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8"/>
                <w:szCs w:val="18"/>
                <w:color w:val="auto"/>
              </w:rPr>
            </w:pPr>
          </w:p>
        </w:tc>
        <w:tc>
          <w:tcPr>
            <w:tcW w:w="76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100" w:type="dxa"/>
            <w:vAlign w:val="bottom"/>
            <w:tcBorders>
              <w:bottom w:val="single" w:sz="8" w:color="0000EE"/>
            </w:tcBorders>
          </w:tcPr>
          <w:p>
            <w:pPr>
              <w:spacing w:after="0"/>
              <w:rPr>
                <w:sz w:val="18"/>
                <w:szCs w:val="18"/>
                <w:color w:val="auto"/>
              </w:rPr>
            </w:pPr>
          </w:p>
        </w:tc>
        <w:tc>
          <w:tcPr>
            <w:tcW w:w="874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9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2023, which was filed on March 1, 2024.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2023, regarding, among other things:</w:t>
      </w:r>
    </w:p>
    <w:p>
      <w:pPr>
        <w:spacing w:after="0" w:line="7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54"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COVID-19 pandemic on our business;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1"/>
                <w:szCs w:val="21"/>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340" w:type="dxa"/>
            <w:vAlign w:val="bottom"/>
            <w:shd w:val="clear" w:color="auto" w:fill="CFF0FC"/>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1"/>
                <w:szCs w:val="21"/>
                <w:color w:val="auto"/>
              </w:rPr>
            </w:pPr>
          </w:p>
        </w:tc>
        <w:tc>
          <w:tcPr>
            <w:tcW w:w="15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42,219</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$238 and $65</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21"/>
                <w:szCs w:val="21"/>
                <w:color w:val="auto"/>
              </w:rPr>
            </w:pPr>
          </w:p>
        </w:tc>
      </w:tr>
      <w:tr>
        <w:trPr>
          <w:trHeight w:val="23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3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r>
      <w:tr>
        <w:trPr>
          <w:trHeight w:val="240"/>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40" w:type="dxa"/>
            <w:vAlign w:val="bottom"/>
            <w:shd w:val="clear" w:color="auto" w:fill="CCEEFF"/>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00" w:type="dxa"/>
            <w:vAlign w:val="bottom"/>
            <w:shd w:val="clear" w:color="auto" w:fill="CCEEFF"/>
          </w:tcPr>
          <w:p>
            <w:pPr>
              <w:spacing w:after="0"/>
              <w:rPr>
                <w:sz w:val="20"/>
                <w:szCs w:val="20"/>
                <w:color w:val="auto"/>
              </w:rPr>
            </w:pPr>
          </w:p>
        </w:tc>
      </w:tr>
      <w:tr>
        <w:trPr>
          <w:trHeight w:val="243"/>
        </w:trPr>
        <w:tc>
          <w:tcPr>
            <w:tcW w:w="73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4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35,807</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734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Pr>
          <w:p>
            <w:pPr>
              <w:spacing w:after="0"/>
              <w:rPr>
                <w:sz w:val="20"/>
                <w:szCs w:val="20"/>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79,581</w:t>
            </w:r>
          </w:p>
        </w:tc>
        <w:tc>
          <w:tcPr>
            <w:tcW w:w="140" w:type="dxa"/>
            <w:vAlign w:val="bottom"/>
            <w:shd w:val="clear" w:color="auto" w:fill="CCEEFF"/>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94,516</w:t>
            </w:r>
          </w:p>
        </w:tc>
        <w:tc>
          <w:tcPr>
            <w:tcW w:w="100" w:type="dxa"/>
            <w:vAlign w:val="bottom"/>
            <w:shd w:val="clear" w:color="auto" w:fill="CCEEFF"/>
          </w:tcPr>
          <w:p>
            <w:pPr>
              <w:spacing w:after="0"/>
              <w:rPr>
                <w:sz w:val="20"/>
                <w:szCs w:val="20"/>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 (2024 and 2023) issued and outstanding</w:t>
            </w:r>
          </w:p>
        </w:tc>
        <w:tc>
          <w:tcPr>
            <w:tcW w:w="220" w:type="dxa"/>
            <w:vAlign w:val="bottom"/>
          </w:tcPr>
          <w:p>
            <w:pPr>
              <w:spacing w:after="0"/>
              <w:rPr>
                <w:sz w:val="20"/>
                <w:szCs w:val="20"/>
                <w:color w:val="auto"/>
              </w:rPr>
            </w:pP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145,149,630 (2024) and 96,235,883 (2023) shares issued and outstanding</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r>
      <w:tr>
        <w:trPr>
          <w:trHeight w:val="243"/>
        </w:trPr>
        <w:tc>
          <w:tcPr>
            <w:tcW w:w="734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100" w:type="dxa"/>
            <w:vAlign w:val="bottom"/>
          </w:tcPr>
          <w:p>
            <w:pPr>
              <w:spacing w:after="0"/>
              <w:rPr>
                <w:sz w:val="21"/>
                <w:szCs w:val="21"/>
                <w:color w:val="auto"/>
              </w:rPr>
            </w:pPr>
          </w:p>
        </w:tc>
      </w:tr>
      <w:tr>
        <w:trPr>
          <w:trHeight w:val="23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(443,988 )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(419,566 )</w:t>
            </w:r>
          </w:p>
        </w:tc>
      </w:tr>
      <w:tr>
        <w:trPr>
          <w:trHeight w:val="236"/>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Borders>
              <w:top w:val="single" w:sz="8" w:color="CCEEFF"/>
            </w:tcBorders>
          </w:tcPr>
          <w:p>
            <w:pPr>
              <w:spacing w:after="0"/>
              <w:rPr>
                <w:sz w:val="20"/>
                <w:szCs w:val="20"/>
                <w:color w:val="auto"/>
              </w:rPr>
            </w:pPr>
          </w:p>
        </w:tc>
      </w:tr>
      <w:tr>
        <w:trPr>
          <w:trHeight w:val="280"/>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-5633720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-5633720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-4383405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-4383405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-1874520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-350520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4100" w:type="dxa"/>
            <w:vAlign w:val="bottom"/>
          </w:tcPr>
          <w:p>
            <w:pPr>
              <w:spacing w:after="0"/>
              <w:rPr>
                <w:sz w:val="24"/>
                <w:szCs w:val="24"/>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100" w:type="dxa"/>
            <w:vAlign w:val="bottom"/>
          </w:tcPr>
          <w:p>
            <w:pPr>
              <w:spacing w:after="0"/>
              <w:rPr>
                <w:sz w:val="20"/>
                <w:szCs w:val="20"/>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4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24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4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shd w:val="clear" w:color="auto" w:fill="CCEE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00" w:type="dxa"/>
            <w:vAlign w:val="bottom"/>
            <w:shd w:val="clear" w:color="auto" w:fill="CFF0FC"/>
          </w:tcPr>
          <w:p>
            <w:pPr>
              <w:spacing w:after="0"/>
              <w:rPr>
                <w:sz w:val="20"/>
                <w:szCs w:val="20"/>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10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35,640</w:t>
            </w:r>
          </w:p>
        </w:tc>
        <w:tc>
          <w:tcPr>
            <w:tcW w:w="100" w:type="dxa"/>
            <w:vAlign w:val="bottom"/>
            <w:shd w:val="clear" w:color="auto" w:fill="CFF0FC"/>
          </w:tcPr>
          <w:p>
            <w:pPr>
              <w:spacing w:after="0"/>
              <w:rPr>
                <w:sz w:val="21"/>
                <w:szCs w:val="21"/>
                <w:color w:val="auto"/>
              </w:rPr>
            </w:pPr>
          </w:p>
        </w:tc>
      </w:tr>
      <w:tr>
        <w:trPr>
          <w:trHeight w:val="243"/>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r>
      <w:tr>
        <w:trPr>
          <w:trHeight w:val="232"/>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(8,237 )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(27,300 )</w:t>
            </w: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(4,465 )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(4,821 )</w:t>
            </w: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4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c>
          <w:tcPr>
            <w:tcW w:w="14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r>
      <w:tr>
        <w:trPr>
          <w:trHeight w:val="243"/>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c>
          <w:tcPr>
            <w:tcW w:w="14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(2,571 )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(4,758 )</w:t>
            </w:r>
          </w:p>
        </w:tc>
      </w:tr>
      <w:tr>
        <w:trPr>
          <w:trHeight w:val="247"/>
        </w:trPr>
        <w:tc>
          <w:tcPr>
            <w:tcW w:w="4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(10,808 )</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(13,356 )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(24,422 )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(32,058 )</w:t>
            </w:r>
          </w:p>
        </w:tc>
      </w:tr>
      <w:tr>
        <w:trPr>
          <w:trHeight w:val="20"/>
        </w:trPr>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(0.17 )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(0.22 )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-1740535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-1740535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-1740535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-1740535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-807085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-807085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-807085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-807085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-490855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-490855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-490855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84"/>
        </w:trPr>
        <w:tc>
          <w:tcPr>
            <w:tcW w:w="4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1"/>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6"/>
                <w:szCs w:val="16"/>
                <w:color w:val="auto"/>
              </w:rPr>
            </w:pPr>
          </w:p>
        </w:tc>
        <w:tc>
          <w:tcPr>
            <w:tcW w:w="11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Accumulat</w:t>
            </w:r>
          </w:p>
        </w:tc>
        <w:tc>
          <w:tcPr>
            <w:tcW w:w="134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70"/>
        </w:trPr>
        <w:tc>
          <w:tcPr>
            <w:tcW w:w="4740" w:type="dxa"/>
            <w:vAlign w:val="bottom"/>
          </w:tcPr>
          <w:p>
            <w:pPr>
              <w:spacing w:after="0"/>
              <w:rPr>
                <w:sz w:val="23"/>
                <w:szCs w:val="23"/>
                <w:color w:val="auto"/>
              </w:rPr>
            </w:pPr>
          </w:p>
        </w:tc>
        <w:tc>
          <w:tcPr>
            <w:tcW w:w="240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center"/>
              <w:ind w:right="51"/>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ed</w:t>
            </w:r>
          </w:p>
        </w:tc>
        <w:tc>
          <w:tcPr>
            <w:tcW w:w="200" w:type="dxa"/>
            <w:vAlign w:val="bottom"/>
          </w:tcPr>
          <w:p>
            <w:pPr>
              <w:spacing w:after="0"/>
              <w:rPr>
                <w:sz w:val="23"/>
                <w:szCs w:val="2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4"/>
        </w:trPr>
        <w:tc>
          <w:tcPr>
            <w:tcW w:w="4740" w:type="dxa"/>
            <w:vAlign w:val="bottom"/>
          </w:tcPr>
          <w:p>
            <w:pPr>
              <w:spacing w:after="0"/>
              <w:rPr>
                <w:sz w:val="20"/>
                <w:szCs w:val="20"/>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r>
      <w:tr>
        <w:trPr>
          <w:trHeight w:val="238"/>
        </w:trPr>
        <w:tc>
          <w:tcPr>
            <w:tcW w:w="4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(419,566 )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20"/>
                <w:szCs w:val="20"/>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r>
      <w:tr>
        <w:trPr>
          <w:trHeight w:val="24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1"/>
                <w:szCs w:val="2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(13,614 )</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(13,614 )</w:t>
            </w:r>
          </w:p>
        </w:tc>
      </w:tr>
      <w:tr>
        <w:trPr>
          <w:trHeight w:val="20"/>
        </w:trPr>
        <w:tc>
          <w:tcPr>
            <w:tcW w:w="47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47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(433,180 )</w:t>
            </w: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(5,502 )</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liabilities to common stock,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33,150</w:t>
            </w:r>
          </w:p>
        </w:tc>
        <w:tc>
          <w:tcPr>
            <w:tcW w:w="100" w:type="dxa"/>
            <w:vAlign w:val="bottom"/>
            <w:shd w:val="clear" w:color="auto" w:fill="CCEEFF"/>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tcPr>
          <w:p>
            <w:pPr>
              <w:spacing w:after="0"/>
              <w:rPr>
                <w:sz w:val="20"/>
                <w:szCs w:val="20"/>
                <w:color w:val="auto"/>
              </w:rPr>
            </w:pPr>
          </w:p>
        </w:tc>
      </w:tr>
      <w:tr>
        <w:trPr>
          <w:trHeight w:val="24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(10,808 )</w:t>
            </w:r>
          </w:p>
        </w:tc>
        <w:tc>
          <w:tcPr>
            <w:tcW w:w="2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(10,808 )</w:t>
            </w:r>
          </w:p>
        </w:tc>
      </w:tr>
      <w:tr>
        <w:trPr>
          <w:trHeight w:val="20"/>
        </w:trPr>
        <w:tc>
          <w:tcPr>
            <w:tcW w:w="4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145,150</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(443,988 )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shd w:val="clear" w:color="auto" w:fill="CCEEFF"/>
          </w:tcPr>
          <w:p>
            <w:pPr>
              <w:spacing w:after="0"/>
              <w:rPr>
                <w:sz w:val="22"/>
                <w:szCs w:val="22"/>
                <w:color w:val="auto"/>
              </w:rPr>
            </w:pP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-1275080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-1275080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-1275080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-1275080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84"/>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gridSpan w:val="3"/>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1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70"/>
        </w:trPr>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40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160" w:type="dxa"/>
            <w:vAlign w:val="bottom"/>
          </w:tcPr>
          <w:p>
            <w:pPr>
              <w:spacing w:after="0"/>
              <w:rPr>
                <w:sz w:val="23"/>
                <w:szCs w:val="2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20" w:type="dxa"/>
            <w:vAlign w:val="bottom"/>
          </w:tcPr>
          <w:p>
            <w:pPr>
              <w:spacing w:after="0"/>
              <w:rPr>
                <w:sz w:val="23"/>
                <w:szCs w:val="2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 (Deficit)</w:t>
            </w:r>
          </w:p>
        </w:tc>
      </w:t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r>
      <w:tr>
        <w:trPr>
          <w:trHeight w:val="238"/>
        </w:trPr>
        <w:tc>
          <w:tcPr>
            <w:tcW w:w="52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387,948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(367,420 )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shd w:val="clear" w:color="auto" w:fill="CCEEFF"/>
          </w:tcPr>
          <w:p>
            <w:pPr>
              <w:spacing w:after="0"/>
              <w:rPr>
                <w:sz w:val="20"/>
                <w:szCs w:val="20"/>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4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1"/>
                <w:szCs w:val="2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(18,702 )</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(18,702 )</w:t>
            </w:r>
          </w:p>
        </w:tc>
      </w:tr>
      <w:tr>
        <w:trPr>
          <w:trHeight w:val="20"/>
        </w:trPr>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2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March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(386,122 )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0"/>
                <w:szCs w:val="20"/>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1"/>
                <w:szCs w:val="21"/>
                <w:color w:val="auto"/>
              </w:rPr>
            </w:pPr>
          </w:p>
        </w:tc>
      </w:tr>
      <w:tr>
        <w:trPr>
          <w:trHeight w:val="243"/>
        </w:trPr>
        <w:tc>
          <w:tcPr>
            <w:tcW w:w="51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1"/>
                <w:szCs w:val="2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(13,356 )</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(13,356 )</w:t>
            </w:r>
          </w:p>
        </w:tc>
      </w:tr>
      <w:tr>
        <w:trPr>
          <w:trHeight w:val="20"/>
        </w:trPr>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392,406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(399,478 )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(6,993 )</w:t>
            </w: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-1120775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-1120775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-1120775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-1120775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-187960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8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p>
        </w:tc>
        <w:tc>
          <w:tcPr>
            <w:tcW w:w="2700" w:type="dxa"/>
            <w:vAlign w:val="bottom"/>
            <w:tcBorders>
              <w:bottom w:val="single" w:sz="8" w:color="auto"/>
            </w:tcBorders>
            <w:gridSpan w:val="4"/>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(24,422 )</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(32,058 )</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(Accretion) amortization of lease right-of-use assets</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(191 )</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 amortization of debt issuance costs and other</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excess and obsolescence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(2,669 )</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(679 )</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(17,167 )</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improvement allowances received</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0"/>
        </w:trPr>
        <w:tc>
          <w:tcPr>
            <w:tcW w:w="78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(33,882 )</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(6,749 )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(2,160 )</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(14,093 )</w:t>
            </w: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9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(2,270 )</w:t>
            </w: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(14,178 )</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(4,262 )</w:t>
            </w: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term loan and notes payable</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(37 )</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financing costs</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(3,615 )</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(150 )</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78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(used in) financing activities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(4,751 )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(25,678 )</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beginning of period</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86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end of period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42,306</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-3150235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-667385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8"/>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included in accounts payable and other accrued liabilities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financing costs included in accounts payable and other accrued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Perceptive Warrants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1"/>
                <w:szCs w:val="21"/>
                <w:color w:val="auto"/>
              </w:rPr>
            </w:pPr>
          </w:p>
        </w:tc>
      </w:tr>
      <w:tr>
        <w:trPr>
          <w:trHeight w:val="23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lease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r>
      <w:tr>
        <w:trPr>
          <w:trHeight w:val="247"/>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lease liabilities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21"/>
                <w:szCs w:val="21"/>
                <w:color w:val="auto"/>
              </w:rPr>
            </w:pPr>
          </w:p>
        </w:tc>
      </w:tr>
      <w:tr>
        <w:trPr>
          <w:trHeight w:val="238"/>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20"/>
                <w:szCs w:val="20"/>
                <w:color w:val="auto"/>
              </w:rPr>
            </w:pPr>
          </w:p>
        </w:tc>
      </w:tr>
      <w:tr>
        <w:trPr>
          <w:trHeight w:val="247"/>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&amp; equipment included in accounts payable and accrued liabilities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Biodesix, Inc. (the “Company,” “Biodesix,” “we,” “us” and “our”), formerly Elston Technologies, Inc., was incorporated in Delaware in 2005. The Company’s headquarters are in Colorado and the Company performs its blood-based diagnostic tests in its laboratory facilities which are located in Louisville, Colorado and De Soto, Kansas. The Company conducts all of its operations within a single legal entity. Biodesix is a leading diagnostic solutions company with a focus in lung disease. The Company develops diagnostic tests using a multi-omic approach to harness the strengths of different technologies that are best suited to address important clinical questions. We derive our revenue from two sources: (i) providing diagnostic testing services associated with blood-based lung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 Biodesix offers five Medicare-covered tests for patients with lung diseases which includes our blood-based Nodify Lung® Nodule Risk Assessment, consisting of the Nodify XL2® and the Nodify CDT® tests. These tests evaluate the risk of malignancy in pulmonary nodules, enabling physicians to better triage patients to the most appropriate course of action. Additionally, our blood-based IQLung™ test portfolio for lung cancer patients integrates the GeneStrat® ddPCR test, the GeneStrat NGS® test and the VeriStrat® test to support treatment decisions across all stages of lung cancer.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five blood-based lung cancer tests across the lung cancer continuum of care:</w:t>
      </w: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5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Nodify CDT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XL2 </w:t>
      </w:r>
      <w:r>
        <w:rPr>
          <w:rFonts w:ascii="Times New Roman" w:cs="Times New Roman" w:eastAsia="Times New Roman" w:hAnsi="Times New Roman"/>
          <w:sz w:val="18"/>
          <w:szCs w:val="18"/>
          <w:color w:val="auto"/>
        </w:rPr>
        <w:t>tests, marketed as Nodify Lung Nodule Risk Assessment, assess a suspicious lung nodule's risk of lung cancer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17" w:lineRule="exact"/>
        <w:rPr>
          <w:sz w:val="20"/>
          <w:szCs w:val="20"/>
          <w:color w:val="auto"/>
        </w:rPr>
      </w:pPr>
    </w:p>
    <w:p>
      <w:pPr>
        <w:jc w:val="both"/>
        <w:ind w:left="900" w:hanging="383"/>
        <w:spacing w:after="0" w:line="25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GeneStrat ddPCR, GeneStrat NGS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 </w:t>
      </w:r>
      <w:r>
        <w:rPr>
          <w:rFonts w:ascii="Times New Roman" w:cs="Times New Roman" w:eastAsia="Times New Roman" w:hAnsi="Times New Roman"/>
          <w:sz w:val="18"/>
          <w:szCs w:val="18"/>
          <w:color w:val="auto"/>
        </w:rPr>
        <w:t>tests, marketed as part of our IQLung testing strategy, are used following diagnosis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detect the presence of mutations in the tumor and the state of the patient’s immune system to help guide treatment decisions. The GeneStrat ddPCR tumor genomic profiling test and the VeriStrat immune profiling test have established an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developing the Company's products, the Company has built or gained access to regulatory approvals, product development know-how, biorepositories, proprietary and patented technologies, specimen collection kit manufacturing capabilities,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Form 10-K for the year ended December 31, 2023.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2023 was derived from the audited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2024, we maintained cash and cash equivalents of $42.2 million and we have $40.0 million in outstanding aggregate principal amount on our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Going Concern: Disclosure of Uncertainties about an Entity’s Ability to Continue as a Going Concern</w:t>
      </w:r>
      <w:r>
        <w:rPr>
          <w:rFonts w:ascii="Times New Roman" w:cs="Times New Roman" w:eastAsia="Times New Roman" w:hAnsi="Times New Roman"/>
          <w:sz w:val="18"/>
          <w:szCs w:val="18"/>
          <w:color w:val="auto"/>
        </w:rPr>
        <w:t>, the Company is required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our ability to execute our current operating plan, current financial condition, sources of liquidity and debt obligations for at least one year from the date of issuance of this Form 10-Q in considering whether it has the ability to meet its obligations.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Our ability to meet our obligations as they come due may be impacted by our ability to remain compliant with financial covenants in our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or to obtain waivers or amendments that impact the related covenants. As of June 30, 2024, the Company was in compliance with all restrictive and financial covenants associated with its borrowings.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During 2023, the Company entered into various amendments to the Perceptive Term Loan Facility to reduce the relevant Minimum Net Revenue thresholds. On February 29, 2024, the Company entered into a third amendment to the Perceptive Term Loan Facility, whereby, subject to the terms and conditions of the third amendment, the Minimum Net Revenue Covenant was amended to reduce the relevant threshold through the fiscal quarter ended December 31, 2025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During the three months ended June 30, 2024, the Company completed an underwritten offering of common stock and a concurrent private placement (the April 2024 Offering). Collectively, the Company raised net proceeds of approximately $51.3 million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We have taken steps to improve our liquidity through raising debt and equity capital and have also undertaken several proactive measures including, among other things, the reduction of planned capital expenditures and certain operating expenses as previously disclosed.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within one year after the date the financial statements are issued. Our unaudited financial statements have been prepared assuming we will continue as a going concern and do not include any adjustments that might be necessary should we be unable to continue as a going concern.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Uncertainties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spacing w:after="0" w:line="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For a discussion of credit risk concentration of accounts receivable as of June 30, 2024 and December 31, 2023, see Note 9 </w:t>
      </w:r>
      <w:r>
        <w:rPr>
          <w:rFonts w:ascii="Times New Roman" w:cs="Times New Roman" w:eastAsia="Times New Roman" w:hAnsi="Times New Roman"/>
          <w:sz w:val="18"/>
          <w:szCs w:val="18"/>
          <w:i w:val="1"/>
          <w:iCs w:val="1"/>
          <w:color w:val="auto"/>
        </w:rPr>
        <w:t>– Revenue and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Credit Concentration</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As of June 30, 2024 and December 31, 2023, the Company had $0.1 million restricted cash, respectively, which was included in ‘Other current assets’ in the accompanying condensed balance sheets.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primarily of material supplies, which are consumed in the performance of testing services and charged to ‘Direct costs and expenses’. Inventory is stated at cost and reported within ‘Other current assets’ in the condensed balance sheets and was $1.2 million and $1.4 million for the periods ended June 30, 2024 and December 31, 2023, respectively. The Company recorded a reserve for excess inventory of $0.1 million for the periods ended June 30, 2024 and December 31, 2023, respectively. During the six months ended June 30, 2024 and 2023, the Company recorded an insignificant amount and $0.1 million, respectively, to the condensed statement of operations for excess and obsolete inventory.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June 30, 2024 and December 31, 2023, the $5.0 million refundable deposit is reported within 'Other long-term assets' in the condensed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hierarchy and the related inputs are as follows:</w:t>
      </w:r>
    </w:p>
    <w:p>
      <w:pPr>
        <w:spacing w:after="0" w:line="126" w:lineRule="exact"/>
        <w:rPr>
          <w:sz w:val="20"/>
          <w:szCs w:val="20"/>
          <w:color w:val="auto"/>
        </w:rPr>
      </w:pPr>
    </w:p>
    <w:p>
      <w:pPr>
        <w:ind w:left="80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Level</w:t>
      </w:r>
      <w:r>
        <w:rPr>
          <w:sz w:val="20"/>
          <w:szCs w:val="20"/>
          <w:color w:val="auto"/>
        </w:rPr>
        <w:tab/>
      </w:r>
      <w:r>
        <w:rPr>
          <w:rFonts w:ascii="Times New Roman" w:cs="Times New Roman" w:eastAsia="Times New Roman" w:hAnsi="Times New Roman"/>
          <w:sz w:val="18"/>
          <w:szCs w:val="18"/>
          <w:b w:val="1"/>
          <w:bCs w:val="1"/>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2280" w:hanging="1306"/>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280" w:hanging="1306"/>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similar assets and liabilities;</w:t>
      </w:r>
    </w:p>
    <w:p>
      <w:pPr>
        <w:spacing w:after="0" w:line="35" w:lineRule="exact"/>
        <w:rPr>
          <w:rFonts w:ascii="Times New Roman" w:cs="Times New Roman" w:eastAsia="Times New Roman" w:hAnsi="Times New Roman"/>
          <w:sz w:val="18"/>
          <w:szCs w:val="18"/>
          <w:color w:val="auto"/>
        </w:rPr>
      </w:pPr>
    </w:p>
    <w:p>
      <w:pPr>
        <w:ind w:left="2280" w:right="17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280" w:hanging="1306"/>
        <w:spacing w:after="0"/>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 Fair Value</w:t>
      </w:r>
      <w:r>
        <w:rPr>
          <w:rFonts w:ascii="Times New Roman" w:cs="Times New Roman" w:eastAsia="Times New Roman" w:hAnsi="Times New Roman"/>
          <w:sz w:val="18"/>
          <w:szCs w:val="18"/>
          <w:color w:val="auto"/>
        </w:rPr>
        <w:t xml:space="preserve"> for further discussion related to estimated fair value measurements.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being evaluated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(ASC Topic 280). This ASU requires all public entities to provide additional disclosures about the entity's reportable segments and more detailed information about a reportable segment's expenses. This guidance became effective for the Company beginning January 1, 2024. The Company is currently evaluating this guidance and assessing the overall impact on its financial statements.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improves the transparency of income tax disclosures by requiring consistent categories and greater disaggregation of information in the rate reconciliation and income taxes paid by jurisdiction. This guidance will become effective for the Company beginning January 1, 2025, with early adoption permitted. The Company is currently evaluating this guidance and assessing the overall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borrowing instruments are recorded at their carrying values in the condensed balance sheets, which may differ from their respective fair values. The fair value of borrowings as of June 30, 2024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difference between the carrying value and fair value of outstanding borrowings as of June 30, 2024 is due to an increase in the fair value of debt as a result of improved credit markets. The carrying value of outstanding borrowings approximates the fair value as of December 31, 2023. The table below presents the carrying and fair values of outstanding borrowings, which are classified as Level 2, as of the dates indicated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c>
          <w:tcPr>
            <w:tcW w:w="94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which were accounted for as liabilities and remeasured through our condensed statements of operations.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table below presents the reported fair values of contingent consideration and warrant liabilities, which are classified as Level 3 in the fair value hierarchy, as of the dates indicated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shd w:val="clear" w:color="auto" w:fill="CCEEFF"/>
          </w:tcPr>
          <w:p>
            <w:pPr>
              <w:spacing w:after="0"/>
              <w:rPr>
                <w:sz w:val="20"/>
                <w:szCs w:val="20"/>
                <w:color w:val="auto"/>
              </w:rPr>
            </w:pPr>
          </w:p>
        </w:tc>
      </w:tr>
      <w:tr>
        <w:trPr>
          <w:trHeight w:val="23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764" w:right="339" w:bottom="1440" w:gutter="0" w:footer="0" w:header="0"/>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contingent consideration for the dates indicated (in thousands):</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3517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5178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extinguishment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200" w:type="dxa"/>
            <w:vAlign w:val="bottom"/>
          </w:tcPr>
          <w:p>
            <w:pPr>
              <w:spacing w:after="0"/>
              <w:rPr>
                <w:sz w:val="21"/>
                <w:szCs w:val="21"/>
                <w:color w:val="auto"/>
              </w:rPr>
            </w:pPr>
          </w:p>
        </w:tc>
        <w:tc>
          <w:tcPr>
            <w:tcW w:w="2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4"/>
        </w:trPr>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60" w:type="dxa"/>
            <w:vAlign w:val="bottom"/>
          </w:tcPr>
          <w:p>
            <w:pPr>
              <w:spacing w:after="0"/>
              <w:rPr>
                <w:sz w:val="20"/>
                <w:szCs w:val="20"/>
                <w:color w:val="auto"/>
              </w:rPr>
            </w:pPr>
          </w:p>
        </w:tc>
      </w:tr>
      <w:tr>
        <w:trPr>
          <w:trHeight w:val="238"/>
        </w:trPr>
        <w:tc>
          <w:tcPr>
            <w:tcW w:w="20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Pr>
          <w:p>
            <w:pPr>
              <w:spacing w:after="0"/>
              <w:rPr>
                <w:sz w:val="21"/>
                <w:szCs w:val="21"/>
                <w:color w:val="auto"/>
              </w:rPr>
            </w:pPr>
          </w:p>
        </w:tc>
      </w:tr>
      <w:tr>
        <w:trPr>
          <w:trHeight w:val="250"/>
        </w:trPr>
        <w:tc>
          <w:tcPr>
            <w:tcW w:w="20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(17,167 )</w:t>
            </w:r>
          </w:p>
        </w:tc>
      </w:tr>
      <w:tr>
        <w:trPr>
          <w:trHeight w:val="238"/>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60" w:type="dxa"/>
            <w:vAlign w:val="bottom"/>
          </w:tcPr>
          <w:p>
            <w:pPr>
              <w:spacing w:after="0"/>
              <w:rPr>
                <w:sz w:val="20"/>
                <w:szCs w:val="20"/>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620"/>
          </w:cols>
          <w:pgMar w:left="320" w:top="764" w:right="3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contingent consideration and warrant liabilities for the dates indicated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tc>
        <w:tc>
          <w:tcPr>
            <w:tcW w:w="160" w:type="dxa"/>
            <w:vAlign w:val="bottom"/>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24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00" w:type="dxa"/>
            <w:vAlign w:val="bottom"/>
          </w:tcPr>
          <w:p>
            <w:pPr>
              <w:spacing w:after="0"/>
              <w:rPr>
                <w:sz w:val="20"/>
                <w:szCs w:val="20"/>
                <w:color w:val="auto"/>
              </w:rPr>
            </w:pPr>
          </w:p>
        </w:tc>
      </w:tr>
      <w:tr>
        <w:trPr>
          <w:trHeight w:val="238"/>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balances - January 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r>
      <w:tr>
        <w:trPr>
          <w:trHeight w:val="23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 net</w:t>
            </w:r>
          </w:p>
        </w:tc>
        <w:tc>
          <w:tcPr>
            <w:tcW w:w="54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4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tcPr>
          <w:p>
            <w:pPr>
              <w:spacing w:after="0"/>
              <w:rPr>
                <w:sz w:val="21"/>
                <w:szCs w:val="21"/>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(4,262 )</w:t>
            </w:r>
          </w:p>
        </w:tc>
        <w:tc>
          <w:tcPr>
            <w:tcW w:w="9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balances - June 30, 2023</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Facility. On April 22, 2024, the Company obtained consent from Perceptive and prepaid the July 1, 2024 Milestone Payment of $8.4 million to Indi. The Company has one payment remaining of $6.1 million which is due October 1, 2024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Subsequent changes to the contingent consideration following the achievement of the gross margin target are recorded as ‘Interest expense’ in the condensed statements of operations resulting from the passage of time and fixed payment schedule. Significant increases or decreases in the discount rate could result in a significantly higher or lower fair value measurement.</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$0.2 million and $0.9 million, respectively, compared to $1.0 million and $2.1 million during the three and six months ended June 30, 2023, respectively, in interest expense due to the passage of time and fixed payment schedule. During the three months ended June 30, 2024, the Company recorded $0.2 million to 'Loss on extinguishment of liabilities due to the prepayment of the July 1, 2024 Milestone Payment.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cash paid to settle the contingent consideration liability recognized at fair value as of the acquisition date (including measurement-period adjustments) should be reflected as a cash outflow for financing activities while the remaining portion of the amount paid should be reflected as a cash outflow from operating activities in the statement of cash flows. All 2024 Milestone Payments are classified as cash outflows from operating activities in the Company's statements of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issued Perceptive a warrant to purchase up to 5,000,000 shares of the Company's common stock (the Perceptive Warrant), including Initial Warrants (as defined in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below) and Tranche B and C Warrants. The Initial Warrants are equity classified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Tranche B draw, the Company remeasured the Tranche B Warrants through the Tranche B Borrowing Date and recorded the change in fair value through the statement of operations and, subsequently, reclassified the fair value to additional paid-in capital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fair value of the Tranche C Warrants is determined using a Black-Scholes model and subject to certain unobservable inputs. The significant unobservable inputs used in the measurement of the fair value include the fair value of the Company's common stock, risk-free rate, the volatility of common stock, and the probability of the expected borrowing. Significant increases or decreases in the unobservable inputs could result in a significantly higher or lower fair value measurement. During the three and six months ended June 30, 2024, the Company recorded zero as a change in fair value through the condensed statement of operations due to changes in unobservable inputs. During the three and six months ended June 30, 2023, the Company recorded zero and a $0.1 million gain, respectively, as a change in fair value through the condensed statement of operations due to changes in unobservable inputs. This is a result of changes in the probability of our ability to draw on Tranche B and C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Supplementary Balance Sheet Information</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Pr>
          <w:p>
            <w:pPr>
              <w:spacing w:after="0"/>
              <w:rPr>
                <w:sz w:val="20"/>
                <w:szCs w:val="20"/>
                <w:color w:val="auto"/>
              </w:rPr>
            </w:pPr>
          </w:p>
        </w:tc>
      </w:tr>
      <w:tr>
        <w:trPr>
          <w:trHeight w:val="23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shd w:val="clear" w:color="auto" w:fill="CCEEFF"/>
          </w:tcPr>
          <w:p>
            <w:pPr>
              <w:spacing w:after="0"/>
              <w:rPr>
                <w:sz w:val="20"/>
                <w:szCs w:val="20"/>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100" w:type="dxa"/>
            <w:vAlign w:val="bottom"/>
          </w:tcPr>
          <w:p>
            <w:pPr>
              <w:spacing w:after="0"/>
              <w:rPr>
                <w:sz w:val="20"/>
                <w:szCs w:val="20"/>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21"/>
                <w:szCs w:val="21"/>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4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33,479</w:t>
            </w:r>
          </w:p>
        </w:tc>
        <w:tc>
          <w:tcPr>
            <w:tcW w:w="100" w:type="dxa"/>
            <w:vAlign w:val="bottom"/>
            <w:tcBorders>
              <w:top w:val="single" w:sz="8" w:color="CCEEFF"/>
            </w:tcBorders>
          </w:tcPr>
          <w:p>
            <w:pPr>
              <w:spacing w:after="0"/>
              <w:rPr>
                <w:sz w:val="20"/>
                <w:szCs w:val="20"/>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(7,258 )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(5,612 )</w:t>
            </w:r>
          </w:p>
        </w:tc>
      </w:tr>
      <w:tr>
        <w:trPr>
          <w:trHeight w:val="236"/>
        </w:trPr>
        <w:tc>
          <w:tcPr>
            <w:tcW w:w="744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Borders>
              <w:top w:val="single" w:sz="8" w:color="CCEEFF"/>
            </w:tcBorders>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-504825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2024 was $0.9 million and $1.8 million, respectively, compared to $0.3 million and $0.6 million for the three and six months ended June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excluding goodwill,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w:t>
            </w:r>
          </w:p>
        </w:tc>
        <w:tc>
          <w:tcPr>
            <w:tcW w:w="120" w:type="dxa"/>
            <w:vAlign w:val="bottom"/>
          </w:tcPr>
          <w:p>
            <w:pPr>
              <w:spacing w:after="0"/>
              <w:rPr>
                <w:sz w:val="21"/>
                <w:szCs w:val="21"/>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(811 )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Purchased technology</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(11,267 )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(10,328 )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shd w:val="clear" w:color="auto" w:fill="CFF0FC"/>
          </w:tcPr>
          <w:p>
            <w:pPr>
              <w:spacing w:after="0"/>
              <w:rPr>
                <w:sz w:val="21"/>
                <w:szCs w:val="2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(12,078 )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-187960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$0.5 million and $1.0 million for both the three and six months ended June 30, 2024 and 2023, respectively.</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Future estimated amortization expense of intangible assets is (in thousands):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7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21"/>
                <w:szCs w:val="2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0"/>
                <w:szCs w:val="20"/>
                <w:color w:val="auto"/>
              </w:rPr>
            </w:pPr>
          </w:p>
        </w:tc>
      </w:tr>
      <w:tr>
        <w:trPr>
          <w:trHeight w:val="25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21"/>
                <w:szCs w:val="2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r>
      <w:tr>
        <w:trPr>
          <w:trHeight w:val="25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r>
      <w:tr>
        <w:trPr>
          <w:trHeight w:val="27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4"/>
                <w:szCs w:val="24"/>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CEEFF"/>
          </w:tcPr>
          <w:p>
            <w:pPr>
              <w:spacing w:after="0"/>
              <w:rPr>
                <w:sz w:val="24"/>
                <w:szCs w:val="24"/>
                <w:color w:val="auto"/>
              </w:rPr>
            </w:pPr>
          </w:p>
        </w:tc>
      </w:tr>
      <w:tr>
        <w:trPr>
          <w:trHeight w:val="4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44"/>
        </w:trPr>
        <w:tc>
          <w:tcPr>
            <w:tcW w:w="7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20"/>
                <w:szCs w:val="20"/>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2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long-term debt primarily consists of notes payable associated with our Perceptive Term Loan Facility which is described in further detail below. Long-term notes payable were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Pr>
          <w:p>
            <w:pPr>
              <w:spacing w:after="0"/>
              <w:rPr>
                <w:sz w:val="20"/>
                <w:szCs w:val="20"/>
                <w:color w:val="auto"/>
              </w:rPr>
            </w:pPr>
          </w:p>
        </w:tc>
      </w:tr>
      <w:tr>
        <w:trPr>
          <w:trHeight w:val="23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Perceptive Term Loan Facility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(4,209 )</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(4,802 )</w:t>
            </w:r>
          </w:p>
        </w:tc>
      </w:tr>
      <w:tr>
        <w:trPr>
          <w:trHeight w:val="236"/>
        </w:trPr>
        <w:tc>
          <w:tcPr>
            <w:tcW w:w="73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00" w:type="dxa"/>
            <w:vAlign w:val="bottom"/>
            <w:tcBorders>
              <w:top w:val="single" w:sz="8" w:color="CCEEFF"/>
            </w:tcBorders>
          </w:tcPr>
          <w:p>
            <w:pPr>
              <w:spacing w:after="0"/>
              <w:rPr>
                <w:sz w:val="20"/>
                <w:szCs w:val="20"/>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notes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-504825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Perceptive Term Loan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in an aggregate principal amount of up to $50.0 million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includes an additional Tranche B Loan, in an aggregate amount of up to $10.0 million, and an additional Tranche C Loan, in an aggregate amount of up to $10.0 million, which are accessible by the Company so long as the Company satisfies certain customary conditions precedent, including revenue milestones. On December 15, 2023, the Company exercised its ability to draw the Tranche B loan for $10.0 million. The Tranche C loan has a loan commitment date through September 30, 2024. The Perceptive Term Loan Facility has a maturity date of November 21, 2027 (the Maturity Date) and provides for an interest-only period during the term of the loan with principal due at the Maturity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greater of (a) forward-looking one-month term SOFR as posted by CME Group Inc. and (b) 3.0% per annum, plus an applicable margin of 9.0%. As of June 30, 2024, the stated interest rate was approximately 14.4%.</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Prepayment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Instruments and Warrants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10-day volume weighted average price (VWAP) of the Company’s common stock, on the business day immediately prior to the Closing Date of the Tranche A Loan. In connection with the Tranche B borrowing, additional warrants became exercisable into 1,000,000 shares of common stock with a per share exercise price equal to $1.0648, which is equal to the Initial Warrant exercise price and expire on December 15, 2033 (the Tranche B Warrants).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Initial and Tranche B Warrants, additional warrants will become exercisable into 1,000,000 shares of common stock concurrently with the borrowing date of the Tranche C Loan (the Tranche C Warrants). The per share exercise price for the Tranche C Warrants will be equal to the lower of (A) the Initial Warrant exercise price or (B) the 10-day VWAP ending on the business day immediately preceding the funding date of the Tranche C loan. Each warrant will be exercisable, in whole or in part, until the 10th anniversary of the date of issuance. If the Tranche C loan is not drawn by the loan commitment date, the associated Tranche C Warrants expire and will not become exercisable. The Company accounts for the Tranche C Warrants as liabilities as the Tranche C Warrants do not meet the criteria for equity treatment (see Note 4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Covenants, and Events of Default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meet certain minimum net revenue threshold amounts agreed to between the Company and Perceptive.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(the First Amendment Warrants) which are equity classified at a per share exercise price equal to $1.6254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the terms of the Second Amendment, the conditions precedent for drawing on the Tranche B Loan were amended to (i) reduce the trailing-twelve month revenue milestone and (ii) add the receipt of aggregate cash proceeds of at least $27.5 million from an equity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offering of the Company's common stock. During the three months ended December 31, 2023, the amended conditions precedent were met and on December 15, 2023, the Company exercised its ability to draw the Tranche B loan for $10.0 million.</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June 30, 2024,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Scheduled principal repayments (maturities) of long-term obligations were as follows (in thousands):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8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r>
      <w:tr>
        <w:trPr>
          <w:trHeight w:val="24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51"/>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r>
      <w:tr>
        <w:trPr>
          <w:trHeight w:val="238"/>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tcPr>
          <w:p>
            <w:pPr>
              <w:spacing w:after="0"/>
              <w:rPr>
                <w:sz w:val="20"/>
                <w:szCs w:val="20"/>
                <w:color w:val="auto"/>
              </w:rPr>
            </w:pPr>
          </w:p>
        </w:tc>
      </w:tr>
      <w:tr>
        <w:trPr>
          <w:trHeight w:val="276"/>
        </w:trPr>
        <w:tc>
          <w:tcPr>
            <w:tcW w:w="8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9,066 square feet that is set to expire in October 2026. Additionally, during the three months ended June 30, 2024, the Company amended the De Soto lease agreement to include an additional 1,772 square feet of office space. The Company also holds various copier and equipment leases under non-cancelable lease agreements that expire in the next one to three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Centennial Valley Properties I, LLC Lease Agreement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March 31, 2024 (the Abated Rent Period). Further, the Company's obligation to pay base rent with respect to a portion of the area of the Lease Premises equal to 19,980 square feet shall be abated (the Partial Abated Rent), commencing as of April 1, 2024 and ending on March 31, 2025 (the Partial Abated Rent Period). Pursuant to a work letter entered by the parties in connection with the Lease, the Landlord contributed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 million by March 2025. The Company utilized the total $20.8 million in tenant improvement allowances for capital expenditures for leasehold improvements throughout the year ended December 31, 2023.</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June 30, 2024.</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Operating lease expense for all operating leases was $0.6 million and $1.2 million for the three and six months ended June 30, 2024, respectively, compared to $1.1 million and $2.2 million for the three and six months ended June 30, 2023, respectively. As of June 30, 2024, the weighted-average remaining lease term and discount rate associated with our operating leases were 10.5 years and 11.4%, respectively.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8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21"/>
                <w:szCs w:val="21"/>
                <w:color w:val="auto"/>
              </w:rPr>
            </w:pP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20"/>
                <w:szCs w:val="20"/>
                <w:color w:val="auto"/>
              </w:rPr>
            </w:pPr>
          </w:p>
        </w:tc>
      </w:tr>
      <w:tr>
        <w:trPr>
          <w:trHeight w:val="25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shd w:val="clear" w:color="auto" w:fill="CCEEFF"/>
          </w:tcPr>
          <w:p>
            <w:pPr>
              <w:spacing w:after="0"/>
              <w:rPr>
                <w:sz w:val="21"/>
                <w:szCs w:val="21"/>
                <w:color w:val="auto"/>
              </w:rPr>
            </w:pP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20"/>
                <w:szCs w:val="20"/>
                <w:color w:val="auto"/>
              </w:rPr>
            </w:pPr>
          </w:p>
        </w:tc>
      </w:tr>
      <w:tr>
        <w:trPr>
          <w:trHeight w:val="25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CEEFF"/>
          </w:tcPr>
          <w:p>
            <w:pPr>
              <w:spacing w:after="0"/>
              <w:rPr>
                <w:sz w:val="21"/>
                <w:szCs w:val="2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100" w:type="dxa"/>
            <w:vAlign w:val="bottom"/>
          </w:tcPr>
          <w:p>
            <w:pPr>
              <w:spacing w:after="0"/>
              <w:rPr>
                <w:sz w:val="21"/>
                <w:szCs w:val="21"/>
                <w:color w:val="auto"/>
              </w:rPr>
            </w:pPr>
          </w:p>
        </w:tc>
      </w:tr>
      <w:tr>
        <w:trPr>
          <w:trHeight w:val="236"/>
        </w:trPr>
        <w:tc>
          <w:tcPr>
            <w:tcW w:w="8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100" w:type="dxa"/>
            <w:vAlign w:val="bottom"/>
            <w:shd w:val="clear" w:color="auto" w:fill="CCEEFF"/>
          </w:tcPr>
          <w:p>
            <w:pPr>
              <w:spacing w:after="0"/>
              <w:rPr>
                <w:sz w:val="20"/>
                <w:szCs w:val="20"/>
                <w:color w:val="auto"/>
              </w:rPr>
            </w:pPr>
          </w:p>
        </w:tc>
      </w:tr>
      <w:tr>
        <w:trPr>
          <w:trHeight w:val="256"/>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(20,020 )</w:t>
            </w:r>
          </w:p>
        </w:tc>
      </w:tr>
      <w:tr>
        <w:trPr>
          <w:trHeight w:val="272"/>
        </w:trPr>
        <w:tc>
          <w:tcPr>
            <w:tcW w:w="8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 Programs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maintains two facilities that enable equity financing on an ongoing basis at the Company’s sole discretion, our at-the-market (ATM) offering and our common stock purchase agreement with Lincoln Park Capital Fund, LLC (Lincoln Park).</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the Company entered into a sales agreement with a financial institution, pursuant to which the Company may issue and sell, from time to time, shares of its common stock having an aggregate offering price of up to $50.0 million (the ATM Shares), subject to terms and conditions. The Shares will be offered and sold by the Company pursuant to its previously filed and currently effective registration statement on Form S-3, and sales of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7, 2022 (the LPC Effective Date), the Company entered into a purchase agreement with Lincoln Park Capital Fund, LLC (the Purchase Agreement), pursuant to which Lincoln Park has committed to purchase up to $50.0 million of the Company's common stock (the LPC Facility).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LPC Effective Date. 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LPC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$0.6 million and, together with due diligence expenses and legal fees of $0.1 million, reflect deferred offering costs of $0.7 million, were included on the condensed balance sheet in 'Other long-term assets'. The deferred offering costs were charged against 'Additional paid-in capital' based upon proceeds from the sale of common stock under the Purchase Agreement. During the three and six months ended June 30, 2024, there were no deferred offering costs charged against 'Additional paid-in capital'. During the three and six months ended June 30, 2024, the Company expensed approximately $0.6 million and $0.7 million, respectively, of deferred offering costs to 'Other (expense) income, net' in the condensed statement of operations as a result of changes in the probability of our ability to fully utilize the LPC Facility prior to the termination date. During the three and six months ended June 30, 2023, there were no deferred offering costs charged against 'Additional paid-in capital'. As of June 30, 2024, zero deferred offering costs remain.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2024, the Company raised approximately $0.6 million ($0.6 million after deducting underwriting discounts and commissions and offering expenses payable), in gross proceeds from the sale of 313,928 common shares at a weighted average price per share of $1.99 under the ATM facility. As of June 30, 2024, the Company had remaining available capacity for share issuances of up to $46.9 million under the LPC facility, subject to the restrictions and limitations of the underlying facilities.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(defined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Following the successful completion of the Company’s April 2024 Offering, the Company is no longer subject to volume limitations under applicable SEC rules and regulations that limit their availability as sources of funding. Subsequent to June 30, 2024, the Company intends to file Supplement No. 2 to the ATM Prospectus Supplement dated December 22, 2021 to increase the aggregate offering price under the ATM facility to $50.0 million of shares.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Offering Summary</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of common stock and a concurrent private placement. Collectively, the Company raised net proceeds of approximately $51.3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(the Offering) of 17,391,832 shares of its common stock (the Common Stock). The Common Stock was issued and sold pursuant to an underwriting agreement (the Underwriting Agreement), dated April 5, 2024, by and between the Company and TD Securities (USA) LLC, William Blair &amp; Company, L.L.C., and Canaccord Genuity LLC as representatives of the underwriters (the Underwriters), at a price to the public of $1.15 per share. The Company received net proceeds of approximately $18.3 million from the Offering after deducting underwriting discounts and commissions and estimated offering expenses payable by the Company.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Underwriting Agreement also includes lock up restrictions that will be in effect during the period ending 90 days subsequent to April 5, 2024. The representations, warranties, and agreements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S-3 (File No. 333-261095) previously filed with the SEC on November 29, 2021 and a prospectus supplement, dated April 5, 2024 relating to the Offering.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5, 2024, the Company entered into securities purchase agreements (the Securities Purchase Agreements) with various investors, including certain members of management, certain of its directors and funds affiliated with those directors (the Investors) for the issuance and sale by the Company of an aggregate of 760,857 shares of Series A Non-Voting Convertible Preferred Stock, par value $0.001 per share (the Series A Preferred Stock) in an offering (the Concurrent Private Placement). The Preferred Stock was issued to the Investors pursuant to an exemption from the registration requirements of the Securities Act of 1933, as amended (the Securities Act) afforded by Section 4(a)(2) of the Securities Act. Pursuant to the terms of the Securities Purchase Agreements, the Company agreed to submit to its stockholders the approval of the (i) conversion of the Preferred Stock into shares of Common Stock in accordance with Nasdaq Stock Market Rules (the Conversion Proposal) and (ii) the issuance of Series A Preferred Stock to certain members of management, certain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its directors and funds affiliated with those directors (the Issuance Proposal) at its 2024 annual meeting of stockholders. The Securities Purchase Agreements include customary representations, warranties and covenants by the parties to the agreement.</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Securities Purchase Agreements, the Investors purchased the Preferred Stock at a purchase price of $46.00 per share for an aggregate purchase price of approximately $35.0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Private Placement Shares being received at the Company’s 2024 annual meeting of stockholders.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April 8, 2024, the Company filed a Certificate of Designations of Preferences, Rights and Limitations of the Series A Non-Voting Convertible Preferred Stock with the Secretary of State of the State of Delaware (the Certificate of Designations) in connection with the Concurrent Private Placement. The Certificate of Designations provided for the issuance of up to 760,857 shares of the Series A Preferred Stock.</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A Preferred Stock automatically converted into 40 shares of Common Stock, subject to certain limitations, including that a holder of Series A Preferred Stock was prohibited from converting shares of Series A Preferred Stock into shares of Common Stock if, as a result of such conversion, such holder, together with its affiliates, would beneficially own more than a specified percentage (established by the holder between 0% and 19.9%) of the total number of shares of Common Stock issued and outstanding immediately after giving effect to such conversion.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June 30, 2024.</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issued the Perceptive Warrant to purchase up to 5,000,000 shares of the Company's common stock, including the Initial Warrants.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June 30, 2024.</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10, 2023, as consideration for the First Amendment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agreed to issue to Perceptive a warrant to purchase up to 500,000 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June 30,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December 15, 2023 (the Tranche B Borrowing Date), the Company exercised its ability to draw the Tranche B loan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connection with the Tranche B draw, the Company remeasured the Tranche B Warrants through the Tranche B Borrowing Date and recorded the change in fair value through the statement of operations and, subsequently, reclassified the fair value to additional paid-in capital.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and Accounts Receivable Credit Concentration</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spacing w:after="0" w:line="7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Diagnostic test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7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 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4"/>
                <w:szCs w:val="24"/>
                <w:color w:val="auto"/>
              </w:rPr>
            </w:pPr>
          </w:p>
        </w:tc>
      </w:tr>
      <w:tr>
        <w:trPr>
          <w:trHeight w:val="240"/>
        </w:trPr>
        <w:tc>
          <w:tcPr>
            <w:tcW w:w="5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Biopharmaceutical Services and other</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r>
      <w:tr>
        <w:trPr>
          <w:trHeight w:val="276"/>
        </w:trPr>
        <w:tc>
          <w:tcPr>
            <w:tcW w:w="5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Deferred revenue consists of cash payments from customers received in advance of delivery. As test results are delivered, the Company recognizes the deferred revenue in ‘Revenues’ in the condensed statements of operations. Of the $0.3 million in ‘Deferred revenue’ recorded in the condensed balance sheet as of December 31, 2023, $0.3 million was recognized in revenues during the six months ended June 30, 2024 and $0.4 million was added to ‘Deferred revenue’ for up-front cash payments received for which the revenue recognition criteria have not been met. The ‘Deferred revenue’ of $0.4 million recorded in the condensed balance sheet as of June 30, 2024 is expected to be recognized in revenues over the next twelve months as test results are delivered and services are performed. As of June 30, 2024 and December 31, 2023, the Company had $0.3 million in non-current deferred revenue, respectively, recorded within ‘Other long-term liabilities’ in the condensed balance sheets which represent amounts to be recognized in excess of twelve months from the respective balance sheet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customers in excess of 10% of total revenue and their related revenue as a percentage of total revenue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Pr>
          <w:p>
            <w:pPr>
              <w:spacing w:after="0"/>
              <w:rPr>
                <w:sz w:val="21"/>
                <w:szCs w:val="21"/>
                <w:color w:val="auto"/>
              </w:rPr>
            </w:pPr>
          </w:p>
        </w:tc>
        <w:tc>
          <w:tcPr>
            <w:tcW w:w="28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0"/>
        </w:trPr>
        <w:tc>
          <w:tcPr>
            <w:tcW w:w="51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Healthcare</w:t>
            </w: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4"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In addition to the above table, we collect reimbursement on behalf of customers covered by Medicare, which accounted for 41% of the Company’s total revenue for both the three and six months ended June 30, 2024 compared to 48% and 47% for the three and six months ended June 30, 2023, respectively.</w:t>
      </w:r>
    </w:p>
    <w:p>
      <w:pPr>
        <w:spacing w:after="0" w:line="16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p>
      <w:pPr>
        <w:spacing w:after="0" w:line="64"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00" w:type="dxa"/>
            <w:vAlign w:val="bottom"/>
          </w:tcPr>
          <w:p>
            <w:pPr>
              <w:spacing w:after="0"/>
              <w:rPr>
                <w:sz w:val="21"/>
                <w:szCs w:val="21"/>
                <w:color w:val="auto"/>
              </w:rPr>
            </w:pPr>
          </w:p>
        </w:tc>
        <w:tc>
          <w:tcPr>
            <w:tcW w:w="14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1"/>
                <w:szCs w:val="21"/>
                <w:color w:val="auto"/>
              </w:rPr>
            </w:pP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Share-Based Compensation</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June 30, 2024, 792,858 shares of common stock remained available for future issuance under the 2020 Plan.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reported in the Company’s condensed statements of operations was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3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0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1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3,338</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unrecognized remaining share-based compensation expense for options and RSUs was approximately $7.5 million as of June 30, 2024 and is expected to be amortized to expense over the next 2.3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Stock option activity during the six months ended June 30, 2024, excluding the Bonus Option Program described below, was (in thousands, except weighted average exercise price and weighted average contractual life):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02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020" w:type="dxa"/>
            <w:vAlign w:val="bottom"/>
          </w:tcPr>
          <w:p>
            <w:pPr>
              <w:spacing w:after="0"/>
              <w:rPr>
                <w:sz w:val="21"/>
                <w:szCs w:val="21"/>
                <w:color w:val="auto"/>
              </w:rPr>
            </w:pPr>
          </w:p>
        </w:tc>
        <w:tc>
          <w:tcPr>
            <w:tcW w:w="1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4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January 1, 2024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2,041</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1"/>
                <w:szCs w:val="21"/>
                <w:color w:val="auto"/>
              </w:rPr>
            </w:pPr>
          </w:p>
        </w:tc>
      </w:tr>
      <w:tr>
        <w:trPr>
          <w:trHeight w:val="238"/>
        </w:trPr>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2,138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02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June 30, 2024</w:t>
            </w:r>
          </w:p>
        </w:tc>
        <w:tc>
          <w:tcPr>
            <w:tcW w:w="128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4,033</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3"/>
        </w:trPr>
        <w:tc>
          <w:tcPr>
            <w:tcW w:w="5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Exercisable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June 30,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-1103630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-1086485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-1103630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-1086485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-1103630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-1086485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during the six months ended June 30, 2024 was (in thousands, except weighted average grant date fair value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 Date Fair Value Per</w:t>
            </w:r>
          </w:p>
        </w:tc>
      </w:tr>
      <w:tr>
        <w:trPr>
          <w:trHeight w:val="245"/>
        </w:trPr>
        <w:tc>
          <w:tcPr>
            <w:tcW w:w="5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r>
      <w:tr>
        <w:trPr>
          <w:trHeight w:val="243"/>
        </w:trPr>
        <w:tc>
          <w:tcPr>
            <w:tcW w:w="788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January 1, 2024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r>
      <w:tr>
        <w:trPr>
          <w:trHeight w:val="238"/>
        </w:trPr>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47"/>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2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Released</w:t>
            </w:r>
          </w:p>
        </w:tc>
        <w:tc>
          <w:tcPr>
            <w:tcW w:w="20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(543 )</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r>
      <w:tr>
        <w:trPr>
          <w:trHeight w:val="276"/>
        </w:trPr>
        <w:tc>
          <w:tcPr>
            <w:tcW w:w="5860" w:type="dxa"/>
            <w:vAlign w:val="bottom"/>
            <w:tcBorders>
              <w:bottom w:val="single" w:sz="8" w:color="CCEEFF"/>
            </w:tcBorders>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June 30, 2024</w:t>
            </w:r>
          </w:p>
        </w:tc>
        <w:tc>
          <w:tcPr>
            <w:tcW w:w="2020" w:type="dxa"/>
            <w:vAlign w:val="bottom"/>
            <w:tcBorders>
              <w:top w:val="single" w:sz="8" w:color="auto"/>
              <w:bottom w:val="single" w:sz="8" w:color="auto"/>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Bonus-to-Options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Bonus-to-Options Program (the Bonus Option Program) which allows participants who so elect to convert a portion of their annual cash bonus into fully vested, non-qualified stock options to purchase shares of common stock. Participation is limited to the Chief Executive Officer, direct reports to the Chief Executive Officer and Vice Presidents of the Company. As part of the Bonus Option Program, the Company recorded the following activity during the six months ended June 30, 2024 (in thousands, excepted weighted average exercise price and weighted average contractual life):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402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January 1, 2024</w:t>
            </w:r>
          </w:p>
        </w:tc>
        <w:tc>
          <w:tcPr>
            <w:tcW w:w="128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FF0FC"/>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90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June 30, 2024</w:t>
            </w:r>
          </w:p>
        </w:tc>
        <w:tc>
          <w:tcPr>
            <w:tcW w:w="1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1,364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Exercisable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June 30, 2024</w:t>
            </w:r>
          </w:p>
        </w:tc>
        <w:tc>
          <w:tcPr>
            <w:tcW w:w="140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-205105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-205105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-205105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recorded $0.2 million and $0.4 million for the three and six months ended June 30, 2024, respectively, compared to an insignificant amount and $0.2 million for the three and six months ended June 30, 2023, respectively, related to the estimate of the Bonus Option Program. Options granted, if any, pertaining to the performance of the Bonus Option Program are typically approved and granted in first quarter of the year following completion of the fiscal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ESPP provides for successive six-month offering periods beginning on September 1st and March 1st of each year. During the six months ended June 30, 2024, 216,506 shares were issued under the ESPP leaving 430,612 shares reserved for future issuance.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per Common Share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for the three and six months ended June 30, 2024 and 2023 were (in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1"/>
                <w:szCs w:val="21"/>
                <w:color w:val="auto"/>
              </w:rPr>
            </w:pPr>
          </w:p>
        </w:tc>
        <w:tc>
          <w:tcPr>
            <w:tcW w:w="26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(10,808 )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(13,356 )</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(24,422 )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(32,058 )</w:t>
            </w:r>
          </w:p>
        </w:tc>
        <w:tc>
          <w:tcPr>
            <w:tcW w:w="0" w:type="dxa"/>
            <w:vAlign w:val="bottom"/>
          </w:tcPr>
          <w:p>
            <w:pPr>
              <w:spacing w:after="0"/>
              <w:rPr>
                <w:sz w:val="1"/>
                <w:szCs w:val="1"/>
                <w:color w:val="auto"/>
              </w:rPr>
            </w:pPr>
          </w:p>
        </w:tc>
      </w:tr>
      <w:tr>
        <w:trPr>
          <w:trHeight w:val="247"/>
        </w:trPr>
        <w:tc>
          <w:tcPr>
            <w:tcW w:w="5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used</w:t>
            </w:r>
          </w:p>
        </w:tc>
        <w:tc>
          <w:tcPr>
            <w:tcW w:w="1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78,506</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computing net loss per share, 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(0.17 )</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-187960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2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1"/>
                <w:szCs w:val="21"/>
                <w:color w:val="auto"/>
              </w:rPr>
            </w:pPr>
          </w:p>
        </w:tc>
      </w:tr>
      <w:tr>
        <w:trPr>
          <w:trHeight w:val="240"/>
        </w:trPr>
        <w:tc>
          <w:tcPr>
            <w:tcW w:w="534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40" w:type="dxa"/>
            <w:vAlign w:val="bottom"/>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20" w:type="dxa"/>
            <w:vAlign w:val="bottom"/>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20"/>
                <w:szCs w:val="20"/>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r>
      <w:tr>
        <w:trPr>
          <w:trHeight w:val="25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21"/>
                <w:szCs w:val="21"/>
                <w:color w:val="auto"/>
              </w:rPr>
            </w:pP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0"/>
                <w:szCs w:val="20"/>
                <w:color w:val="auto"/>
              </w:rPr>
            </w:pPr>
          </w:p>
        </w:tc>
      </w:tr>
      <w:tr>
        <w:trPr>
          <w:trHeight w:val="276"/>
        </w:trPr>
        <w:tc>
          <w:tcPr>
            <w:tcW w:w="5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provision for income taxes has been recorded. There was no cash paid for income taxes during the three and six months ended June 30, 2024 and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June 30, 2024. Following the AVEO Effective Date, the Company is entitled to a 10% royalty of net sales of ficlatuzumab and 25% of license income generated from the licensing of ficlatuzumab from AVEO. There were no royalties received or expenses related to this agreement for the three and six months ended June 30, 2024 and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The Bio-Rad License was set to expire in August 2024. In May 2024, the Company amended the agreement to extend the Supply Agreement to August 2026. Either party may terminate for the other’s uncured material breach or</w:t>
      </w:r>
    </w:p>
    <w:p>
      <w:pPr>
        <w:sectPr>
          <w:pgSz w:w="11900" w:h="16838" w:orient="portrait"/>
          <w:cols w:equalWidth="0" w:num="1">
            <w:col w:w="11240"/>
          </w:cols>
          <w:pgMar w:left="320" w:top="764"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bankruptcy events. Bio-Rad may terminate the Bio-Rad License if the Company does not purchase licensed products under the Supply Agreement for a consecutive twelve-month period or for any material breach by us of the Supply Agreement.</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for both the three and six months ended June 30, 2024 and 2023, respectively.</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31, 2019, we completed an acquisition of Freenome's United States operations (formerly "Oncimmune USA" or "Oncimmune") including its 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$0.4 million and $0.6 million for the three and six months ended June 30, 2024, respectively, compared to $0.2 million and $0.4 million for the three and six months ended June 30,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Assessments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Biodesix, Inc. is referred to throughout this Quarterly Report on Form 10-Q for the period ended June 30, 2024 (Form 10-Q) as “we”, “us”, “our” or the “Company”.</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year ended December 31, 2023 (Form 10-K) and the Condensed Financial Statements as of June 30, 2024 and for the three and six months ended June 30, 2024 and 2023,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2023, which was filed on March 1, 2024.</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MD&amp;A discussion is provided to supplement the Condensed Financial Statements as of June 30, 2024 and 2023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Data for the three and six months ended June 30, 2024 and 2023 has been derived from our unaudited condensed financial statements included in Part I, Item 1 of this Quarterly Report on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diagnostic solutions company with a focus in lung disease. By combining a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commercialized five diagnostic tests for our lung diagnostic business, each of which have Medicare coverage, which are currently available for use by physicians. Our Nodify CDT and Nodify XL2 tests, marketed as Nodify Lung Nodule Risk Assessment, assess the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Lung Nodule Risk Assessment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have an established average turnaround time of two business days. The GeneStrat NGS test is our blood-based NGS test and has an established average turnaround time of three business days.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7" w:name="page28"/>
    <w:bookmarkEnd w:id="27"/>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five diagnostic tests currently on the market, we offer over 30 assays for research use as part of our laboratory services which have been used by over 65 biopharmaceutical companies and academic partners. All of our diagnostic and services testing is performed at one of our two accredited, high-complexity clinical laboratories in Louisville, Colorado and De Soto, Kansas.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and clinical development and laboratory operations expertise along with our commercial infrastructure which includes sales, marketing, reimbursement, and regulatory affairs.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United States, we market our tests to clinical customers through our direct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900" w:hanging="383"/>
        <w:spacing w:after="0" w:line="25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78"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6" w:lineRule="exact"/>
        <w:rPr>
          <w:rFonts w:ascii="Times New Roman" w:cs="Times New Roman" w:eastAsia="Times New Roman" w:hAnsi="Times New Roman"/>
          <w:sz w:val="18"/>
          <w:szCs w:val="18"/>
          <w:color w:val="auto"/>
        </w:rPr>
      </w:pPr>
    </w:p>
    <w:p>
      <w:pPr>
        <w:jc w:val="both"/>
        <w:ind w:left="9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67" w:lineRule="exact"/>
        <w:rPr>
          <w:rFonts w:ascii="Times New Roman" w:cs="Times New Roman" w:eastAsia="Times New Roman" w:hAnsi="Times New Roman"/>
          <w:sz w:val="18"/>
          <w:szCs w:val="18"/>
          <w:color w:val="auto"/>
        </w:rPr>
      </w:pPr>
    </w:p>
    <w:p>
      <w:pPr>
        <w:jc w:val="both"/>
        <w:ind w:lef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spacing w:after="0" w:line="69" w:lineRule="exact"/>
        <w:rPr>
          <w:rFonts w:ascii="Times New Roman" w:cs="Times New Roman" w:eastAsia="Times New Roman" w:hAnsi="Times New Roman"/>
          <w:sz w:val="18"/>
          <w:szCs w:val="18"/>
          <w:color w:val="auto"/>
        </w:rPr>
      </w:pPr>
    </w:p>
    <w:p>
      <w:pPr>
        <w:jc w:val="both"/>
        <w:ind w:left="900" w:hanging="383"/>
        <w:spacing w:after="0" w:line="25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enrollment of 5,000 patients with non-small cell lung cancer. The ALTITUDE randomized control study, launched during the fourth quarter 2020, seeks to further demonstrate the efficacy of the Nodify CDT and XL2 tests. A secondary focus of our studies is understanding the economic impact of our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8" w:name="page29"/>
    <w:bookmarkEnd w:id="28"/>
    <w:p>
      <w:pPr>
        <w:ind w:left="900"/>
        <w:spacing w:after="0"/>
        <w:rPr>
          <w:sz w:val="20"/>
          <w:szCs w:val="20"/>
          <w:color w:val="auto"/>
        </w:rPr>
      </w:pPr>
      <w:r>
        <w:rPr>
          <w:rFonts w:ascii="Times New Roman" w:cs="Times New Roman" w:eastAsia="Times New Roman" w:hAnsi="Times New Roman"/>
          <w:sz w:val="18"/>
          <w:szCs w:val="18"/>
          <w:color w:val="auto"/>
        </w:rPr>
        <w:t>tests in assisting with decisions related to patient management and the potential impact of our tests in reducing overall healthcare costs.</w:t>
      </w:r>
    </w:p>
    <w:p>
      <w:pPr>
        <w:spacing w:after="0" w:line="117"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8"/>
          <w:szCs w:val="18"/>
          <w:color w:val="auto"/>
        </w:rPr>
        <w:t>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 The ORACLE study officially closed on May 28, 2024.</w:t>
      </w:r>
    </w:p>
    <w:p>
      <w:pPr>
        <w:spacing w:after="0" w:line="78" w:lineRule="exact"/>
        <w:rPr>
          <w:sz w:val="20"/>
          <w:szCs w:val="20"/>
          <w:color w:val="auto"/>
        </w:rPr>
      </w:pPr>
    </w:p>
    <w:p>
      <w:pPr>
        <w:jc w:val="both"/>
        <w:ind w:left="900"/>
        <w:spacing w:after="0" w:line="253" w:lineRule="auto"/>
        <w:rPr>
          <w:sz w:val="20"/>
          <w:szCs w:val="20"/>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 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7" w:lineRule="exact"/>
        <w:rPr>
          <w:sz w:val="20"/>
          <w:szCs w:val="20"/>
          <w:color w:val="auto"/>
        </w:rPr>
      </w:pPr>
    </w:p>
    <w:p>
      <w:pPr>
        <w:jc w:val="both"/>
        <w:ind w:left="900" w:hanging="383"/>
        <w:spacing w:after="0" w:line="25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attract new biopharmaceutical customers and maintain and expand relationships with existing customers</w:t>
      </w:r>
      <w:r>
        <w:rPr>
          <w:rFonts w:ascii="Times New Roman" w:cs="Times New Roman" w:eastAsia="Times New Roman" w:hAnsi="Times New Roman"/>
          <w:sz w:val="18"/>
          <w:szCs w:val="18"/>
          <w:color w:val="auto"/>
        </w:rPr>
        <w:t>. 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8" w:lineRule="exact"/>
        <w:rPr>
          <w:rFonts w:ascii="Times New Roman" w:cs="Times New Roman" w:eastAsia="Times New Roman" w:hAnsi="Times New Roman"/>
          <w:sz w:val="18"/>
          <w:szCs w:val="18"/>
          <w:color w:val="auto"/>
        </w:rPr>
      </w:pPr>
    </w:p>
    <w:p>
      <w:pPr>
        <w:jc w:val="both"/>
        <w:ind w:left="900" w:hanging="383"/>
        <w:spacing w:after="0" w:line="259"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Motivating and expanding our field sales force and customer support team</w:t>
      </w:r>
      <w:r>
        <w:rPr>
          <w:rFonts w:ascii="Times New Roman" w:cs="Times New Roman" w:eastAsia="Times New Roman" w:hAnsi="Times New Roman"/>
          <w:sz w:val="18"/>
          <w:szCs w:val="18"/>
          <w:color w:val="auto"/>
        </w:rPr>
        <w:t>. 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-788670</wp:posOffset>
            </wp:positionV>
            <wp:extent cx="285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2023 for more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and Operational Highlights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were significant developments affecting our business, capital structure and liquidity during the three months ended June 30, 2024 as compared to the same period in 2023 unless otherwise noted:</w:t>
      </w:r>
    </w:p>
    <w:p>
      <w:pPr>
        <w:spacing w:after="0" w:line="55" w:lineRule="exact"/>
        <w:rPr>
          <w:sz w:val="20"/>
          <w:szCs w:val="20"/>
          <w:color w:val="auto"/>
        </w:rPr>
      </w:pPr>
    </w:p>
    <w:p>
      <w:pPr>
        <w:ind w:left="860" w:right="20" w:hanging="508"/>
        <w:spacing w:after="0" w:line="281"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$17.9 million, an increase of 51% over the second quarter 2023. This results in now eight consecutive quarters of over 40% revenue growth and is driven by strong year-over-year growth in both lines of business:</w:t>
      </w:r>
    </w:p>
    <w:p>
      <w:pPr>
        <w:spacing w:after="0" w:line="53" w:lineRule="exact"/>
        <w:rPr>
          <w:sz w:val="20"/>
          <w:szCs w:val="20"/>
          <w:color w:val="auto"/>
        </w:rPr>
      </w:pPr>
    </w:p>
    <w:p>
      <w:pPr>
        <w:ind w:left="1540" w:right="20" w:hanging="514"/>
        <w:spacing w:after="0" w:line="283"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revenue of $16.5 million reflected a year-over-year increase of 44% driven primarily by the continued adoption of Nodify Lung® nodule risk assessment tests;</w:t>
      </w:r>
    </w:p>
    <w:p>
      <w:pPr>
        <w:spacing w:after="0" w:line="51" w:lineRule="exact"/>
        <w:rPr>
          <w:rFonts w:ascii="Times New Roman" w:cs="Times New Roman" w:eastAsia="Times New Roman" w:hAnsi="Times New Roman"/>
          <w:sz w:val="18"/>
          <w:szCs w:val="18"/>
          <w:color w:val="auto"/>
        </w:rPr>
      </w:pPr>
    </w:p>
    <w:p>
      <w:pPr>
        <w:ind w:left="1540" w:right="20" w:hanging="514"/>
        <w:spacing w:after="0" w:line="283"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Biopharmaceutical Services of $1.4 million increased 228% year-over-year, a result of both delivering against the Company’s book of contracted business and securing new agreements;</w:t>
      </w:r>
    </w:p>
    <w:p>
      <w:pPr>
        <w:spacing w:after="0" w:line="53" w:lineRule="exact"/>
        <w:rPr>
          <w:rFonts w:ascii="Times New Roman" w:cs="Times New Roman" w:eastAsia="Times New Roman" w:hAnsi="Times New Roman"/>
          <w:sz w:val="18"/>
          <w:szCs w:val="18"/>
          <w:color w:val="auto"/>
        </w:rPr>
      </w:pPr>
    </w:p>
    <w:p>
      <w:pPr>
        <w:jc w:val="both"/>
        <w:ind w:left="860" w:hanging="508"/>
        <w:spacing w:after="0" w:line="265"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2024 gross profit of $14.0 million, or 78.4% gross margin compared to 72.7% gross margin in the comparable prior year period, primarily driven by growth in Lung Diagnostic testing and optimization of testing workflows that resulted in improvements in costs per test, and increased process efficiencies in the Company’s Biopharmaceutical Services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9" w:name="page30"/>
    <w:bookmarkEnd w:id="29"/>
    <w:p>
      <w:pPr>
        <w:jc w:val="both"/>
        <w:ind w:left="860" w:hanging="508"/>
        <w:spacing w:after="0" w:line="256"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$22.3 million, an increase of approximately $2.7 million, or 14% as compared to the second quarter 2023 (includes $2.7 million of non-cash stock compensation expense, depreciation and amortization, and asset impairment as compared to $1.9 million). This increase is primarily attributable to an increase in sales and marketing costs to support lung diagnostic sales growth to enhance product awareness and drive adoption, an increase in depreciation expense related to the leasehold improvements in the Company’s new Louisville, Colorado offices and laboratory, partially offset by a decrease in research and development and general and administrative costs;</w:t>
      </w:r>
    </w:p>
    <w:p>
      <w:pPr>
        <w:spacing w:after="0" w:line="77" w:lineRule="exact"/>
        <w:rPr>
          <w:rFonts w:ascii="Times New Roman" w:cs="Times New Roman" w:eastAsia="Times New Roman" w:hAnsi="Times New Roman"/>
          <w:sz w:val="18"/>
          <w:szCs w:val="18"/>
          <w:color w:val="auto"/>
        </w:rPr>
      </w:pPr>
    </w:p>
    <w:p>
      <w:pPr>
        <w:jc w:val="both"/>
        <w:ind w:left="860" w:hanging="508"/>
        <w:spacing w:after="0" w:line="265"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$10.8 million, an improvement of approximately $2.5 million, or 19% as compared to the same period of 2023. Net loss included $0.6 million of one-time cash and non-cash Other Expenses, net primarily related to our probability of not utilizing the Lincoln Park Capital Equity Line of Credit prior to expiration and costs associated with debt-extinguishment;</w:t>
      </w:r>
    </w:p>
    <w:p>
      <w:pPr>
        <w:spacing w:after="0" w:line="69"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$42.2 million as of June 30, 2024, an increase of $30.7 million from March 31, 2024;</w:t>
      </w:r>
    </w:p>
    <w:p>
      <w:pPr>
        <w:spacing w:after="0" w:line="115" w:lineRule="exact"/>
        <w:rPr>
          <w:sz w:val="20"/>
          <w:szCs w:val="20"/>
          <w:color w:val="auto"/>
        </w:rPr>
      </w:pPr>
    </w:p>
    <w:p>
      <w:pPr>
        <w:ind w:left="1540" w:hanging="514"/>
        <w:spacing w:after="0" w:line="283"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 as of June 30, 2024, includes $55.0 million in gross proceeds raised from an oversubscribed and upsized offering of common stock and concurrent private placement completed on April 5, 2024.</w:t>
      </w:r>
    </w:p>
    <w:p>
      <w:pPr>
        <w:spacing w:after="0" w:line="51" w:lineRule="exact"/>
        <w:rPr>
          <w:rFonts w:ascii="Times New Roman" w:cs="Times New Roman" w:eastAsia="Times New Roman" w:hAnsi="Times New Roman"/>
          <w:sz w:val="18"/>
          <w:szCs w:val="18"/>
          <w:color w:val="auto"/>
        </w:rPr>
      </w:pPr>
    </w:p>
    <w:p>
      <w:pPr>
        <w:jc w:val="both"/>
        <w:ind w:left="1540" w:hanging="514"/>
        <w:spacing w:after="0" w:line="261"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the second quarter scheduled milestone payment of $5.3 million and pre-payment of the third quarter $8.4 million scheduled milestone payment paid in April 2024 for the acquisition of Integrated Diagnostics in 2018. The pre-payment of the third quarter milestone resulted in cash savings from interest that was eliminated by the pre-payment. The Company has one final payment of $6.1 million remaining, which does not accrue interest and is expected to be paid at the end of the third quarter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Biopharmaceutical Services and other</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Biopharmaceutical 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nature of these expenses.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1" w:name="page32"/>
    <w:bookmarkEnd w:id="31"/>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to increase in dollars, are expected to decrease as a percentage of revenue in the long term, though they may fluctuate as a percentage from period to period due to the timing and extent of these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For the three and six months ended June 30, 2024 and 2023, interest expense consists of cash and non-cash interest from the Perceptive Term Loan Facility and changes in the value of our contingent consideration associated with the passage of time subsequent to the achievement of the gross margin target in the second quarter 2021. Interest income, which is included in ‘Other income, net’ in the condensed statements of operations consists of income earned on our cash and cash equivalents.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1"/>
                <w:szCs w:val="21"/>
                <w:color w:val="auto"/>
              </w:rPr>
            </w:pPr>
          </w:p>
        </w:tc>
        <w:tc>
          <w:tcPr>
            <w:tcW w:w="1840" w:type="dxa"/>
            <w:vAlign w:val="bottom"/>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1"/>
                <w:szCs w:val="21"/>
                <w:color w:val="auto"/>
              </w:rPr>
            </w:pPr>
          </w:p>
        </w:tc>
        <w:tc>
          <w:tcPr>
            <w:tcW w:w="17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$ 11,815</w:t>
            </w: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(352 )</w:t>
            </w: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(1,563 )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2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1"/>
                <w:szCs w:val="21"/>
                <w:color w:val="auto"/>
              </w:rPr>
            </w:pPr>
          </w:p>
        </w:tc>
        <w:tc>
          <w:tcPr>
            <w:tcW w:w="11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(8,237 )</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(10,927 )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(1,936 )</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(2,430 )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(4,465 )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(4,821 )</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(248 )</w:t>
            </w: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(387 )</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(388 )</w:t>
            </w: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(38,800 )%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(22,650 )%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(2,571 )</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(2,429 )</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(142 )</w:t>
            </w: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(5,164 )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(4,758 )</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(10,808 )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(13,356 )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920" w:type="dxa"/>
            <w:vAlign w:val="bottom"/>
            <w:vMerge w:val="continue"/>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-2978785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-2670810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-2045970</wp:posOffset>
            </wp:positionV>
            <wp:extent cx="713232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316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ind w:left="380" w:hanging="372"/>
        <w:spacing w:after="0" w:line="234" w:lineRule="auto"/>
        <w:tabs>
          <w:tab w:leader="none" w:pos="38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represent share-based compensation expense reported in the Company’s results of operations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We generate revenue by providing laboratory testing of our diagnostic tests and services. Our revenues for the periods indicated were as follows (in thousands, except percentages):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1"/>
                <w:szCs w:val="21"/>
                <w:color w:val="auto"/>
              </w:rPr>
            </w:pPr>
          </w:p>
        </w:tc>
        <w:tc>
          <w:tcPr>
            <w:tcW w:w="1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Diagnostic Testing revenue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 $ 30,335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52"/>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Biopharmaceutical Services and other revenue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09"/>
        </w:trPr>
        <w:tc>
          <w:tcPr>
            <w:tcW w:w="3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100" w:type="dxa"/>
            <w:vAlign w:val="bottom"/>
            <w:gridSpan w:val="3"/>
          </w:tcPr>
          <w:p>
            <w:pPr>
              <w:ind w:left="3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 $ 32,743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-478790</wp:posOffset>
            </wp:positionV>
            <wp:extent cx="4700905"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00905" cy="162560"/>
                    </a:xfrm>
                    <a:prstGeom prst="rect">
                      <a:avLst/>
                    </a:prstGeom>
                    <a:noFill/>
                  </pic:spPr>
                </pic:pic>
              </a:graphicData>
            </a:graphic>
          </wp:anchor>
        </w:drawing>
      </w:r>
    </w:p>
    <w:p>
      <w:pPr>
        <w:spacing w:after="0" w:line="70"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Total revenue increased $6.1 million or 51%, and increased $11.8 million or 56% for the three and six months ended June 30, 2024, respectively, compared to the same periods in 2023.</w:t>
      </w:r>
    </w:p>
    <w:p>
      <w:pPr>
        <w:spacing w:after="0" w:line="5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Diagnostic test revenue increased $5.1 million or 44%, and increased $10.2 million or 51% for the three and six months ended June 30, 2024, respectively, compared to the same periods in 2023. The increases are primarily due to an increase of $5.3 million and $11.1 million, respectively, in the Nodify Lung Nodule Risk Assessment testing strategy driven by an increase in tests delivered as our sales efforts continue to focus on Nodify CDT and XL2 tests. These increases were partially offset by $0.2 million and $0.8 million decreases, respectively, in the IQLung testing strategy. The Company’s diagnostic testing sales efforts continued to gain momentum during the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three and six months ended June 30, 2024 as the number of tests delivered reached the highest in Company history for six consecutive quarters.</w:t>
      </w:r>
    </w:p>
    <w:p>
      <w:pPr>
        <w:spacing w:after="0" w:line="11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Biopharmaceutical Services and other revenue increased $1.0 million or 228%, and increased $1.6 million or 189% for the three and six months ended June 30, 2024, respectively, compared to the same periods in 2023. The increases in revenue for the three and six months ended June 30, 2024 was primarily a result of delivering against our expanding book of business and securing new agreements.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Direct costs and expenses related to revenue increased $0.6 million or 20%, and increased $0.6 million or 10% for the three and six months ended June 30, 2024, respectively, compared to the same periods in 2023, primarily driven by the increase in testing volume compared to the same periods in 2023, partially offset by the optimization of testing workflows that resulted in improvements in costs per test.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decreased $0.4 million or 12%, and decreased $1.6 million or 25% for the three and six months ended June 30, 2024, respectively, compared to the same periods in 2023. The decrease in costs for the three and six months ended June 30, 2024 was due primarily to a decrease in internal expenses associated with compensation and benefit costs and other external costs associated with clinical trials and data acquisition costs.</w:t>
      </w:r>
    </w:p>
    <w:p>
      <w:pPr>
        <w:spacing w:after="0" w:line="6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following table summarizes our external and internal costs for the three and six months ended June 30, 2024 and 2023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1"/>
                <w:szCs w:val="21"/>
                <w:color w:val="auto"/>
              </w:rPr>
            </w:pPr>
          </w:p>
        </w:tc>
        <w:tc>
          <w:tcPr>
            <w:tcW w:w="11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(232 )</w:t>
            </w:r>
          </w:p>
        </w:tc>
        <w:tc>
          <w:tcPr>
            <w:tcW w:w="2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(573 )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external costs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tcPr>
          <w:p>
            <w:pPr>
              <w:spacing w:after="0"/>
              <w:rPr>
                <w:sz w:val="20"/>
                <w:szCs w:val="20"/>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(354 )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external costs</w:t>
            </w: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(264 )</w:t>
            </w:r>
          </w:p>
        </w:tc>
        <w:tc>
          <w:tcPr>
            <w:tcW w:w="260" w:type="dxa"/>
            <w:vAlign w:val="bottom"/>
          </w:tcPr>
          <w:p>
            <w:pPr>
              <w:spacing w:after="0"/>
              <w:rPr>
                <w:sz w:val="20"/>
                <w:szCs w:val="20"/>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(927 )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20"/>
                <w:szCs w:val="20"/>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(636 )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20" w:type="dxa"/>
            <w:vAlign w:val="bottom"/>
            <w:vMerge w:val="continue"/>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(352 )</w:t>
            </w:r>
          </w:p>
        </w:tc>
        <w:tc>
          <w:tcPr>
            <w:tcW w:w="2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(1,563 )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$3.0 million or 18%, and increased $4.6 million or 13% for the three and six months ended June 30, 2024, respectively, compared to the same periods in 2023. The increase for the three and six months ended June 30, 2024 was driven primarily by increases in employee compensation and benefits associated with an increase in headcount and variable compensation as well as increases in non-employee costs associated with increased spending on various sales meetings and sales fulfillment during 2024 as compared to 2023. Of the $3.0 million and $4.6 million increase, $0.7 million and $1.3 million, respectively, is associated with the increase in depreciation expense related to the leasehold improvements in our new Louisville headquarters and laboratory.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Interest expense decreased $0.5 million or 20%, and decreased $0.4 million or 7% for the three and six months ended June 30, 2024, respectively, compared to the same periods in 2023. The decrease in interest expense for the three and six months ended June 30, 2024 is primarily related to the decrease in interest associated with the contingent consideration as Milestone Payments are made.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liabilities</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Loss on extinguishment of liabilities increased $0.2 million or 100% for both the three and six months ended June 30, 2024, respectively, compared to the same periods in 2023. On April 22, 2024, the Company obtained consent from Perceptive and prepaid the July 1, 2024 contingent consideration Milestone Payment of $8.4 million to Indi. As a result of prepaying the Milestone Payment, the Company performed a fair value analysis through April 22, 2024 and recorded a loss on early extinguishment of $0.2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 net</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no change in fair value of warrant liability in the condensed statement of operations. During the three and six months ended June 30, 2023, the Company recorded zero and a $0.1 million gain, respectively, as a change in fair value through the condensed statement of operations due to changes in unobservable inputs. This was a result of changes in the probability of our ability to draw on Tranche B and C loans.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other expense, net of $0.4 million and $0.5 million, respectively. The expense primarily consists of deferred offering costs of approximately $0.6 million and $0.7 million, respectively, as a result of changes in the probability of our ability to fully utilize the LPC Facility prior to the termination date. Partially offsetting this expense during the three and six months ended June 30, 2024 is $0.3 million of interest and other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 On April 22, 2024, the Company obtained consent from Perceptive and prepaid the July 1, 2024 Milestone Payment of $8.4 million to Indi. The Company has one $6.1 million Milestone Payment remaining which is due October 1, 2024.</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7, 2023, the Company entered into a limited waiver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 borrower, whereby subject to the terms and conditions of the First Amendment, the Minimum Net Revenue Covenant, as defined in the Credit Agreement, was modified to reduce the threshold through the twelve month period ended March 31, 2024.</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(the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was issued during the three months ended December 31, 2023.</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original terms of the Credit Agreement entered into on November 21, 2022, the Perceptive Term Loan Facility includes an additional Tranche B Loan, in an aggregate amount of up to $10.0 million, which is accessible by the Company so long as the Company satisfies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December 31, 2023, the Company met the remaining conditions precedent associated with the Tranche B Loan and, on December 15, 2023, the Company exercised its ability to draw the Tranche B loan for $10.0 million (the Tranche B Loan).</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4" w:name="page35"/>
    <w:bookmarkEnd w:id="34"/>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of common stock and a concurrent private placement. Collectively, the Company raised net proceeds of approximately $51.3 million.</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remaining available capacity for share issuances of up to $46.9 million under the LPC Facility, subject to the restrictions and limitations of the underlying facilities.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Following the successful completion of the Company’s April 2024 Offering, the Company is no longer subject to volume limitations under applicable SEC rules and regulations that limit their availability as sources of funding. Subsequent to June 30, 2024, the Company intends to file Supplement No. 2 to the ATM Prospectus Supplement dated December 22, 2021 to increase the aggregate offering price under the ATM facility to $50.0 million of shares.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2024, we maintained cash and cash equivalents of $42.2 million and we have $40.0 million in outstanding aggregate principal amount on our Perceptive Term Loan Facility.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 -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 Disclosure of Uncertainties about an Entity’s Ability to Continue as a Going Concern</w:t>
      </w:r>
      <w:r>
        <w:rPr>
          <w:rFonts w:ascii="Times New Roman" w:cs="Times New Roman" w:eastAsia="Times New Roman" w:hAnsi="Times New Roman"/>
          <w:sz w:val="18"/>
          <w:szCs w:val="18"/>
          <w:color w:val="auto"/>
        </w:rPr>
        <w:t>, the Company is required to evaluate whether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our ability to execute our current operating plan, current financial condition, sources of liquidity and debt obligations for at least one year from the date of issuance of this Form 10-Q in considering whether it has the ability to meet its obligations.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ability to meet our obligations as they come due may be impacted by our ability to remain compliant with financial covenants in our Perceptive Term Loan Facility or to obtain waivers or amendments that impact the related covenants. As of June 30, 2024, the Company was in compliance with all restrictive and financial covenants associated with its borrowings.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We have taken steps to improve our liquidity through raising debt and equity capital and have also undertaken several proactive measures including, among other things, the reduction of planned capital expenditures and certain operating expenses.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within one year after the date the financial statements are issued. Our unaudited financial statements have been prepared assuming we will continue as a going concern and do not include any adjustments that might be necessary should we be unable to continue as a going concern.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740" w:type="dxa"/>
            <w:vAlign w:val="bottom"/>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(33,882 )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(6,749 )</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(2,270 )</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(14,178 )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(4,751 )</w:t>
            </w: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(25,678 )</w:t>
            </w:r>
          </w:p>
        </w:tc>
      </w:tr>
      <w:tr>
        <w:trPr>
          <w:trHeight w:val="20"/>
        </w:trPr>
        <w:tc>
          <w:tcPr>
            <w:tcW w:w="7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resulted in a net increase in cash and cash equivalents and restricted cash of $15.9 million during the six months ended June 30, 2024 as compared to the net decrease in cash of $25.7 million for the six months ended June 30, 2023. For the six months ended June 30, 2024, net cash used in operating activities totaled $33.9 million, an increase of approximately $27.1 million compared to the same period in 2023 primarily due to unfavorable changes in net working capital of $34.5 million, which includes $17.2 million of payments made for contingent consideration during the six months ended June 30, 2024, a $13.0 million decrease in tenant improvement allowances received for capital expenditures and leasehold improvements related to the CVP Lease, and $3.2 million change in accounts receivable due to an increase in revenue. This is partially offset by a year-over-year decrease in net loss from operations of $7.6 million.</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totaled $2.3 million, a decrease of $11.9 million compared to the same period in 2023. The decrease in net cash used in investing activities was primarily due to decreases in purchases of property and equipment and capital expenditures for leasehold improvements related to the CVP Lease. These leasehold improvements are tenant improvements and have been reimbursed from the Landlord.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totaled $52.1 million compared to a use of cash of $4.8 million in the same period of 2023. The net cash provided by financing activities for the six months ended June 30, 2024 primarily resulted from $51.3 million in net proceeds from the issuance of common stock from an underwritten offering of common stock and a concurrent private placement, $0.6 million from the issuance of common stock from our ATM facility, and $0.3 million from our ESPP, partially offset by repayment of notes payable, debt issuance costs and financing leases of $0.2 million. The net cash used in financing activities for the six months ended June 30, 2023 primarily resulted from milestone payments to Indi of $4.3 million and payments of debt issuance costs of $0.8 million, partially offset by $0.5 million in proceeds from the issuance of common stock under the ESPP and exercise of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non-cancelable contractual obligations and commitments as of June 30, 2024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24"/>
                <w:szCs w:val="24"/>
                <w:b w:val="1"/>
                <w:bCs w:val="1"/>
                <w:color w:val="auto"/>
                <w:vertAlign w:val="superscript"/>
              </w:rPr>
              <w:t>(1)</w:t>
            </w:r>
          </w:p>
        </w:tc>
        <w:tc>
          <w:tcPr>
            <w:tcW w:w="7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0"/>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1 to 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5"/>
              </w:rPr>
              <w:t>4 to 5</w:t>
            </w:r>
          </w:p>
        </w:tc>
        <w:tc>
          <w:tcPr>
            <w:tcW w:w="220" w:type="dxa"/>
            <w:vAlign w:val="bottom"/>
          </w:tcPr>
          <w:p>
            <w:pPr>
              <w:spacing w:after="0"/>
              <w:rPr>
                <w:sz w:val="17"/>
                <w:szCs w:val="17"/>
                <w:color w:val="auto"/>
              </w:rPr>
            </w:pPr>
          </w:p>
        </w:tc>
        <w:tc>
          <w:tcPr>
            <w:tcW w:w="1000" w:type="dxa"/>
            <w:vAlign w:val="bottom"/>
            <w:gridSpan w:val="2"/>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00" w:type="dxa"/>
            <w:vAlign w:val="bottom"/>
          </w:tcPr>
          <w:p>
            <w:pPr>
              <w:spacing w:after="0"/>
              <w:rPr>
                <w:sz w:val="17"/>
                <w:szCs w:val="17"/>
                <w:color w:val="auto"/>
              </w:rPr>
            </w:pPr>
          </w:p>
        </w:tc>
      </w:tr>
      <w:tr>
        <w:trPr>
          <w:trHeight w:val="245"/>
        </w:trPr>
        <w:tc>
          <w:tcPr>
            <w:tcW w:w="5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Pr>
          <w:p>
            <w:pPr>
              <w:spacing w:after="0"/>
              <w:rPr>
                <w:sz w:val="21"/>
                <w:szCs w:val="21"/>
                <w:color w:val="auto"/>
              </w:rPr>
            </w:pPr>
          </w:p>
        </w:tc>
      </w:tr>
      <w:tr>
        <w:trPr>
          <w:trHeight w:val="243"/>
        </w:trPr>
        <w:tc>
          <w:tcPr>
            <w:tcW w:w="52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Borrowings and interest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112,807</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50,743</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Royalty payments that we may owe are not included as the amount and timing of such payments is uncertain.</w:t>
      </w:r>
    </w:p>
    <w:p>
      <w:pPr>
        <w:spacing w:after="0" w:line="50" w:lineRule="exact"/>
        <w:rPr>
          <w:rFonts w:ascii="Times New Roman" w:cs="Times New Roman" w:eastAsia="Times New Roman" w:hAnsi="Times New Roman"/>
          <w:sz w:val="24"/>
          <w:szCs w:val="24"/>
          <w:color w:val="auto"/>
          <w:vertAlign w:val="superscript"/>
        </w:rPr>
      </w:pPr>
    </w:p>
    <w:p>
      <w:pPr>
        <w:ind w:left="380" w:right="20" w:hanging="372"/>
        <w:spacing w:after="0" w:line="205"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the Perceptive Term Loan payments of principal and interest. Interest amounts associated with the Perceptive Term Loan are variable and estimated based on the interest rate in effect on June 30, 2024.</w:t>
      </w:r>
    </w:p>
    <w:p>
      <w:pPr>
        <w:spacing w:after="0" w:line="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have been no other significant changes to our future contractual obligations as disclosed in our Annual Report on Form 10-K for the year ended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6" w:name="page37"/>
    <w:bookmarkEnd w:id="36"/>
    <w:p>
      <w:pPr>
        <w:jc w:val="both"/>
        <w:spacing w:after="0" w:line="265" w:lineRule="auto"/>
        <w:rPr>
          <w:sz w:val="20"/>
          <w:szCs w:val="20"/>
          <w:color w:val="auto"/>
        </w:rPr>
      </w:pPr>
      <w:r>
        <w:rPr>
          <w:rFonts w:ascii="Times New Roman" w:cs="Times New Roman" w:eastAsia="Times New Roman" w:hAnsi="Times New Roman"/>
          <w:sz w:val="18"/>
          <w:szCs w:val="18"/>
          <w:color w:val="auto"/>
        </w:rPr>
        <w:t>judgments. Our critical accounting policies are described in greater detail below and in Note 2 to our condensed financial statements in Part 1 of this Quarterly Report on Form 10-Q as well as Part II, Item 8 of our Annual Report on Form 10-K for the year ended December 31, 2023, which was filed on March 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(Biopharmaceutical Services and other revenue).</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Perceptive Term Loan. As of June 30, 2024,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June 30, 2024, a hypothetical 100 basis point increase in interest rates would have an estimated $0.4 million impact per year on our financial position and results of operations, based on the current Perceptive Term Loan principal remaining outstanding through maturity.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 months ended June 30, 2024 that have materially affected, or are reasonable likely to materially effect, our internal controls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“Item 1A. Risk Factors” of our Annual Report on Form 10-K as of and for the year ended December 31, 2023, filed March 1, 2024, and subsequent quarterly reports on Form 10-Q, if applicable, include a discussion of our risk factors. The information presented below updates, and should be read in conjunction with, the risk factors and information we previously disclosed and, except as presented below, there have been no material changes from the risk factors described in our Annual Report on Form 10-K and subsequent quarterly reports on Form 10-Q. These risk factors may not describe every risk facing us. Additional risks and uncertainties not currently known to us or that we currently deem to be immaterial could materially and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is phasing out its general policy of enforcement discretion and will regulate laboratory developed tests as medical devices.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submissions will need to ensure that the appropriate submission is received by the FDA before May 6, 2028. Other regulatory requirements will be gradually phased in beginning on May 6, 2025.</w:t>
      </w:r>
    </w:p>
    <w:p>
      <w:pPr>
        <w:spacing w:after="0" w:line="79" w:lineRule="exact"/>
        <w:rPr>
          <w:sz w:val="20"/>
          <w:szCs w:val="20"/>
          <w:color w:val="auto"/>
        </w:rPr>
      </w:pPr>
    </w:p>
    <w:p>
      <w:pPr>
        <w:jc w:val="both"/>
        <w:ind w:firstLine="46"/>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For more information regarding these risks, see Item 1A “Risk Factors” of Part I of our Annual Report on Form 10-K for the year ended December 31, 2023, which was filed on March 1, 2024, under the heading "— Risks Related to our Governmental Regulation—Our current line of diagnostic tests is covered under CLIA and CMS, but the FDA may end its general policy of enforcement discretion and regulate laboratory developed tests as medical devices. Changes in the way the FDA regulates tests performed by laboratories like ours could result in delay or additional expense in offering our tests and tests that we may develop in the future."</w:t>
      </w:r>
    </w:p>
    <w:p>
      <w:pPr>
        <w:spacing w:after="0" w:line="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Legal challenges have been filed in federal district court over the agency’s authority to regulate LDTs as medical devices, and the outcome of such litigation and its impact on FDA’s plan to implement the requirements are uncertain. Congress has also considered legislation to establish a new comprehensive regulatory framework that would provide oversight over LDTs.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5, 2024, we entered into the Securities Purchase Agreements, pursuant to which we sold 760,857 shares of our Series A Preferred Stock, which, subject to stockholder approval and certain beneficial ownership limitations set by each holder pursuant to the Series A Certificate of Designation, would automatically convert into 40 shares of Common Stock for each share of Series A Preferred Stock, for an aggregate of up to 30,434,280 shares of our common stock and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 The Company expects to use the net proceeds from the Concurrent Private Placement for commercial expansion of sales, supporting its product pipeline, research and development and for general corporate purposes.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9" w:name="page40"/>
    <w:bookmarkEnd w:id="39"/>
    <w:p>
      <w:pPr>
        <w:jc w:val="both"/>
        <w:spacing w:after="0" w:line="260" w:lineRule="auto"/>
        <w:rPr>
          <w:sz w:val="20"/>
          <w:szCs w:val="20"/>
          <w:color w:val="auto"/>
        </w:rPr>
      </w:pPr>
      <w:r>
        <w:rPr>
          <w:rFonts w:ascii="Times New Roman" w:cs="Times New Roman" w:eastAsia="Times New Roman" w:hAnsi="Times New Roman"/>
          <w:sz w:val="18"/>
          <w:szCs w:val="18"/>
          <w:color w:val="auto"/>
        </w:rPr>
        <w:t>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Concurrent Private Placement Shares being received at the Company’s 2024 annual meeting of stockholders.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during the quarter ended June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3"/>
                <w:szCs w:val="13"/>
                <w:color w:val="auto"/>
              </w:rPr>
            </w:pPr>
          </w:p>
        </w:tc>
        <w:tc>
          <w:tcPr>
            <w:tcW w:w="8600" w:type="dxa"/>
            <w:vAlign w:val="bottom"/>
            <w:gridSpan w:val="5"/>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Second Amendment to Supply Agreement between Bio-Rad Laboratories, Inc., and Biodesix, Inc., dated May 22, 2024.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4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4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8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240" w:firstLine="82"/>
        <w:spacing w:after="0" w:line="378" w:lineRule="auto"/>
        <w:tabs>
          <w:tab w:leader="none" w:pos="116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9505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3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Biodesix, Inc.</w:t>
            </w:r>
          </w:p>
        </w:tc>
        <w:tc>
          <w:tcPr>
            <w:tcW w:w="4480" w:type="dxa"/>
            <w:vAlign w:val="bottom"/>
          </w:tcPr>
          <w:p>
            <w:pPr>
              <w:spacing w:after="0"/>
              <w:rPr>
                <w:sz w:val="20"/>
                <w:szCs w:val="20"/>
                <w:color w:val="auto"/>
              </w:rPr>
            </w:pPr>
          </w:p>
        </w:tc>
      </w:tr>
      <w:tr>
        <w:trPr>
          <w:trHeight w:val="47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7, 2024</w:t>
            </w:r>
          </w:p>
        </w:tc>
        <w:tc>
          <w:tcPr>
            <w:tcW w:w="33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/s/ CHRISTOPHER C. VAZQUEZ</w:t>
            </w:r>
          </w:p>
        </w:tc>
      </w:tr>
      <w:tr>
        <w:trPr>
          <w:trHeight w:val="202"/>
        </w:trPr>
        <w:tc>
          <w:tcPr>
            <w:tcW w:w="3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jc w:val="center"/>
              <w:ind w:right="1010"/>
              <w:spacing w:after="0" w:line="202" w:lineRule="exact"/>
              <w:rPr>
                <w:sz w:val="20"/>
                <w:szCs w:val="20"/>
                <w:color w:val="auto"/>
              </w:rPr>
            </w:pPr>
            <w:r>
              <w:rPr>
                <w:rFonts w:ascii="Times New Roman" w:cs="Times New Roman" w:eastAsia="Times New Roman" w:hAnsi="Times New Roman"/>
                <w:sz w:val="18"/>
                <w:szCs w:val="18"/>
                <w:i w:val="1"/>
                <w:iCs w:val="1"/>
                <w:color w:val="auto"/>
                <w:w w:val="98"/>
              </w:rPr>
              <w:t>Christopher C. Vazquez</w:t>
            </w:r>
          </w:p>
        </w:tc>
      </w:tr>
      <w:tr>
        <w:trPr>
          <w:trHeight w:val="229"/>
        </w:trPr>
        <w:tc>
          <w:tcPr>
            <w:tcW w:w="3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80" w:type="dxa"/>
            <w:vAlign w:val="bottom"/>
          </w:tcPr>
          <w:p>
            <w:pPr>
              <w:jc w:val="center"/>
              <w:ind w:right="990"/>
              <w:spacing w:after="0"/>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236"/>
        </w:trPr>
        <w:tc>
          <w:tcPr>
            <w:tcW w:w="3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80" w:type="dxa"/>
            <w:vAlign w:val="bottom"/>
          </w:tcPr>
          <w:p>
            <w:pPr>
              <w:jc w:val="center"/>
              <w:ind w:right="101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890"/>
        </w:trPr>
        <w:tc>
          <w:tcPr>
            <w:tcW w:w="3440" w:type="dxa"/>
            <w:vAlign w:val="bottom"/>
          </w:tcPr>
          <w:p>
            <w:pPr>
              <w:spacing w:after="0"/>
              <w:rPr>
                <w:sz w:val="24"/>
                <w:szCs w:val="24"/>
                <w:color w:val="auto"/>
              </w:rPr>
            </w:pPr>
          </w:p>
        </w:tc>
        <w:tc>
          <w:tcPr>
            <w:tcW w:w="33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38</w:t>
            </w:r>
          </w:p>
        </w:tc>
        <w:tc>
          <w:tcPr>
            <w:tcW w:w="4480" w:type="dxa"/>
            <w:vAlign w:val="bottom"/>
          </w:tcPr>
          <w:p>
            <w:pPr>
              <w:spacing w:after="0"/>
              <w:rPr>
                <w:sz w:val="24"/>
                <w:szCs w:val="24"/>
                <w:color w:val="auto"/>
              </w:rPr>
            </w:pPr>
          </w:p>
        </w:tc>
      </w:tr>
      <w:tr>
        <w:trPr>
          <w:trHeight w:val="762"/>
        </w:trPr>
        <w:tc>
          <w:tcPr>
            <w:tcW w:w="3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SECOND AMENDMENT TO THE NON-EXCLUSIVE</w:t>
      </w:r>
    </w:p>
    <w:p>
      <w:pPr>
        <w:spacing w:after="0" w:line="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06" w:lineRule="exact"/>
        <w:rPr>
          <w:sz w:val="20"/>
          <w:szCs w:val="20"/>
          <w:color w:val="auto"/>
        </w:rPr>
      </w:pPr>
    </w:p>
    <w:p>
      <w:pPr>
        <w:jc w:val="both"/>
        <w:ind w:left="180" w:right="120"/>
        <w:spacing w:after="0" w:line="246" w:lineRule="auto"/>
        <w:rPr>
          <w:sz w:val="20"/>
          <w:szCs w:val="20"/>
          <w:color w:val="auto"/>
        </w:rPr>
      </w:pPr>
      <w:r>
        <w:rPr>
          <w:rFonts w:ascii="Times New Roman" w:cs="Times New Roman" w:eastAsia="Times New Roman" w:hAnsi="Times New Roman"/>
          <w:sz w:val="20"/>
          <w:szCs w:val="20"/>
          <w:color w:val="auto"/>
        </w:rPr>
        <w:t xml:space="preserve">This second amendment (“Amendment”) is effective May 22, 2024 (“Amendment Effective Date”), and is made pursuant to the Non-Exclusive License Agreement dated August 1, 2019, as amended (“Agreement”) by and between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IO</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6"/>
          <w:szCs w:val="16"/>
          <w:b w:val="1"/>
          <w:bCs w:val="1"/>
          <w:color w:val="auto"/>
        </w:rPr>
        <w:t>ABORATORIES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having an address at 1000 Alfred Nobel Drive, Hercules, California 94547 (“Bio-Rad”)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color w:val="auto"/>
        </w:rPr>
        <w:t xml:space="preserve"> a Delaware corporation, with a principal business address at </w:t>
      </w:r>
      <w:r>
        <w:rPr>
          <w:rFonts w:ascii="Times New Roman" w:cs="Times New Roman" w:eastAsia="Times New Roman" w:hAnsi="Times New Roman"/>
          <w:sz w:val="20"/>
          <w:szCs w:val="20"/>
          <w:color w:val="212121"/>
        </w:rPr>
        <w:t>2970 Wilderness Place, Suite 100 Boulder, CO 80301, USA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Biodesix</w:t>
      </w:r>
      <w:r>
        <w:rPr>
          <w:rFonts w:ascii="Times New Roman" w:cs="Times New Roman" w:eastAsia="Times New Roman" w:hAnsi="Times New Roman"/>
          <w:sz w:val="20"/>
          <w:szCs w:val="20"/>
          <w:color w:val="auto"/>
        </w:rPr>
        <w:t>”) (individually, a “Party”; collectively, the “Parties”).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have agreed to extend the term of the Agreement,</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good and valuable consideration, the Parties agree as follows:</w:t>
      </w:r>
    </w:p>
    <w:p>
      <w:pPr>
        <w:spacing w:after="0" w:line="200" w:lineRule="exact"/>
        <w:rPr>
          <w:sz w:val="20"/>
          <w:szCs w:val="20"/>
          <w:color w:val="auto"/>
        </w:rPr>
      </w:pPr>
    </w:p>
    <w:p>
      <w:pPr>
        <w:spacing w:after="0" w:line="248" w:lineRule="exact"/>
        <w:rPr>
          <w:sz w:val="20"/>
          <w:szCs w:val="20"/>
          <w:color w:val="auto"/>
        </w:rPr>
      </w:pPr>
    </w:p>
    <w:p>
      <w:pPr>
        <w:ind w:left="920" w:hanging="374"/>
        <w:spacing w:after="0"/>
        <w:tabs>
          <w:tab w:leader="none" w:pos="9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of the Agreement is extended through August 1, 2026.</w:t>
      </w:r>
    </w:p>
    <w:p>
      <w:pPr>
        <w:spacing w:after="0" w:line="28" w:lineRule="exact"/>
        <w:rPr>
          <w:rFonts w:ascii="Times New Roman" w:cs="Times New Roman" w:eastAsia="Times New Roman" w:hAnsi="Times New Roman"/>
          <w:sz w:val="20"/>
          <w:szCs w:val="20"/>
          <w:color w:val="auto"/>
        </w:rPr>
      </w:pPr>
    </w:p>
    <w:p>
      <w:pPr>
        <w:ind w:left="920" w:right="4700" w:hanging="374"/>
        <w:spacing w:after="0" w:line="242" w:lineRule="auto"/>
        <w:tabs>
          <w:tab w:leader="none" w:pos="75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Bio-Rad contact in 13.1 b is hereby amended to: Life Science Group Bio-Rad Laboratories, Inc. 2000 Alfred Nobel</w:t>
      </w:r>
    </w:p>
    <w:p>
      <w:pPr>
        <w:spacing w:after="0" w:line="1" w:lineRule="exact"/>
        <w:rPr>
          <w:rFonts w:ascii="Times New Roman" w:cs="Times New Roman" w:eastAsia="Times New Roman" w:hAnsi="Times New Roman"/>
          <w:sz w:val="20"/>
          <w:szCs w:val="20"/>
          <w:color w:val="auto"/>
        </w:rPr>
      </w:pPr>
    </w:p>
    <w:p>
      <w:pPr>
        <w:ind w:left="920" w:right="72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Drive Hercules, CA, USA 94547 Attn: Email:</w:t>
      </w:r>
    </w:p>
    <w:p>
      <w:pPr>
        <w:spacing w:after="0" w:line="196" w:lineRule="exact"/>
        <w:rPr>
          <w:rFonts w:ascii="Times New Roman" w:cs="Times New Roman" w:eastAsia="Times New Roman" w:hAnsi="Times New Roman"/>
          <w:sz w:val="20"/>
          <w:szCs w:val="20"/>
          <w:color w:val="auto"/>
        </w:rPr>
      </w:pPr>
    </w:p>
    <w:p>
      <w:pPr>
        <w:ind w:left="920" w:hanging="374"/>
        <w:spacing w:after="0"/>
        <w:tabs>
          <w:tab w:leader="none" w:pos="9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in this Amendment and not defined herein, have the definitions found in the Agreement.</w:t>
      </w:r>
    </w:p>
    <w:p>
      <w:pPr>
        <w:spacing w:after="0" w:line="228" w:lineRule="exact"/>
        <w:rPr>
          <w:rFonts w:ascii="Times New Roman" w:cs="Times New Roman" w:eastAsia="Times New Roman" w:hAnsi="Times New Roman"/>
          <w:sz w:val="20"/>
          <w:szCs w:val="20"/>
          <w:color w:val="auto"/>
        </w:rPr>
      </w:pPr>
    </w:p>
    <w:p>
      <w:pPr>
        <w:jc w:val="both"/>
        <w:ind w:left="920" w:right="120" w:hanging="374"/>
        <w:spacing w:after="0" w:line="249" w:lineRule="auto"/>
        <w:tabs>
          <w:tab w:leader="none" w:pos="9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of the Agreement remain in full force and effect. Except as explicitly stated in this Amendment, this Amendment shall not act as a waiver of any other right or claim held by either party. This Amendment may only be modified by a written instrument executed by both Parties. If there is an inconsistency between the Agreement and this Amendment,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executed this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ad</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aboratories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 KULISCH</w:t>
            </w:r>
          </w:p>
        </w:tc>
        <w:tc>
          <w:tcPr>
            <w:tcW w:w="5520" w:type="dxa"/>
            <w:vAlign w:val="bottom"/>
          </w:tcPr>
          <w:p>
            <w:pPr>
              <w:spacing w:after="0"/>
              <w:rPr>
                <w:sz w:val="19"/>
                <w:szCs w:val="19"/>
                <w:color w:val="auto"/>
              </w:rPr>
            </w:pPr>
          </w:p>
        </w:tc>
      </w:tr>
      <w:tr>
        <w:trPr>
          <w:trHeight w:val="204"/>
        </w:trPr>
        <w:tc>
          <w:tcPr>
            <w:tcW w:w="8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STEVE KULISCH</w:t>
            </w:r>
          </w:p>
        </w:tc>
        <w:tc>
          <w:tcPr>
            <w:tcW w:w="5520" w:type="dxa"/>
            <w:vAlign w:val="bottom"/>
          </w:tcPr>
          <w:p>
            <w:pPr>
              <w:spacing w:after="0"/>
              <w:rPr>
                <w:sz w:val="17"/>
                <w:szCs w:val="17"/>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PRODUCT MANAGEMENT</w:t>
            </w:r>
          </w:p>
        </w:tc>
        <w:tc>
          <w:tcPr>
            <w:tcW w:w="5520" w:type="dxa"/>
            <w:vAlign w:val="bottom"/>
          </w:tcPr>
          <w:p>
            <w:pPr>
              <w:spacing w:after="0"/>
              <w:rPr>
                <w:sz w:val="20"/>
                <w:szCs w:val="20"/>
                <w:color w:val="auto"/>
              </w:rPr>
            </w:pPr>
          </w:p>
        </w:tc>
      </w:tr>
      <w:tr>
        <w:trPr>
          <w:trHeight w:val="440"/>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tc>
        <w:tc>
          <w:tcPr>
            <w:tcW w:w="5520" w:type="dxa"/>
            <w:vAlign w:val="bottom"/>
          </w:tcPr>
          <w:p>
            <w:pPr>
              <w:spacing w:after="0"/>
              <w:rPr>
                <w:sz w:val="24"/>
                <w:szCs w:val="24"/>
                <w:color w:val="auto"/>
              </w:rPr>
            </w:pPr>
          </w:p>
        </w:tc>
      </w:tr>
      <w:tr>
        <w:trPr>
          <w:trHeight w:val="241"/>
        </w:trPr>
        <w:tc>
          <w:tcPr>
            <w:tcW w:w="800" w:type="dxa"/>
            <w:vAlign w:val="bottom"/>
          </w:tcPr>
          <w:p>
            <w:pPr>
              <w:spacing w:after="0"/>
              <w:rPr>
                <w:sz w:val="20"/>
                <w:szCs w:val="20"/>
                <w:color w:val="auto"/>
              </w:rPr>
            </w:pP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ROBIN HARPER COWIE</w:t>
            </w:r>
          </w:p>
        </w:tc>
        <w:tc>
          <w:tcPr>
            <w:tcW w:w="5520" w:type="dxa"/>
            <w:vAlign w:val="bottom"/>
          </w:tcPr>
          <w:p>
            <w:pPr>
              <w:spacing w:after="0"/>
              <w:rPr>
                <w:sz w:val="20"/>
                <w:szCs w:val="20"/>
                <w:color w:val="auto"/>
              </w:rPr>
            </w:pPr>
          </w:p>
        </w:tc>
      </w:tr>
      <w:tr>
        <w:trPr>
          <w:trHeight w:val="21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ROBIN HARPER COWIE</w:t>
            </w:r>
          </w:p>
        </w:tc>
        <w:tc>
          <w:tcPr>
            <w:tcW w:w="5520" w:type="dxa"/>
            <w:vAlign w:val="bottom"/>
          </w:tcPr>
          <w:p>
            <w:pPr>
              <w:spacing w:after="0"/>
              <w:rPr>
                <w:sz w:val="18"/>
                <w:szCs w:val="18"/>
                <w:color w:val="auto"/>
              </w:rPr>
            </w:pP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5520" w:type="dxa"/>
            <w:vAlign w:val="bottom"/>
          </w:tcPr>
          <w:p>
            <w:pPr>
              <w:spacing w:after="0"/>
              <w:rPr>
                <w:sz w:val="20"/>
                <w:szCs w:val="20"/>
                <w:color w:val="auto"/>
              </w:rPr>
            </w:pPr>
          </w:p>
        </w:tc>
      </w:tr>
      <w:tr>
        <w:trPr>
          <w:trHeight w:val="587"/>
        </w:trPr>
        <w:tc>
          <w:tcPr>
            <w:tcW w:w="8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Hutton, certify that:</w:t>
      </w:r>
    </w:p>
    <w:p>
      <w:pPr>
        <w:spacing w:after="0" w:line="238"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214"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20"/>
          <w:szCs w:val="20"/>
          <w:color w:val="auto"/>
        </w:rPr>
      </w:pPr>
    </w:p>
    <w:p>
      <w:pPr>
        <w:ind w:left="760" w:hanging="752"/>
        <w:spacing w:after="0" w:line="254" w:lineRule="auto"/>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65"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81"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760" w:hanging="752"/>
        <w:spacing w:after="0" w:line="254" w:lineRule="auto"/>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20"/>
        <w:spacing w:after="0"/>
        <w:tabs>
          <w:tab w:leader="none" w:pos="5300" w:val="left"/>
          <w:tab w:leader="none" w:pos="78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34290</wp:posOffset>
            </wp:positionV>
            <wp:extent cx="35191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7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Scott Hutton</w:t>
      </w:r>
    </w:p>
    <w:p>
      <w:pPr>
        <w:spacing w:after="0" w:line="4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Harper Cowie, certify that:</w:t>
      </w:r>
    </w:p>
    <w:p>
      <w:pPr>
        <w:spacing w:after="0" w:line="238" w:lineRule="exact"/>
        <w:rPr>
          <w:sz w:val="20"/>
          <w:szCs w:val="20"/>
          <w:color w:val="auto"/>
        </w:rPr>
      </w:pPr>
    </w:p>
    <w:p>
      <w:pPr>
        <w:ind w:left="760" w:hanging="752"/>
        <w:spacing w:after="0"/>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214"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20"/>
          <w:szCs w:val="20"/>
          <w:color w:val="auto"/>
        </w:rPr>
      </w:pPr>
    </w:p>
    <w:p>
      <w:pPr>
        <w:ind w:left="760" w:hanging="752"/>
        <w:spacing w:after="0" w:line="254" w:lineRule="auto"/>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65"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81"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760" w:hanging="752"/>
        <w:spacing w:after="0" w:line="254" w:lineRule="auto"/>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20"/>
        <w:spacing w:after="0"/>
        <w:tabs>
          <w:tab w:leader="none" w:pos="5300" w:val="left"/>
          <w:tab w:leader="none" w:pos="76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34290</wp:posOffset>
            </wp:positionV>
            <wp:extent cx="35191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7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4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Biodesix, Inc. (the “Company”) on Form 10-Q for the period ending June 30, 2024 as filed with the Securities and Exchange Commission on the date hereof (the “Report”), I certify, pursuant to 18 U.S.C. § 1350, as adopted pursuant to § 906 of the Sarbanes-Oxley Act of 2002, that, to my knowledge:</w:t>
      </w:r>
    </w:p>
    <w:p>
      <w:pPr>
        <w:spacing w:after="0" w:line="177" w:lineRule="exact"/>
        <w:rPr>
          <w:sz w:val="20"/>
          <w:szCs w:val="20"/>
          <w:color w:val="auto"/>
        </w:rPr>
      </w:pPr>
    </w:p>
    <w:p>
      <w:pPr>
        <w:ind w:left="1120" w:hanging="363"/>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980" w:right="20" w:hanging="224"/>
        <w:spacing w:after="0" w:line="281"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4820" w:val="left"/>
          <w:tab w:leader="none" w:pos="79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26035</wp:posOffset>
            </wp:positionV>
            <wp:extent cx="34848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2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Scott Hutton</w:t>
      </w:r>
    </w:p>
    <w:p>
      <w:pPr>
        <w:spacing w:after="0" w:line="3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Biodesix, Inc. (the “Company”) on Form 10-Q for the period ending June 30, 2024 as filed with the Securities and Exchange Commission on the date hereof (the “Report”), I certify, pursuant to 18 U.S.C. § 1350, as adopted pursuant to § 906 of the Sarbanes-Oxley Act of 2002, that, to my knowledge:</w:t>
      </w:r>
    </w:p>
    <w:p>
      <w:pPr>
        <w:spacing w:after="0" w:line="177" w:lineRule="exact"/>
        <w:rPr>
          <w:sz w:val="20"/>
          <w:szCs w:val="20"/>
          <w:color w:val="auto"/>
        </w:rPr>
      </w:pPr>
    </w:p>
    <w:p>
      <w:pPr>
        <w:ind w:left="1120" w:hanging="363"/>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980" w:right="20" w:hanging="224"/>
        <w:spacing w:after="0" w:line="281"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4820" w:val="left"/>
          <w:tab w:leader="none" w:pos="76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26035</wp:posOffset>
            </wp:positionV>
            <wp:extent cx="34848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2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3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2"/>
      <w:numFmt w:val="bullet"/>
      <w:start w:val="1"/>
    </w:lvl>
  </w:abstractNum>
  <w:abstractNum w:abstractNumId="8">
    <w:nsid w:val="25E45D32"/>
    <w:multiLevelType w:val="hybridMultilevel"/>
    <w:lvl w:ilvl="0">
      <w:lvlJc w:val="left"/>
      <w:lvlText w:val="3"/>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lvl w:ilvl="1">
      <w:lvlJc w:val="left"/>
      <w:lvlText w:val="o"/>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o"/>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lvl w:ilvl="1">
      <w:lvlJc w:val="left"/>
      <w:lvlText w:val="%2"/>
      <w:numFmt w:val="decimal"/>
      <w:start w:val="104"/>
    </w:lvl>
  </w:abstractNum>
  <w:abstractNum w:abstractNumId="18">
    <w:nsid w:val="721DA317"/>
    <w:multiLevelType w:val="hybridMultilevel"/>
    <w:lvl w:ilvl="0">
      <w:lvlJc w:val="left"/>
      <w:lvlText w:val="**"/>
      <w:numFmt w:val="bullet"/>
      <w:start w:val="1"/>
    </w:lvl>
    <w:lvl w:ilvl="1">
      <w:lvlJc w:val="left"/>
      <w:lvlText w:val="%2"/>
      <w:numFmt w:val="decimal"/>
      <w:start w:val="1"/>
    </w:lvl>
  </w:abstractNum>
  <w:abstractNum w:abstractNumId="19">
    <w:nsid w:val="2443A858"/>
    <w:multiLevelType w:val="hybridMultilevel"/>
    <w:lvl w:ilvl="0">
      <w:lvlJc w:val="left"/>
      <w:lvlText w:val="***"/>
      <w:numFmt w:val="bullet"/>
      <w:start w:val="1"/>
    </w:lvl>
    <w:lvl w:ilvl="1">
      <w:lvlJc w:val="left"/>
      <w:lvlText w:val="%2"/>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2024-08-07T15:27:50Z</dcterms:created>
  <dcterms:modified xsi:type="dcterms:W3CDTF">2024-08-07T15:27:50Z</dcterms:modified>
</cp:coreProperties>
</file>