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Biodesix,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09075X108</w:t>
      </w:r>
    </w:p>
    <w:p>
      <w:pPr>
        <w:spacing w:after="0" w:line="1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Jack W. Schuler</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100 N. Field Drive, Suite 360</w:t>
      </w:r>
    </w:p>
    <w:p>
      <w:pPr>
        <w:jc w:val="center"/>
        <w:ind w:right="-19"/>
        <w:spacing w:after="0" w:line="230" w:lineRule="auto"/>
        <w:rPr>
          <w:sz w:val="20"/>
          <w:szCs w:val="20"/>
          <w:color w:val="auto"/>
        </w:rPr>
      </w:pPr>
      <w:r>
        <w:rPr>
          <w:rFonts w:ascii="Arial" w:cs="Arial" w:eastAsia="Arial" w:hAnsi="Arial"/>
          <w:sz w:val="22"/>
          <w:szCs w:val="22"/>
          <w:b w:val="1"/>
          <w:bCs w:val="1"/>
          <w:color w:val="auto"/>
        </w:rPr>
        <w:t>Lake Forest, Illinois 60045</w:t>
      </w:r>
    </w:p>
    <w:p>
      <w:pPr>
        <w:jc w:val="center"/>
        <w:ind w:right="-19"/>
        <w:spacing w:after="0" w:line="231" w:lineRule="auto"/>
        <w:rPr>
          <w:sz w:val="20"/>
          <w:szCs w:val="20"/>
          <w:color w:val="auto"/>
        </w:rPr>
      </w:pPr>
      <w:r>
        <w:rPr>
          <w:rFonts w:ascii="Arial" w:cs="Arial" w:eastAsia="Arial" w:hAnsi="Arial"/>
          <w:sz w:val="22"/>
          <w:szCs w:val="22"/>
          <w:b w:val="1"/>
          <w:bCs w:val="1"/>
          <w:u w:val="single" w:color="auto"/>
          <w:color w:val="auto"/>
        </w:rPr>
        <w:t>(224) 880-1210</w:t>
      </w:r>
    </w:p>
    <w:p>
      <w:pPr>
        <w:jc w:val="center"/>
        <w:ind w:right="-1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30, 2021</w:t>
      </w:r>
      <w:r>
        <w:rPr>
          <w:rFonts w:ascii="Arial" w:cs="Arial" w:eastAsia="Arial" w:hAnsi="Arial"/>
          <w:sz w:val="22"/>
          <w:szCs w:val="22"/>
          <w:b w:val="1"/>
          <w:bCs w:val="1"/>
          <w:color w:val="auto"/>
        </w:rPr>
        <w: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32"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jc w:val="both"/>
        <w:ind w:firstLine="8"/>
        <w:spacing w:after="0"/>
        <w:tabs>
          <w:tab w:leader="none" w:pos="1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3" w:lineRule="exact"/>
        <w:rPr>
          <w:sz w:val="24"/>
          <w:szCs w:val="24"/>
          <w:color w:val="auto"/>
        </w:rPr>
      </w:pPr>
    </w:p>
    <w:p>
      <w:pPr>
        <w:ind w:right="20"/>
        <w:spacing w:after="0"/>
        <w:rPr>
          <w:sz w:val="20"/>
          <w:szCs w:val="20"/>
          <w:color w:val="auto"/>
        </w:rPr>
      </w:pPr>
      <w:r>
        <w:rPr>
          <w:rFonts w:ascii="Arial" w:cs="Arial" w:eastAsia="Arial" w:hAnsi="Arial"/>
          <w:sz w:val="22"/>
          <w:szCs w:val="22"/>
          <w:color w:val="auto"/>
        </w:rPr>
        <w:t>**The Reporting Person timely filed this Amendment No. 1 to Schedule 13D on January 4, 2022, but inadvertently included 277,777 Shares that he did not, at the time of filing, beneficially own. As such, the Reporting Persons is re-filing his Amendment No. 1 to Schedule 13D to correct his reported beneficial ownership.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60" w:type="dxa"/>
            <w:vAlign w:val="bottom"/>
          </w:tcPr>
          <w:p>
            <w:pPr>
              <w:ind w:left="1820"/>
              <w:spacing w:after="0"/>
              <w:rPr>
                <w:sz w:val="20"/>
                <w:szCs w:val="20"/>
                <w:color w:val="auto"/>
              </w:rPr>
            </w:pPr>
            <w:r>
              <w:rPr>
                <w:rFonts w:ascii="Arial" w:cs="Arial" w:eastAsia="Arial" w:hAnsi="Arial"/>
                <w:sz w:val="18"/>
                <w:szCs w:val="18"/>
                <w:color w:val="auto"/>
              </w:rPr>
              <w:t>SCHEDULE 13D</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6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700" w:type="dxa"/>
            <w:vAlign w:val="bottom"/>
          </w:tcPr>
          <w:p>
            <w:pPr>
              <w:spacing w:after="0"/>
              <w:rPr>
                <w:sz w:val="24"/>
                <w:szCs w:val="24"/>
                <w:color w:val="auto"/>
              </w:rPr>
            </w:pPr>
          </w:p>
        </w:tc>
        <w:tc>
          <w:tcPr>
            <w:tcW w:w="8080" w:type="dxa"/>
            <w:vAlign w:val="bottom"/>
            <w:gridSpan w:val="2"/>
          </w:tcPr>
          <w:p>
            <w:pPr>
              <w:ind w:left="6800"/>
              <w:spacing w:after="0"/>
              <w:rPr>
                <w:sz w:val="20"/>
                <w:szCs w:val="20"/>
                <w:color w:val="auto"/>
              </w:rPr>
            </w:pPr>
            <w:r>
              <w:rPr>
                <w:rFonts w:ascii="Arial" w:cs="Arial" w:eastAsia="Arial" w:hAnsi="Arial"/>
                <w:sz w:val="18"/>
                <w:szCs w:val="18"/>
                <w:color w:val="auto"/>
                <w:w w:val="83"/>
              </w:rPr>
              <w:t>Page 2 of 5 Pages</w:t>
            </w:r>
          </w:p>
        </w:tc>
        <w:tc>
          <w:tcPr>
            <w:tcW w:w="0" w:type="dxa"/>
            <w:vAlign w:val="bottom"/>
          </w:tcPr>
          <w:p>
            <w:pPr>
              <w:spacing w:after="0"/>
              <w:rPr>
                <w:sz w:val="1"/>
                <w:szCs w:val="1"/>
                <w:color w:val="auto"/>
              </w:rPr>
            </w:pPr>
          </w:p>
        </w:tc>
      </w:tr>
      <w:tr>
        <w:trPr>
          <w:trHeight w:val="425"/>
        </w:trPr>
        <w:tc>
          <w:tcPr>
            <w:tcW w:w="13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gridSpan w:val="4"/>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NAMES OF REPORTING PERSONS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color w:val="auto"/>
              </w:rPr>
              <w:t>Jack W. Schuler</w:t>
            </w:r>
          </w:p>
        </w:tc>
        <w:tc>
          <w:tcPr>
            <w:tcW w:w="76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9440" w:type="dxa"/>
            <w:vAlign w:val="bottom"/>
            <w:tcBorders>
              <w:bottom w:val="single" w:sz="8" w:color="auto"/>
            </w:tcBorders>
            <w:gridSpan w:val="4"/>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9440" w:type="dxa"/>
            <w:vAlign w:val="bottom"/>
            <w:gridSpan w:val="4"/>
          </w:tcPr>
          <w:p>
            <w:pPr>
              <w:spacing w:after="0" w:line="169"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4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w w:val="94"/>
              </w:rPr>
              <w:t>(a)</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345"/>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4"/>
              </w:rPr>
              <w:t>(b)</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140"/>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76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78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7660" w:type="dxa"/>
            <w:vAlign w:val="bottom"/>
            <w:shd w:val="clear" w:color="auto" w:fill="BFBFBF"/>
          </w:tcPr>
          <w:p>
            <w:pPr>
              <w:spacing w:after="0"/>
              <w:rPr>
                <w:sz w:val="18"/>
                <w:szCs w:val="18"/>
                <w:color w:val="auto"/>
              </w:rPr>
            </w:pPr>
          </w:p>
        </w:tc>
        <w:tc>
          <w:tcPr>
            <w:tcW w:w="4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continue"/>
          </w:tcPr>
          <w:p>
            <w:pPr>
              <w:spacing w:after="0"/>
              <w:rPr>
                <w:sz w:val="18"/>
                <w:szCs w:val="18"/>
                <w:color w:val="auto"/>
              </w:rPr>
            </w:pPr>
          </w:p>
        </w:tc>
        <w:tc>
          <w:tcPr>
            <w:tcW w:w="880" w:type="dxa"/>
            <w:vAlign w:val="bottom"/>
            <w:tcBorders>
              <w:right w:val="single" w:sz="8" w:color="BFBFBF"/>
            </w:tcBorders>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700" w:type="dxa"/>
            <w:vAlign w:val="bottom"/>
            <w:tcBorders>
              <w:right w:val="single" w:sz="8" w:color="BFBFBF"/>
            </w:tcBorders>
            <w:shd w:val="clear" w:color="auto" w:fill="BFBFBF"/>
          </w:tcPr>
          <w:p>
            <w:pPr>
              <w:spacing w:after="0"/>
              <w:rPr>
                <w:sz w:val="18"/>
                <w:szCs w:val="18"/>
                <w:color w:val="auto"/>
              </w:rPr>
            </w:pPr>
          </w:p>
        </w:tc>
        <w:tc>
          <w:tcPr>
            <w:tcW w:w="7660" w:type="dxa"/>
            <w:vAlign w:val="bottom"/>
            <w:shd w:val="clear" w:color="auto" w:fill="BFBFBF"/>
          </w:tcPr>
          <w:p>
            <w:pPr>
              <w:spacing w:after="0"/>
              <w:rPr>
                <w:sz w:val="18"/>
                <w:szCs w:val="18"/>
                <w:color w:val="auto"/>
              </w:rPr>
            </w:pPr>
          </w:p>
        </w:tc>
        <w:tc>
          <w:tcPr>
            <w:tcW w:w="4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BFBFBF"/>
            </w:tcBorders>
            <w:shd w:val="clear" w:color="auto" w:fill="BFBFBF"/>
          </w:tcPr>
          <w:p>
            <w:pPr>
              <w:spacing w:after="0"/>
              <w:rPr>
                <w:sz w:val="19"/>
                <w:szCs w:val="19"/>
                <w:color w:val="auto"/>
              </w:rPr>
            </w:pPr>
          </w:p>
        </w:tc>
        <w:tc>
          <w:tcPr>
            <w:tcW w:w="200" w:type="dxa"/>
            <w:vAlign w:val="bottom"/>
            <w:tcBorders>
              <w:bottom w:val="single" w:sz="8" w:color="auto"/>
            </w:tcBorders>
            <w:shd w:val="clear" w:color="auto" w:fill="BFBFBF"/>
          </w:tcPr>
          <w:p>
            <w:pPr>
              <w:spacing w:after="0"/>
              <w:rPr>
                <w:sz w:val="19"/>
                <w:szCs w:val="19"/>
                <w:color w:val="auto"/>
              </w:rPr>
            </w:pPr>
          </w:p>
        </w:tc>
        <w:tc>
          <w:tcPr>
            <w:tcW w:w="700" w:type="dxa"/>
            <w:vAlign w:val="bottom"/>
            <w:tcBorders>
              <w:bottom w:val="single" w:sz="8" w:color="auto"/>
              <w:right w:val="single" w:sz="8" w:color="BFBFBF"/>
            </w:tcBorders>
            <w:shd w:val="clear" w:color="auto" w:fill="BFBFBF"/>
          </w:tcPr>
          <w:p>
            <w:pPr>
              <w:spacing w:after="0"/>
              <w:rPr>
                <w:sz w:val="19"/>
                <w:szCs w:val="19"/>
                <w:color w:val="auto"/>
              </w:rPr>
            </w:pPr>
          </w:p>
        </w:tc>
        <w:tc>
          <w:tcPr>
            <w:tcW w:w="7660" w:type="dxa"/>
            <w:vAlign w:val="bottom"/>
            <w:tcBorders>
              <w:bottom w:val="single" w:sz="8" w:color="auto"/>
            </w:tcBorders>
            <w:shd w:val="clear" w:color="auto" w:fill="BFBFBF"/>
          </w:tcPr>
          <w:p>
            <w:pPr>
              <w:spacing w:after="0"/>
              <w:rPr>
                <w:sz w:val="19"/>
                <w:szCs w:val="19"/>
                <w:color w:val="auto"/>
              </w:rPr>
            </w:pPr>
          </w:p>
        </w:tc>
        <w:tc>
          <w:tcPr>
            <w:tcW w:w="420" w:type="dxa"/>
            <w:vAlign w:val="bottom"/>
            <w:tcBorders>
              <w:bottom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PF</w:t>
            </w:r>
          </w:p>
        </w:tc>
        <w:tc>
          <w:tcPr>
            <w:tcW w:w="7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9440" w:type="dxa"/>
            <w:vAlign w:val="bottom"/>
            <w:tcBorders>
              <w:bottom w:val="single" w:sz="8" w:color="auto"/>
            </w:tcBorders>
            <w:gridSpan w:val="4"/>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5</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4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vMerge w:val="continue"/>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9440" w:type="dxa"/>
            <w:vAlign w:val="bottom"/>
            <w:tcBorders>
              <w:bottom w:val="single" w:sz="8" w:color="auto"/>
            </w:tcBorders>
            <w:gridSpan w:val="4"/>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6</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94"/>
              </w:rPr>
              <w:t>United States</w:t>
            </w:r>
          </w:p>
        </w:tc>
        <w:tc>
          <w:tcPr>
            <w:tcW w:w="7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58"/>
              <w:spacing w:after="0"/>
              <w:rPr>
                <w:sz w:val="20"/>
                <w:szCs w:val="20"/>
                <w:color w:val="auto"/>
              </w:rPr>
            </w:pPr>
            <w:r>
              <w:rPr>
                <w:rFonts w:ascii="Arial" w:cs="Arial" w:eastAsia="Arial" w:hAnsi="Arial"/>
                <w:sz w:val="32"/>
                <w:szCs w:val="32"/>
                <w:b w:val="1"/>
                <w:bCs w:val="1"/>
                <w:color w:val="auto"/>
                <w:w w:val="89"/>
              </w:rPr>
              <w:t>7</w:t>
            </w:r>
          </w:p>
        </w:tc>
        <w:tc>
          <w:tcPr>
            <w:tcW w:w="766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58"/>
              <w:spacing w:after="0"/>
              <w:rPr>
                <w:sz w:val="20"/>
                <w:szCs w:val="20"/>
                <w:color w:val="auto"/>
              </w:rPr>
            </w:pPr>
            <w:r>
              <w:rPr>
                <w:rFonts w:ascii="Arial" w:cs="Arial" w:eastAsia="Arial" w:hAnsi="Arial"/>
                <w:sz w:val="32"/>
                <w:szCs w:val="32"/>
                <w:b w:val="1"/>
                <w:bCs w:val="1"/>
                <w:color w:val="auto"/>
                <w:w w:val="89"/>
              </w:rPr>
              <w:t>8</w:t>
            </w:r>
          </w:p>
        </w:tc>
        <w:tc>
          <w:tcPr>
            <w:tcW w:w="766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60" w:type="dxa"/>
            <w:vAlign w:val="bottom"/>
            <w:tcBorders>
              <w:left w:val="single" w:sz="8" w:color="auto"/>
              <w:right w:val="single" w:sz="8" w:color="auto"/>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right w:val="single" w:sz="8" w:color="auto"/>
            </w:tcBorders>
            <w:vMerge w:val="continue"/>
          </w:tcPr>
          <w:p>
            <w:pPr>
              <w:spacing w:after="0"/>
              <w:rPr>
                <w:sz w:val="21"/>
                <w:szCs w:val="21"/>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8,474,881 (1)</w:t>
            </w: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gridSpan w:val="2"/>
          </w:tcPr>
          <w:p>
            <w:pPr>
              <w:jc w:val="center"/>
              <w:spacing w:after="0" w:line="162" w:lineRule="exact"/>
              <w:rPr>
                <w:sz w:val="20"/>
                <w:szCs w:val="20"/>
                <w:color w:val="auto"/>
              </w:rPr>
            </w:pPr>
            <w:r>
              <w:rPr>
                <w:rFonts w:ascii="Arial" w:cs="Arial" w:eastAsia="Arial" w:hAnsi="Arial"/>
                <w:sz w:val="18"/>
                <w:szCs w:val="18"/>
                <w:b w:val="1"/>
                <w:bCs w:val="1"/>
                <w:color w:val="auto"/>
              </w:rPr>
              <w:t>BENEFICIALLY OWNED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200" w:type="dxa"/>
            <w:vAlign w:val="bottom"/>
          </w:tcPr>
          <w:p>
            <w:pPr>
              <w:spacing w:after="0"/>
              <w:rPr>
                <w:sz w:val="16"/>
                <w:szCs w:val="16"/>
                <w:color w:val="auto"/>
              </w:rPr>
            </w:pPr>
          </w:p>
        </w:tc>
        <w:tc>
          <w:tcPr>
            <w:tcW w:w="700" w:type="dxa"/>
            <w:vAlign w:val="bottom"/>
            <w:tcBorders>
              <w:right w:val="single" w:sz="8" w:color="auto"/>
            </w:tcBorders>
            <w:vMerge w:val="restart"/>
          </w:tcPr>
          <w:p>
            <w:pPr>
              <w:jc w:val="center"/>
              <w:ind w:right="58"/>
              <w:spacing w:after="0" w:line="364" w:lineRule="exact"/>
              <w:rPr>
                <w:sz w:val="20"/>
                <w:szCs w:val="20"/>
                <w:color w:val="auto"/>
              </w:rPr>
            </w:pPr>
            <w:r>
              <w:rPr>
                <w:rFonts w:ascii="Arial" w:cs="Arial" w:eastAsia="Arial" w:hAnsi="Arial"/>
                <w:sz w:val="32"/>
                <w:szCs w:val="32"/>
                <w:b w:val="1"/>
                <w:bCs w:val="1"/>
                <w:color w:val="auto"/>
                <w:w w:val="89"/>
              </w:rPr>
              <w:t>9</w:t>
            </w:r>
          </w:p>
        </w:tc>
        <w:tc>
          <w:tcPr>
            <w:tcW w:w="7660" w:type="dxa"/>
            <w:vAlign w:val="bottom"/>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200" w:type="dxa"/>
            <w:vAlign w:val="bottom"/>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7660" w:type="dxa"/>
            <w:vAlign w:val="bottom"/>
          </w:tcPr>
          <w:p>
            <w:pPr>
              <w:ind w:left="60"/>
              <w:spacing w:after="0" w:line="181" w:lineRule="exact"/>
              <w:rPr>
                <w:sz w:val="20"/>
                <w:szCs w:val="20"/>
                <w:color w:val="auto"/>
              </w:rPr>
            </w:pPr>
            <w:r>
              <w:rPr>
                <w:rFonts w:ascii="Arial" w:cs="Arial" w:eastAsia="Arial" w:hAnsi="Arial"/>
                <w:sz w:val="18"/>
                <w:szCs w:val="18"/>
                <w:color w:val="auto"/>
              </w:rPr>
              <w:t>0</w:t>
            </w: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66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58"/>
              <w:spacing w:after="0"/>
              <w:rPr>
                <w:sz w:val="20"/>
                <w:szCs w:val="20"/>
                <w:color w:val="auto"/>
              </w:rPr>
            </w:pPr>
            <w:r>
              <w:rPr>
                <w:rFonts w:ascii="Arial" w:cs="Arial" w:eastAsia="Arial" w:hAnsi="Arial"/>
                <w:sz w:val="32"/>
                <w:szCs w:val="32"/>
                <w:b w:val="1"/>
                <w:bCs w:val="1"/>
                <w:color w:val="auto"/>
                <w:w w:val="89"/>
              </w:rPr>
              <w:t>10</w:t>
            </w:r>
          </w:p>
        </w:tc>
        <w:tc>
          <w:tcPr>
            <w:tcW w:w="766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8,474,881 (1)</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gridSpan w:val="2"/>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95"/>
              </w:rPr>
              <w:t>8,474,881 (1)</w:t>
            </w:r>
          </w:p>
        </w:tc>
        <w:tc>
          <w:tcPr>
            <w:tcW w:w="7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w w:val="99"/>
              </w:rPr>
              <w:t>CHECK BOX IF THE AGGREGATE AMOUNT IN ROW (11) EXCLUDES CERTAIN SHARES (SEE INSTRUCTIONS)</w:t>
            </w:r>
          </w:p>
        </w:tc>
        <w:tc>
          <w:tcPr>
            <w:tcW w:w="4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vMerge w:val="continue"/>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76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13</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27.5% (2)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14</w:t>
            </w: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7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right="36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amount includes 11,717 Shares that the Reporting Person has the right to acquire upon exercise of options exercisable within 60 days of the date of this filing.</w:t>
      </w:r>
    </w:p>
    <w:p>
      <w:pPr>
        <w:spacing w:after="0" w:line="197" w:lineRule="exact"/>
        <w:rPr>
          <w:rFonts w:ascii="Arial" w:cs="Arial" w:eastAsia="Arial" w:hAnsi="Arial"/>
          <w:sz w:val="18"/>
          <w:szCs w:val="18"/>
          <w:color w:val="auto"/>
        </w:rPr>
      </w:pPr>
    </w:p>
    <w:p>
      <w:pPr>
        <w:ind w:left="1300" w:right="120" w:hanging="644"/>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percentage is based on the sum of approximately 30,784,278 Shares outstanding, based on information from the Issuer, plus 11,717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80" w:type="dxa"/>
            <w:vAlign w:val="bottom"/>
          </w:tcPr>
          <w:p>
            <w:pPr>
              <w:ind w:left="1040"/>
              <w:spacing w:after="0"/>
              <w:rPr>
                <w:sz w:val="20"/>
                <w:szCs w:val="20"/>
                <w:color w:val="auto"/>
              </w:rPr>
            </w:pPr>
            <w:r>
              <w:rPr>
                <w:rFonts w:ascii="Arial" w:cs="Arial" w:eastAsia="Arial" w:hAnsi="Arial"/>
                <w:sz w:val="18"/>
                <w:szCs w:val="18"/>
                <w:color w:val="auto"/>
              </w:rPr>
              <w:t>SCHEDULE 13D</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6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Page 3 of 5 Pages</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9440" w:type="dxa"/>
            <w:vAlign w:val="bottom"/>
            <w:tcBorders>
              <w:bottom w:val="single" w:sz="8" w:color="auto"/>
            </w:tcBorders>
            <w:gridSpan w:val="5"/>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2560" w:type="dxa"/>
            <w:vAlign w:val="bottom"/>
            <w:gridSpan w:val="4"/>
          </w:tcPr>
          <w:p>
            <w:pPr>
              <w:ind w:left="40"/>
              <w:spacing w:after="0"/>
              <w:rPr>
                <w:sz w:val="20"/>
                <w:szCs w:val="20"/>
                <w:color w:val="auto"/>
              </w:rPr>
            </w:pPr>
            <w:r>
              <w:rPr>
                <w:rFonts w:ascii="Arial" w:cs="Arial" w:eastAsia="Arial" w:hAnsi="Arial"/>
                <w:sz w:val="18"/>
                <w:szCs w:val="18"/>
                <w:color w:val="auto"/>
              </w:rPr>
              <w:t>Jack W. Schuler Living Trust</w:t>
            </w: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9440" w:type="dxa"/>
            <w:vAlign w:val="bottom"/>
            <w:tcBorders>
              <w:bottom w:val="single" w:sz="8" w:color="auto"/>
            </w:tcBorders>
            <w:gridSpan w:val="5"/>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9440" w:type="dxa"/>
            <w:vAlign w:val="bottom"/>
            <w:gridSpan w:val="5"/>
          </w:tcPr>
          <w:p>
            <w:pPr>
              <w:spacing w:after="0" w:line="169"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4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w w:val="94"/>
              </w:rPr>
              <w:t>(a)</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345"/>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4"/>
              </w:rPr>
              <w:t>(b)</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78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780" w:type="dxa"/>
            <w:vAlign w:val="bottom"/>
            <w:shd w:val="clear" w:color="auto" w:fill="BFBFBF"/>
          </w:tcPr>
          <w:p>
            <w:pPr>
              <w:spacing w:after="0"/>
              <w:rPr>
                <w:sz w:val="18"/>
                <w:szCs w:val="18"/>
                <w:color w:val="auto"/>
              </w:rPr>
            </w:pPr>
          </w:p>
        </w:tc>
        <w:tc>
          <w:tcPr>
            <w:tcW w:w="6880" w:type="dxa"/>
            <w:vAlign w:val="bottom"/>
            <w:shd w:val="clear" w:color="auto" w:fill="BFBFBF"/>
          </w:tcPr>
          <w:p>
            <w:pPr>
              <w:spacing w:after="0"/>
              <w:rPr>
                <w:sz w:val="18"/>
                <w:szCs w:val="18"/>
                <w:color w:val="auto"/>
              </w:rPr>
            </w:pPr>
          </w:p>
        </w:tc>
        <w:tc>
          <w:tcPr>
            <w:tcW w:w="4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continue"/>
          </w:tcPr>
          <w:p>
            <w:pPr>
              <w:spacing w:after="0"/>
              <w:rPr>
                <w:sz w:val="18"/>
                <w:szCs w:val="18"/>
                <w:color w:val="auto"/>
              </w:rPr>
            </w:pPr>
          </w:p>
        </w:tc>
        <w:tc>
          <w:tcPr>
            <w:tcW w:w="880" w:type="dxa"/>
            <w:vAlign w:val="bottom"/>
            <w:tcBorders>
              <w:right w:val="single" w:sz="8" w:color="BFBFBF"/>
            </w:tcBorders>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700" w:type="dxa"/>
            <w:vAlign w:val="bottom"/>
            <w:tcBorders>
              <w:right w:val="single" w:sz="8" w:color="BFBFBF"/>
            </w:tcBorders>
            <w:shd w:val="clear" w:color="auto" w:fill="BFBFBF"/>
          </w:tcPr>
          <w:p>
            <w:pPr>
              <w:spacing w:after="0"/>
              <w:rPr>
                <w:sz w:val="18"/>
                <w:szCs w:val="18"/>
                <w:color w:val="auto"/>
              </w:rPr>
            </w:pPr>
          </w:p>
        </w:tc>
        <w:tc>
          <w:tcPr>
            <w:tcW w:w="780" w:type="dxa"/>
            <w:vAlign w:val="bottom"/>
            <w:shd w:val="clear" w:color="auto" w:fill="BFBFBF"/>
          </w:tcPr>
          <w:p>
            <w:pPr>
              <w:spacing w:after="0"/>
              <w:rPr>
                <w:sz w:val="18"/>
                <w:szCs w:val="18"/>
                <w:color w:val="auto"/>
              </w:rPr>
            </w:pPr>
          </w:p>
        </w:tc>
        <w:tc>
          <w:tcPr>
            <w:tcW w:w="6880" w:type="dxa"/>
            <w:vAlign w:val="bottom"/>
            <w:shd w:val="clear" w:color="auto" w:fill="BFBFBF"/>
          </w:tcPr>
          <w:p>
            <w:pPr>
              <w:spacing w:after="0"/>
              <w:rPr>
                <w:sz w:val="18"/>
                <w:szCs w:val="18"/>
                <w:color w:val="auto"/>
              </w:rPr>
            </w:pPr>
          </w:p>
        </w:tc>
        <w:tc>
          <w:tcPr>
            <w:tcW w:w="4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BFBFBF"/>
            </w:tcBorders>
            <w:shd w:val="clear" w:color="auto" w:fill="BFBFBF"/>
          </w:tcPr>
          <w:p>
            <w:pPr>
              <w:spacing w:after="0"/>
              <w:rPr>
                <w:sz w:val="19"/>
                <w:szCs w:val="19"/>
                <w:color w:val="auto"/>
              </w:rPr>
            </w:pPr>
          </w:p>
        </w:tc>
        <w:tc>
          <w:tcPr>
            <w:tcW w:w="200" w:type="dxa"/>
            <w:vAlign w:val="bottom"/>
            <w:tcBorders>
              <w:bottom w:val="single" w:sz="8" w:color="auto"/>
            </w:tcBorders>
            <w:shd w:val="clear" w:color="auto" w:fill="BFBFBF"/>
          </w:tcPr>
          <w:p>
            <w:pPr>
              <w:spacing w:after="0"/>
              <w:rPr>
                <w:sz w:val="19"/>
                <w:szCs w:val="19"/>
                <w:color w:val="auto"/>
              </w:rPr>
            </w:pPr>
          </w:p>
        </w:tc>
        <w:tc>
          <w:tcPr>
            <w:tcW w:w="700" w:type="dxa"/>
            <w:vAlign w:val="bottom"/>
            <w:tcBorders>
              <w:bottom w:val="single" w:sz="8" w:color="auto"/>
              <w:right w:val="single" w:sz="8" w:color="BFBFBF"/>
            </w:tcBorders>
            <w:shd w:val="clear" w:color="auto" w:fill="BFBFBF"/>
          </w:tcPr>
          <w:p>
            <w:pPr>
              <w:spacing w:after="0"/>
              <w:rPr>
                <w:sz w:val="19"/>
                <w:szCs w:val="19"/>
                <w:color w:val="auto"/>
              </w:rPr>
            </w:pPr>
          </w:p>
        </w:tc>
        <w:tc>
          <w:tcPr>
            <w:tcW w:w="780" w:type="dxa"/>
            <w:vAlign w:val="bottom"/>
            <w:tcBorders>
              <w:bottom w:val="single" w:sz="8" w:color="auto"/>
            </w:tcBorders>
            <w:shd w:val="clear" w:color="auto" w:fill="BFBFBF"/>
          </w:tcPr>
          <w:p>
            <w:pPr>
              <w:spacing w:after="0"/>
              <w:rPr>
                <w:sz w:val="19"/>
                <w:szCs w:val="19"/>
                <w:color w:val="auto"/>
              </w:rPr>
            </w:pPr>
          </w:p>
        </w:tc>
        <w:tc>
          <w:tcPr>
            <w:tcW w:w="6880" w:type="dxa"/>
            <w:vAlign w:val="bottom"/>
            <w:tcBorders>
              <w:bottom w:val="single" w:sz="8" w:color="auto"/>
            </w:tcBorders>
            <w:shd w:val="clear" w:color="auto" w:fill="BFBFBF"/>
          </w:tcPr>
          <w:p>
            <w:pPr>
              <w:spacing w:after="0"/>
              <w:rPr>
                <w:sz w:val="19"/>
                <w:szCs w:val="19"/>
                <w:color w:val="auto"/>
              </w:rPr>
            </w:pPr>
          </w:p>
        </w:tc>
        <w:tc>
          <w:tcPr>
            <w:tcW w:w="420" w:type="dxa"/>
            <w:vAlign w:val="bottom"/>
            <w:tcBorders>
              <w:bottom w:val="single" w:sz="8" w:color="auto"/>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WC</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9440" w:type="dxa"/>
            <w:vAlign w:val="bottom"/>
            <w:tcBorders>
              <w:bottom w:val="single" w:sz="8" w:color="auto"/>
            </w:tcBorders>
            <w:gridSpan w:val="5"/>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5</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4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vMerge w:val="continue"/>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9440" w:type="dxa"/>
            <w:vAlign w:val="bottom"/>
            <w:tcBorders>
              <w:bottom w:val="single" w:sz="8" w:color="auto"/>
            </w:tcBorders>
            <w:gridSpan w:val="5"/>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6</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w w:val="94"/>
              </w:rPr>
              <w:t>United States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58"/>
              <w:spacing w:after="0"/>
              <w:rPr>
                <w:sz w:val="20"/>
                <w:szCs w:val="20"/>
                <w:color w:val="auto"/>
              </w:rPr>
            </w:pPr>
            <w:r>
              <w:rPr>
                <w:rFonts w:ascii="Arial" w:cs="Arial" w:eastAsia="Arial" w:hAnsi="Arial"/>
                <w:sz w:val="32"/>
                <w:szCs w:val="32"/>
                <w:b w:val="1"/>
                <w:bCs w:val="1"/>
                <w:color w:val="auto"/>
                <w:w w:val="89"/>
              </w:rPr>
              <w:t>7</w:t>
            </w: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rPr>
              <w:t>0</w:t>
            </w: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66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58"/>
              <w:spacing w:after="0"/>
              <w:rPr>
                <w:sz w:val="20"/>
                <w:szCs w:val="20"/>
                <w:color w:val="auto"/>
              </w:rPr>
            </w:pPr>
            <w:r>
              <w:rPr>
                <w:rFonts w:ascii="Arial" w:cs="Arial" w:eastAsia="Arial" w:hAnsi="Arial"/>
                <w:sz w:val="32"/>
                <w:szCs w:val="32"/>
                <w:b w:val="1"/>
                <w:bCs w:val="1"/>
                <w:color w:val="auto"/>
                <w:w w:val="89"/>
              </w:rPr>
              <w:t>8</w:t>
            </w: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60" w:type="dxa"/>
            <w:vAlign w:val="bottom"/>
            <w:tcBorders>
              <w:left w:val="single" w:sz="8" w:color="auto"/>
              <w:right w:val="single" w:sz="8" w:color="auto"/>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right w:val="single" w:sz="8" w:color="auto"/>
            </w:tcBorders>
            <w:vMerge w:val="continue"/>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7"/>
              </w:rPr>
              <w:t>8,463,164</w:t>
            </w:r>
          </w:p>
        </w:tc>
        <w:tc>
          <w:tcPr>
            <w:tcW w:w="688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gridSpan w:val="2"/>
          </w:tcPr>
          <w:p>
            <w:pPr>
              <w:jc w:val="center"/>
              <w:spacing w:after="0" w:line="162" w:lineRule="exact"/>
              <w:rPr>
                <w:sz w:val="20"/>
                <w:szCs w:val="20"/>
                <w:color w:val="auto"/>
              </w:rPr>
            </w:pPr>
            <w:r>
              <w:rPr>
                <w:rFonts w:ascii="Arial" w:cs="Arial" w:eastAsia="Arial" w:hAnsi="Arial"/>
                <w:sz w:val="18"/>
                <w:szCs w:val="18"/>
                <w:b w:val="1"/>
                <w:bCs w:val="1"/>
                <w:color w:val="auto"/>
              </w:rPr>
              <w:t>BENEFICIALLY OWNED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200" w:type="dxa"/>
            <w:vAlign w:val="bottom"/>
          </w:tcPr>
          <w:p>
            <w:pPr>
              <w:spacing w:after="0"/>
              <w:rPr>
                <w:sz w:val="16"/>
                <w:szCs w:val="16"/>
                <w:color w:val="auto"/>
              </w:rPr>
            </w:pPr>
          </w:p>
        </w:tc>
        <w:tc>
          <w:tcPr>
            <w:tcW w:w="700" w:type="dxa"/>
            <w:vAlign w:val="bottom"/>
            <w:tcBorders>
              <w:right w:val="single" w:sz="8" w:color="auto"/>
            </w:tcBorders>
            <w:vMerge w:val="restart"/>
          </w:tcPr>
          <w:p>
            <w:pPr>
              <w:jc w:val="center"/>
              <w:ind w:right="58"/>
              <w:spacing w:after="0" w:line="364" w:lineRule="exact"/>
              <w:rPr>
                <w:sz w:val="20"/>
                <w:szCs w:val="20"/>
                <w:color w:val="auto"/>
              </w:rPr>
            </w:pPr>
            <w:r>
              <w:rPr>
                <w:rFonts w:ascii="Arial" w:cs="Arial" w:eastAsia="Arial" w:hAnsi="Arial"/>
                <w:sz w:val="32"/>
                <w:szCs w:val="32"/>
                <w:b w:val="1"/>
                <w:bCs w:val="1"/>
                <w:color w:val="auto"/>
                <w:w w:val="89"/>
              </w:rPr>
              <w:t>9</w:t>
            </w:r>
          </w:p>
        </w:tc>
        <w:tc>
          <w:tcPr>
            <w:tcW w:w="766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200" w:type="dxa"/>
            <w:vAlign w:val="bottom"/>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780" w:type="dxa"/>
            <w:vAlign w:val="bottom"/>
          </w:tcPr>
          <w:p>
            <w:pPr>
              <w:ind w:left="60"/>
              <w:spacing w:after="0" w:line="181" w:lineRule="exact"/>
              <w:rPr>
                <w:sz w:val="20"/>
                <w:szCs w:val="20"/>
                <w:color w:val="auto"/>
              </w:rPr>
            </w:pPr>
            <w:r>
              <w:rPr>
                <w:rFonts w:ascii="Arial" w:cs="Arial" w:eastAsia="Arial" w:hAnsi="Arial"/>
                <w:sz w:val="18"/>
                <w:szCs w:val="18"/>
                <w:color w:val="auto"/>
              </w:rPr>
              <w:t>0</w:t>
            </w:r>
          </w:p>
        </w:tc>
        <w:tc>
          <w:tcPr>
            <w:tcW w:w="688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tcPr>
          <w:p>
            <w:pPr>
              <w:jc w:val="center"/>
              <w:ind w:right="58"/>
              <w:spacing w:after="0"/>
              <w:rPr>
                <w:sz w:val="20"/>
                <w:szCs w:val="20"/>
                <w:color w:val="auto"/>
              </w:rPr>
            </w:pPr>
            <w:r>
              <w:rPr>
                <w:rFonts w:ascii="Arial" w:cs="Arial" w:eastAsia="Arial" w:hAnsi="Arial"/>
                <w:sz w:val="32"/>
                <w:szCs w:val="32"/>
                <w:b w:val="1"/>
                <w:bCs w:val="1"/>
                <w:color w:val="auto"/>
                <w:w w:val="89"/>
              </w:rPr>
              <w:t>10</w:t>
            </w:r>
          </w:p>
        </w:tc>
        <w:tc>
          <w:tcPr>
            <w:tcW w:w="780" w:type="dxa"/>
            <w:vAlign w:val="bottom"/>
          </w:tcPr>
          <w:p>
            <w:pPr>
              <w:spacing w:after="0"/>
              <w:rPr>
                <w:sz w:val="20"/>
                <w:szCs w:val="20"/>
                <w:color w:val="auto"/>
              </w:rPr>
            </w:pPr>
            <w:r>
              <w:rPr>
                <w:rFonts w:ascii="Arial" w:cs="Arial" w:eastAsia="Arial" w:hAnsi="Arial"/>
                <w:sz w:val="19"/>
                <w:szCs w:val="19"/>
                <w:b w:val="1"/>
                <w:bCs w:val="1"/>
                <w:color w:val="auto"/>
                <w:w w:val="71"/>
                <w:vertAlign w:val="superscript"/>
              </w:rPr>
              <w:t>SHARED</w:t>
            </w:r>
            <w:r>
              <w:rPr>
                <w:rFonts w:ascii="Arial" w:cs="Arial" w:eastAsia="Arial" w:hAnsi="Arial"/>
                <w:sz w:val="12"/>
                <w:szCs w:val="12"/>
                <w:color w:val="auto"/>
                <w:w w:val="71"/>
              </w:rPr>
              <w:t>8,463,164</w:t>
            </w:r>
          </w:p>
        </w:tc>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DISPOSITIVE POWER</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gridSpan w:val="2"/>
          </w:tcPr>
          <w:p>
            <w:pPr>
              <w:spacing w:after="0"/>
              <w:rPr>
                <w:sz w:val="10"/>
                <w:szCs w:val="10"/>
                <w:color w:val="auto"/>
              </w:rPr>
            </w:pPr>
          </w:p>
        </w:tc>
        <w:tc>
          <w:tcPr>
            <w:tcW w:w="766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9"/>
              </w:rPr>
              <w:t>8,463,164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766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w w:val="99"/>
              </w:rPr>
              <w:t>CHECK BOX IF THE AGGREGATE AMOUNT IN ROW (11) EXCLUDES CERTAIN SHARES (SEE INSTRUCTIONS)</w:t>
            </w:r>
          </w:p>
        </w:tc>
        <w:tc>
          <w:tcPr>
            <w:tcW w:w="4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vMerge w:val="continue"/>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766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13</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27.5% (1)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7660" w:type="dxa"/>
            <w:vAlign w:val="bottom"/>
            <w:tcBorders>
              <w:bottom w:val="single" w:sz="8" w:color="auto"/>
            </w:tcBorders>
            <w:gridSpan w:val="2"/>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14</w:t>
            </w:r>
          </w:p>
        </w:tc>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based on approximately 30,784,278 Shares outstanding, based on information from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4 of 5 Pages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1 of the Schedule 13D is hereby amended and supplemented as follows:</w:t>
      </w:r>
    </w:p>
    <w:p>
      <w:pPr>
        <w:spacing w:after="0" w:line="23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This Amendment No. 1 to Schedule 13D (“Amendment No. 1”) is being filed by the undersigned, pursuant to §240.13d-2(a), to amend and supplement the Schedule 13D filed with the U.S. Securities and Exchange Commission (the “SEC”) on November 9, 2020, (the “Initial Schedule 13D” and together with this Amendment No. 1, the “Schedule 13D”), with respect to the common stock, par value $0.001 per share (the “Shares”), of Biodesix, Inc. (the “Issuer” or the “Company”), whose principal executive offices are located at 2970 Wilderness Place, Suite 100, Boulder, Colorado 80301.</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3 of the Schedule 13D is hereby amended and supplemented as follows:</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On December 30, 2021, Mr. Schuler, through the Trust, purchased 2,298,850 Shares, at a price of $4.35 per Share, directly from the Issuer in a registered at-the-market offering, for an aggregate purchase price of $9,999,997.50. The source of funds for these purchases was Mr. Schuler’s personal funds.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5(a) – (c) of the Schedule 13D is hereby amended and supplemented as follows:</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(a, b) As of December 30, 2021 and the date hereof, Mr. Schuler may be deemed to beneficially own, in the aggregate, 8,474,881 Shares, which represents approximately 27.5% of the Shares outstanding.</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Mr. Schuler’s beneficial ownership consists of (1) 11,717 Shares that Mr. Schuler has the right to acquire upon exercise of options exercisable within 60 days of the date of this filing and (2) 8,463,164 held by the Trust, representing approximately 27.5% of the Shares outstanding.</w:t>
      </w:r>
    </w:p>
    <w:p>
      <w:pPr>
        <w:spacing w:after="0" w:line="21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foregoing beneficial ownership percentages are based on approximately 30,784,278 Shares outstanding as of the date of this filing, based on information from the Issuer, plus, for purposes of calculating Mr. Schuler’s beneficial ownership percentage, 11,717 Shares that Mr. Schuler has the right to acquire upon exercise of options exercisable within 60 days of the date of this filing.</w:t>
      </w:r>
    </w:p>
    <w:p>
      <w:pPr>
        <w:spacing w:after="0" w:line="21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As sole trustee of the Trust, Mr. Schuler shares with the Trust the power to vote or direct the vote, and the power to dispose or direct the disposition of, the 8,463,164 Shares beneficially owned by the Trust.</w:t>
      </w:r>
    </w:p>
    <w:p>
      <w:pPr>
        <w:spacing w:after="0" w:line="202" w:lineRule="exact"/>
        <w:rPr>
          <w:sz w:val="20"/>
          <w:szCs w:val="20"/>
          <w:color w:val="auto"/>
        </w:rPr>
      </w:pPr>
    </w:p>
    <w:p>
      <w:pPr>
        <w:jc w:val="both"/>
        <w:ind w:firstLine="1304"/>
        <w:spacing w:after="0" w:line="238" w:lineRule="auto"/>
        <w:tabs>
          <w:tab w:leader="none" w:pos="1617"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response to Item 3 of this Schedule 13D is incorporated by reference herein. Effective December 27, 2021, Mr. Schuler no longer exercises voting or dispositive control over the 277,777 Shares previously reported as beneficially owned by Mr. Schuler through the Foundation. In addition, the Reporting Persons effected the following transactions in Shares, in the open-market through a broker, within the past 60 days: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80" w:type="dxa"/>
            <w:vAlign w:val="bottom"/>
            <w:tcBorders>
              <w:top w:val="single" w:sz="8" w:color="auto"/>
              <w:left w:val="single" w:sz="8" w:color="auto"/>
              <w:right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Date</w:t>
            </w:r>
          </w:p>
        </w:tc>
        <w:tc>
          <w:tcPr>
            <w:tcW w:w="278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Quantity Purchased or (Sold)</w:t>
            </w:r>
          </w:p>
        </w:tc>
        <w:tc>
          <w:tcPr>
            <w:tcW w:w="2760" w:type="dxa"/>
            <w:vAlign w:val="bottom"/>
            <w:tcBorders>
              <w:top w:val="single" w:sz="8" w:color="auto"/>
              <w:right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Price</w:t>
            </w:r>
          </w:p>
        </w:tc>
      </w:tr>
      <w:tr>
        <w:trPr>
          <w:trHeight w:val="34"/>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82"/>
        </w:trPr>
        <w:tc>
          <w:tcPr>
            <w:tcW w:w="28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Trust</w:t>
            </w:r>
          </w:p>
        </w:tc>
        <w:tc>
          <w:tcPr>
            <w:tcW w:w="2820" w:type="dxa"/>
            <w:vAlign w:val="bottom"/>
            <w:tcBorders>
              <w:bottom w:val="single" w:sz="8" w:color="CCEEFF"/>
              <w:right w:val="single" w:sz="8" w:color="auto"/>
            </w:tcBorders>
            <w:shd w:val="clear" w:color="auto" w:fill="CCEEFF"/>
          </w:tcPr>
          <w:p>
            <w:pPr>
              <w:jc w:val="right"/>
              <w:ind w:right="1890"/>
              <w:spacing w:after="0"/>
              <w:rPr>
                <w:sz w:val="20"/>
                <w:szCs w:val="20"/>
                <w:color w:val="auto"/>
              </w:rPr>
            </w:pPr>
            <w:r>
              <w:rPr>
                <w:rFonts w:ascii="Arial" w:cs="Arial" w:eastAsia="Arial" w:hAnsi="Arial"/>
                <w:sz w:val="18"/>
                <w:szCs w:val="18"/>
                <w:color w:val="auto"/>
                <w:w w:val="90"/>
              </w:rPr>
              <w:t>11/17/2021</w:t>
            </w:r>
          </w:p>
        </w:tc>
        <w:tc>
          <w:tcPr>
            <w:tcW w:w="2780" w:type="dxa"/>
            <w:vAlign w:val="bottom"/>
            <w:tcBorders>
              <w:bottom w:val="single" w:sz="8" w:color="CCEEFF"/>
              <w:right w:val="single" w:sz="8" w:color="auto"/>
            </w:tcBorders>
            <w:shd w:val="clear" w:color="auto" w:fill="CCEEFF"/>
          </w:tcPr>
          <w:p>
            <w:pPr>
              <w:jc w:val="right"/>
              <w:ind w:right="2170"/>
              <w:spacing w:after="0"/>
              <w:rPr>
                <w:sz w:val="20"/>
                <w:szCs w:val="20"/>
                <w:color w:val="auto"/>
              </w:rPr>
            </w:pPr>
            <w:r>
              <w:rPr>
                <w:rFonts w:ascii="Arial" w:cs="Arial" w:eastAsia="Arial" w:hAnsi="Arial"/>
                <w:sz w:val="18"/>
                <w:szCs w:val="18"/>
                <w:color w:val="auto"/>
                <w:w w:val="90"/>
              </w:rPr>
              <w:t>20,000</w:t>
            </w:r>
          </w:p>
        </w:tc>
        <w:tc>
          <w:tcPr>
            <w:tcW w:w="2760" w:type="dxa"/>
            <w:vAlign w:val="bottom"/>
            <w:tcBorders>
              <w:bottom w:val="single" w:sz="8" w:color="CCEEFF"/>
              <w:right w:val="single" w:sz="8" w:color="auto"/>
            </w:tcBorders>
            <w:shd w:val="clear" w:color="auto" w:fill="CCEEFF"/>
          </w:tcPr>
          <w:p>
            <w:pPr>
              <w:jc w:val="right"/>
              <w:ind w:right="1850"/>
              <w:spacing w:after="0"/>
              <w:rPr>
                <w:sz w:val="20"/>
                <w:szCs w:val="20"/>
                <w:color w:val="auto"/>
              </w:rPr>
            </w:pPr>
            <w:r>
              <w:rPr>
                <w:rFonts w:ascii="Arial" w:cs="Arial" w:eastAsia="Arial" w:hAnsi="Arial"/>
                <w:sz w:val="18"/>
                <w:szCs w:val="18"/>
                <w:color w:val="auto"/>
                <w:w w:val="91"/>
              </w:rPr>
              <w:t>$6.5052(1)</w:t>
            </w:r>
          </w:p>
        </w:tc>
      </w:tr>
      <w:tr>
        <w:trPr>
          <w:trHeight w:val="282"/>
        </w:trPr>
        <w:tc>
          <w:tcPr>
            <w:tcW w:w="2880" w:type="dxa"/>
            <w:vAlign w:val="bottom"/>
            <w:tcBorders>
              <w:top w:val="single" w:sz="8" w:color="auto"/>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Trust</w:t>
            </w:r>
          </w:p>
        </w:tc>
        <w:tc>
          <w:tcPr>
            <w:tcW w:w="2820" w:type="dxa"/>
            <w:vAlign w:val="bottom"/>
            <w:tcBorders>
              <w:top w:val="single" w:sz="8" w:color="auto"/>
              <w:bottom w:val="single" w:sz="8" w:color="CCEEFF"/>
              <w:right w:val="single" w:sz="8" w:color="auto"/>
            </w:tcBorders>
            <w:shd w:val="clear" w:color="auto" w:fill="CCEEFF"/>
          </w:tcPr>
          <w:p>
            <w:pPr>
              <w:jc w:val="right"/>
              <w:ind w:right="1890"/>
              <w:spacing w:after="0"/>
              <w:rPr>
                <w:sz w:val="20"/>
                <w:szCs w:val="20"/>
                <w:color w:val="auto"/>
              </w:rPr>
            </w:pPr>
            <w:r>
              <w:rPr>
                <w:rFonts w:ascii="Arial" w:cs="Arial" w:eastAsia="Arial" w:hAnsi="Arial"/>
                <w:sz w:val="18"/>
                <w:szCs w:val="18"/>
                <w:color w:val="auto"/>
                <w:w w:val="90"/>
              </w:rPr>
              <w:t>11/18/2021</w:t>
            </w:r>
          </w:p>
        </w:tc>
        <w:tc>
          <w:tcPr>
            <w:tcW w:w="2780" w:type="dxa"/>
            <w:vAlign w:val="bottom"/>
            <w:tcBorders>
              <w:top w:val="single" w:sz="8" w:color="auto"/>
              <w:bottom w:val="single" w:sz="8" w:color="CCEEFF"/>
              <w:right w:val="single" w:sz="8" w:color="auto"/>
            </w:tcBorders>
            <w:shd w:val="clear" w:color="auto" w:fill="CCEEFF"/>
          </w:tcPr>
          <w:p>
            <w:pPr>
              <w:jc w:val="right"/>
              <w:ind w:right="2170"/>
              <w:spacing w:after="0"/>
              <w:rPr>
                <w:sz w:val="20"/>
                <w:szCs w:val="20"/>
                <w:color w:val="auto"/>
              </w:rPr>
            </w:pPr>
            <w:r>
              <w:rPr>
                <w:rFonts w:ascii="Arial" w:cs="Arial" w:eastAsia="Arial" w:hAnsi="Arial"/>
                <w:sz w:val="18"/>
                <w:szCs w:val="18"/>
                <w:color w:val="auto"/>
                <w:w w:val="90"/>
              </w:rPr>
              <w:t>28,361</w:t>
            </w:r>
          </w:p>
        </w:tc>
        <w:tc>
          <w:tcPr>
            <w:tcW w:w="2760" w:type="dxa"/>
            <w:vAlign w:val="bottom"/>
            <w:tcBorders>
              <w:top w:val="single" w:sz="8" w:color="auto"/>
              <w:bottom w:val="single" w:sz="8" w:color="CCEEFF"/>
              <w:right w:val="single" w:sz="8" w:color="auto"/>
            </w:tcBorders>
            <w:shd w:val="clear" w:color="auto" w:fill="CCEEFF"/>
          </w:tcPr>
          <w:p>
            <w:pPr>
              <w:jc w:val="right"/>
              <w:ind w:right="1850"/>
              <w:spacing w:after="0"/>
              <w:rPr>
                <w:sz w:val="20"/>
                <w:szCs w:val="20"/>
                <w:color w:val="auto"/>
              </w:rPr>
            </w:pPr>
            <w:r>
              <w:rPr>
                <w:rFonts w:ascii="Arial" w:cs="Arial" w:eastAsia="Arial" w:hAnsi="Arial"/>
                <w:sz w:val="18"/>
                <w:szCs w:val="18"/>
                <w:color w:val="auto"/>
                <w:w w:val="91"/>
              </w:rPr>
              <w:t>$6.3292(2)</w:t>
            </w:r>
          </w:p>
        </w:tc>
      </w:tr>
      <w:tr>
        <w:trPr>
          <w:trHeight w:val="282"/>
        </w:trPr>
        <w:tc>
          <w:tcPr>
            <w:tcW w:w="2880" w:type="dxa"/>
            <w:vAlign w:val="bottom"/>
            <w:tcBorders>
              <w:top w:val="single" w:sz="8" w:color="auto"/>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Trust</w:t>
            </w:r>
          </w:p>
        </w:tc>
        <w:tc>
          <w:tcPr>
            <w:tcW w:w="2820" w:type="dxa"/>
            <w:vAlign w:val="bottom"/>
            <w:tcBorders>
              <w:top w:val="single" w:sz="8" w:color="auto"/>
              <w:bottom w:val="single" w:sz="8" w:color="CCEEFF"/>
              <w:right w:val="single" w:sz="8" w:color="auto"/>
            </w:tcBorders>
            <w:shd w:val="clear" w:color="auto" w:fill="CCEEFF"/>
          </w:tcPr>
          <w:p>
            <w:pPr>
              <w:jc w:val="right"/>
              <w:ind w:right="1890"/>
              <w:spacing w:after="0"/>
              <w:rPr>
                <w:sz w:val="20"/>
                <w:szCs w:val="20"/>
                <w:color w:val="auto"/>
              </w:rPr>
            </w:pPr>
            <w:r>
              <w:rPr>
                <w:rFonts w:ascii="Arial" w:cs="Arial" w:eastAsia="Arial" w:hAnsi="Arial"/>
                <w:sz w:val="18"/>
                <w:szCs w:val="18"/>
                <w:color w:val="auto"/>
                <w:w w:val="90"/>
              </w:rPr>
              <w:t>11/19/2021</w:t>
            </w:r>
          </w:p>
        </w:tc>
        <w:tc>
          <w:tcPr>
            <w:tcW w:w="2780" w:type="dxa"/>
            <w:vAlign w:val="bottom"/>
            <w:tcBorders>
              <w:top w:val="single" w:sz="8" w:color="auto"/>
              <w:bottom w:val="single" w:sz="8" w:color="CCEEFF"/>
              <w:right w:val="single" w:sz="8" w:color="auto"/>
            </w:tcBorders>
            <w:shd w:val="clear" w:color="auto" w:fill="CCEEFF"/>
          </w:tcPr>
          <w:p>
            <w:pPr>
              <w:jc w:val="right"/>
              <w:ind w:right="2170"/>
              <w:spacing w:after="0"/>
              <w:rPr>
                <w:sz w:val="20"/>
                <w:szCs w:val="20"/>
                <w:color w:val="auto"/>
              </w:rPr>
            </w:pPr>
            <w:r>
              <w:rPr>
                <w:rFonts w:ascii="Arial" w:cs="Arial" w:eastAsia="Arial" w:hAnsi="Arial"/>
                <w:sz w:val="18"/>
                <w:szCs w:val="18"/>
                <w:color w:val="auto"/>
                <w:w w:val="90"/>
              </w:rPr>
              <w:t>60,000</w:t>
            </w:r>
          </w:p>
        </w:tc>
        <w:tc>
          <w:tcPr>
            <w:tcW w:w="2760" w:type="dxa"/>
            <w:vAlign w:val="bottom"/>
            <w:tcBorders>
              <w:top w:val="single" w:sz="8" w:color="auto"/>
              <w:bottom w:val="single" w:sz="8" w:color="CCEEFF"/>
              <w:right w:val="single" w:sz="8" w:color="auto"/>
            </w:tcBorders>
            <w:shd w:val="clear" w:color="auto" w:fill="CCEEFF"/>
          </w:tcPr>
          <w:p>
            <w:pPr>
              <w:jc w:val="right"/>
              <w:ind w:right="1850"/>
              <w:spacing w:after="0"/>
              <w:rPr>
                <w:sz w:val="20"/>
                <w:szCs w:val="20"/>
                <w:color w:val="auto"/>
              </w:rPr>
            </w:pPr>
            <w:r>
              <w:rPr>
                <w:rFonts w:ascii="Arial" w:cs="Arial" w:eastAsia="Arial" w:hAnsi="Arial"/>
                <w:sz w:val="18"/>
                <w:szCs w:val="18"/>
                <w:color w:val="auto"/>
                <w:w w:val="91"/>
              </w:rPr>
              <w:t>$6.5031(3)</w:t>
            </w:r>
          </w:p>
        </w:tc>
      </w:tr>
      <w:tr>
        <w:trPr>
          <w:trHeight w:val="250"/>
        </w:trPr>
        <w:tc>
          <w:tcPr>
            <w:tcW w:w="2880" w:type="dxa"/>
            <w:vAlign w:val="bottom"/>
            <w:tcBorders>
              <w:top w:val="single" w:sz="8" w:color="auto"/>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Trust</w:t>
            </w:r>
          </w:p>
        </w:tc>
        <w:tc>
          <w:tcPr>
            <w:tcW w:w="2820" w:type="dxa"/>
            <w:vAlign w:val="bottom"/>
            <w:tcBorders>
              <w:top w:val="single" w:sz="8" w:color="auto"/>
              <w:bottom w:val="single" w:sz="8" w:color="CCEEFF"/>
              <w:right w:val="single" w:sz="8" w:color="auto"/>
            </w:tcBorders>
            <w:shd w:val="clear" w:color="auto" w:fill="CCEEFF"/>
          </w:tcPr>
          <w:p>
            <w:pPr>
              <w:jc w:val="right"/>
              <w:ind w:right="1890"/>
              <w:spacing w:after="0"/>
              <w:rPr>
                <w:sz w:val="20"/>
                <w:szCs w:val="20"/>
                <w:color w:val="auto"/>
              </w:rPr>
            </w:pPr>
            <w:r>
              <w:rPr>
                <w:rFonts w:ascii="Arial" w:cs="Arial" w:eastAsia="Arial" w:hAnsi="Arial"/>
                <w:sz w:val="18"/>
                <w:szCs w:val="18"/>
                <w:color w:val="auto"/>
                <w:w w:val="90"/>
              </w:rPr>
              <w:t>11/22/2021</w:t>
            </w:r>
          </w:p>
        </w:tc>
        <w:tc>
          <w:tcPr>
            <w:tcW w:w="2780" w:type="dxa"/>
            <w:vAlign w:val="bottom"/>
            <w:tcBorders>
              <w:top w:val="single" w:sz="8" w:color="auto"/>
              <w:bottom w:val="single" w:sz="8" w:color="CCEEFF"/>
              <w:right w:val="single" w:sz="8" w:color="auto"/>
            </w:tcBorders>
            <w:shd w:val="clear" w:color="auto" w:fill="CCEEFF"/>
          </w:tcPr>
          <w:p>
            <w:pPr>
              <w:jc w:val="right"/>
              <w:ind w:right="2170"/>
              <w:spacing w:after="0"/>
              <w:rPr>
                <w:sz w:val="20"/>
                <w:szCs w:val="20"/>
                <w:color w:val="auto"/>
              </w:rPr>
            </w:pPr>
            <w:r>
              <w:rPr>
                <w:rFonts w:ascii="Arial" w:cs="Arial" w:eastAsia="Arial" w:hAnsi="Arial"/>
                <w:sz w:val="18"/>
                <w:szCs w:val="18"/>
                <w:color w:val="auto"/>
                <w:w w:val="90"/>
              </w:rPr>
              <w:t>20,000</w:t>
            </w:r>
          </w:p>
        </w:tc>
        <w:tc>
          <w:tcPr>
            <w:tcW w:w="2760" w:type="dxa"/>
            <w:vAlign w:val="bottom"/>
            <w:tcBorders>
              <w:top w:val="single" w:sz="8" w:color="auto"/>
              <w:bottom w:val="single" w:sz="8" w:color="CCEEFF"/>
              <w:right w:val="single" w:sz="8" w:color="auto"/>
            </w:tcBorders>
            <w:shd w:val="clear" w:color="auto" w:fill="CCEEFF"/>
          </w:tcPr>
          <w:p>
            <w:pPr>
              <w:jc w:val="right"/>
              <w:ind w:right="1850"/>
              <w:spacing w:after="0"/>
              <w:rPr>
                <w:sz w:val="20"/>
                <w:szCs w:val="20"/>
                <w:color w:val="auto"/>
              </w:rPr>
            </w:pPr>
            <w:r>
              <w:rPr>
                <w:rFonts w:ascii="Arial" w:cs="Arial" w:eastAsia="Arial" w:hAnsi="Arial"/>
                <w:sz w:val="18"/>
                <w:szCs w:val="18"/>
                <w:color w:val="auto"/>
                <w:w w:val="91"/>
              </w:rPr>
              <w:t>$6.3378(4)</w:t>
            </w:r>
          </w:p>
        </w:tc>
      </w:tr>
      <w:tr>
        <w:trPr>
          <w:trHeight w:val="27"/>
        </w:trPr>
        <w:tc>
          <w:tcPr>
            <w:tcW w:w="2880" w:type="dxa"/>
            <w:vAlign w:val="bottom"/>
            <w:tcBorders>
              <w:left w:val="single" w:sz="8" w:color="auto"/>
              <w:right w:val="single" w:sz="8" w:color="auto"/>
            </w:tcBorders>
            <w:shd w:val="clear" w:color="auto" w:fill="000000"/>
          </w:tcPr>
          <w:p>
            <w:pPr>
              <w:spacing w:after="0"/>
              <w:rPr>
                <w:sz w:val="2"/>
                <w:szCs w:val="2"/>
                <w:color w:val="auto"/>
              </w:rPr>
            </w:pPr>
          </w:p>
        </w:tc>
        <w:tc>
          <w:tcPr>
            <w:tcW w:w="2820" w:type="dxa"/>
            <w:vAlign w:val="bottom"/>
            <w:tcBorders>
              <w:right w:val="single" w:sz="8" w:color="auto"/>
            </w:tcBorders>
            <w:shd w:val="clear" w:color="auto" w:fill="000000"/>
          </w:tcPr>
          <w:p>
            <w:pPr>
              <w:spacing w:after="0"/>
              <w:rPr>
                <w:sz w:val="2"/>
                <w:szCs w:val="2"/>
                <w:color w:val="auto"/>
              </w:rPr>
            </w:pPr>
          </w:p>
        </w:tc>
        <w:tc>
          <w:tcPr>
            <w:tcW w:w="2780" w:type="dxa"/>
            <w:vAlign w:val="bottom"/>
            <w:tcBorders>
              <w:right w:val="single" w:sz="8" w:color="auto"/>
            </w:tcBorders>
            <w:shd w:val="clear" w:color="auto" w:fill="000000"/>
          </w:tcPr>
          <w:p>
            <w:pPr>
              <w:spacing w:after="0"/>
              <w:rPr>
                <w:sz w:val="2"/>
                <w:szCs w:val="2"/>
                <w:color w:val="auto"/>
              </w:rPr>
            </w:pPr>
          </w:p>
        </w:tc>
        <w:tc>
          <w:tcPr>
            <w:tcW w:w="2760" w:type="dxa"/>
            <w:vAlign w:val="bottom"/>
            <w:tcBorders>
              <w:right w:val="single" w:sz="8" w:color="auto"/>
            </w:tcBorders>
            <w:shd w:val="clear" w:color="auto" w:fill="000000"/>
          </w:tcPr>
          <w:p>
            <w:pPr>
              <w:spacing w:after="0"/>
              <w:rPr>
                <w:sz w:val="2"/>
                <w:szCs w:val="2"/>
                <w:color w:val="auto"/>
              </w:rPr>
            </w:pPr>
          </w:p>
        </w:tc>
      </w:tr>
    </w:tbl>
    <w:p>
      <w:pPr>
        <w:spacing w:after="0" w:line="222" w:lineRule="exact"/>
        <w:rPr>
          <w:sz w:val="20"/>
          <w:szCs w:val="20"/>
          <w:color w:val="auto"/>
        </w:rPr>
      </w:pPr>
    </w:p>
    <w:p>
      <w:pPr>
        <w:jc w:val="both"/>
        <w:ind w:firstLine="8"/>
        <w:spacing w:after="0" w:line="234" w:lineRule="auto"/>
        <w:tabs>
          <w:tab w:leader="none" w:pos="31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$6.23 to $6.64, inclusive. The Reporting Persons undertake to provide to the Issuer, any security holder of the Issuer, or the staff of the Securities and Exchange Commission, upon request, full information regarding the number of shares purchased at each separate price within the ranges set forth in footnotes (1) through (4).</w:t>
      </w:r>
    </w:p>
    <w:p>
      <w:pPr>
        <w:spacing w:after="0" w:line="3" w:lineRule="exact"/>
        <w:rPr>
          <w:rFonts w:ascii="Arial" w:cs="Arial" w:eastAsia="Arial" w:hAnsi="Arial"/>
          <w:sz w:val="22"/>
          <w:szCs w:val="22"/>
          <w:color w:val="auto"/>
        </w:rPr>
      </w:pPr>
    </w:p>
    <w:p>
      <w:pPr>
        <w:ind w:firstLine="8"/>
        <w:spacing w:after="0" w:line="230" w:lineRule="auto"/>
        <w:tabs>
          <w:tab w:leader="none" w:pos="31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$6.12 to $6.49, inclusive.</w:t>
      </w:r>
    </w:p>
    <w:p>
      <w:pPr>
        <w:spacing w:after="0" w:line="1" w:lineRule="exact"/>
        <w:rPr>
          <w:rFonts w:ascii="Arial" w:cs="Arial" w:eastAsia="Arial" w:hAnsi="Arial"/>
          <w:sz w:val="22"/>
          <w:szCs w:val="22"/>
          <w:color w:val="auto"/>
        </w:rPr>
      </w:pPr>
    </w:p>
    <w:p>
      <w:pPr>
        <w:ind w:firstLine="8"/>
        <w:spacing w:after="0" w:line="230" w:lineRule="auto"/>
        <w:tabs>
          <w:tab w:leader="none" w:pos="31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$6.44 to $6.53, inclusive.</w:t>
      </w:r>
    </w:p>
    <w:p>
      <w:pPr>
        <w:spacing w:after="0" w:line="1" w:lineRule="exact"/>
        <w:rPr>
          <w:rFonts w:ascii="Arial" w:cs="Arial" w:eastAsia="Arial" w:hAnsi="Arial"/>
          <w:sz w:val="22"/>
          <w:szCs w:val="22"/>
          <w:color w:val="auto"/>
        </w:rPr>
      </w:pPr>
    </w:p>
    <w:p>
      <w:pPr>
        <w:ind w:firstLine="8"/>
        <w:spacing w:after="0" w:line="236" w:lineRule="auto"/>
        <w:tabs>
          <w:tab w:leader="none" w:pos="31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$6.00 to $6.40,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92"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5 of 5 Pages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 Living Trust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Trustee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Schuler Family Foundation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January 28,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Attention: Intentional misstatements or omissions of 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2022-01-28T16:27:58Z</dcterms:created>
  <dcterms:modified xsi:type="dcterms:W3CDTF">2022-01-28T16:27:58Z</dcterms:modified>
</cp:coreProperties>
</file>