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14,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860" w:type="dxa"/>
            <w:vAlign w:val="bottom"/>
            <w:gridSpan w:val="2"/>
          </w:tcPr>
          <w:p>
            <w:pPr>
              <w:ind w:left="2700"/>
              <w:spacing w:after="0"/>
              <w:rPr>
                <w:sz w:val="20"/>
                <w:szCs w:val="20"/>
                <w:color w:val="auto"/>
              </w:rPr>
            </w:pPr>
            <w:r>
              <w:rPr>
                <w:rFonts w:ascii="Arial" w:cs="Arial" w:eastAsia="Arial" w:hAnsi="Arial"/>
                <w:sz w:val="18"/>
                <w:szCs w:val="18"/>
                <w:b w:val="1"/>
                <w:bCs w:val="1"/>
                <w:color w:val="auto"/>
                <w:w w:val="96"/>
              </w:rPr>
              <w:t>(Exact Name of Registrant as Specified in Charter)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7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001-39659</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20-3986492</w:t>
            </w:r>
          </w:p>
        </w:tc>
        <w:tc>
          <w:tcPr>
            <w:tcW w:w="0" w:type="dxa"/>
            <w:vAlign w:val="bottom"/>
          </w:tcPr>
          <w:p>
            <w:pPr>
              <w:spacing w:after="0"/>
              <w:rPr>
                <w:sz w:val="1"/>
                <w:szCs w:val="1"/>
                <w:color w:val="auto"/>
              </w:rPr>
            </w:pPr>
          </w:p>
        </w:tc>
      </w:tr>
      <w:tr>
        <w:trPr>
          <w:trHeight w:val="176"/>
        </w:trPr>
        <w:tc>
          <w:tcPr>
            <w:tcW w:w="3760" w:type="dxa"/>
            <w:vAlign w:val="bottom"/>
          </w:tcPr>
          <w:p>
            <w:pPr>
              <w:jc w:val="center"/>
              <w:ind w:right="1770"/>
              <w:spacing w:after="0" w:line="176" w:lineRule="exact"/>
              <w:rPr>
                <w:sz w:val="20"/>
                <w:szCs w:val="20"/>
                <w:color w:val="auto"/>
              </w:rPr>
            </w:pPr>
            <w:r>
              <w:rPr>
                <w:rFonts w:ascii="Arial" w:cs="Arial" w:eastAsia="Arial" w:hAnsi="Arial"/>
                <w:sz w:val="18"/>
                <w:szCs w:val="18"/>
                <w:color w:val="auto"/>
                <w:w w:val="92"/>
              </w:rPr>
              <w:t>(State or other jurisdiction</w:t>
            </w:r>
          </w:p>
        </w:tc>
        <w:tc>
          <w:tcPr>
            <w:tcW w:w="3100" w:type="dxa"/>
            <w:vAlign w:val="bottom"/>
          </w:tcPr>
          <w:p>
            <w:pPr>
              <w:jc w:val="center"/>
              <w:ind w:right="1150"/>
              <w:spacing w:after="0" w:line="176" w:lineRule="exact"/>
              <w:rPr>
                <w:sz w:val="20"/>
                <w:szCs w:val="20"/>
                <w:color w:val="auto"/>
              </w:rPr>
            </w:pPr>
            <w:r>
              <w:rPr>
                <w:rFonts w:ascii="Arial" w:cs="Arial" w:eastAsia="Arial" w:hAnsi="Arial"/>
                <w:sz w:val="18"/>
                <w:szCs w:val="18"/>
                <w:color w:val="auto"/>
                <w:w w:val="93"/>
              </w:rPr>
              <w:t>(Commission</w:t>
            </w:r>
          </w:p>
        </w:tc>
        <w:tc>
          <w:tcPr>
            <w:tcW w:w="224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760" w:type="dxa"/>
            <w:vAlign w:val="bottom"/>
          </w:tcPr>
          <w:p>
            <w:pPr>
              <w:jc w:val="center"/>
              <w:ind w:right="1770"/>
              <w:spacing w:after="0"/>
              <w:rPr>
                <w:sz w:val="20"/>
                <w:szCs w:val="20"/>
                <w:color w:val="auto"/>
              </w:rPr>
            </w:pPr>
            <w:r>
              <w:rPr>
                <w:rFonts w:ascii="Arial" w:cs="Arial" w:eastAsia="Arial" w:hAnsi="Arial"/>
                <w:sz w:val="18"/>
                <w:szCs w:val="18"/>
                <w:color w:val="auto"/>
                <w:w w:val="93"/>
              </w:rPr>
              <w:t>of incorporation)</w:t>
            </w:r>
          </w:p>
        </w:tc>
        <w:tc>
          <w:tcPr>
            <w:tcW w:w="3100" w:type="dxa"/>
            <w:vAlign w:val="bottom"/>
          </w:tcPr>
          <w:p>
            <w:pPr>
              <w:jc w:val="center"/>
              <w:ind w:right="1150"/>
              <w:spacing w:after="0"/>
              <w:rPr>
                <w:sz w:val="20"/>
                <w:szCs w:val="20"/>
                <w:color w:val="auto"/>
              </w:rPr>
            </w:pPr>
            <w:r>
              <w:rPr>
                <w:rFonts w:ascii="Arial" w:cs="Arial" w:eastAsia="Arial" w:hAnsi="Arial"/>
                <w:sz w:val="18"/>
                <w:szCs w:val="18"/>
                <w:color w:val="auto"/>
                <w:w w:val="94"/>
              </w:rPr>
              <w:t>File Number)</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10"/>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9"/>
              </w:rPr>
              <w:t>2970 Wilderness Place, Suite 100</w:t>
            </w:r>
          </w:p>
        </w:tc>
        <w:tc>
          <w:tcPr>
            <w:tcW w:w="3100" w:type="dxa"/>
            <w:vAlign w:val="bottom"/>
          </w:tcPr>
          <w:p>
            <w:pPr>
              <w:spacing w:after="0"/>
              <w:rPr>
                <w:sz w:val="24"/>
                <w:szCs w:val="24"/>
                <w:color w:val="auto"/>
              </w:rPr>
            </w:pPr>
          </w:p>
        </w:tc>
        <w:tc>
          <w:tcPr>
            <w:tcW w:w="2240" w:type="dxa"/>
            <w:vAlign w:val="bottom"/>
            <w:vMerge w:val="restart"/>
          </w:tcPr>
          <w:p>
            <w:pPr>
              <w:jc w:val="right"/>
              <w:ind w:right="1290"/>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76"/>
        </w:trPr>
        <w:tc>
          <w:tcPr>
            <w:tcW w:w="3760" w:type="dxa"/>
            <w:vAlign w:val="bottom"/>
          </w:tcPr>
          <w:p>
            <w:pPr>
              <w:ind w:left="1140"/>
              <w:spacing w:after="0" w:line="176" w:lineRule="exact"/>
              <w:rPr>
                <w:sz w:val="20"/>
                <w:szCs w:val="20"/>
                <w:color w:val="auto"/>
              </w:rPr>
            </w:pPr>
            <w:r>
              <w:rPr>
                <w:rFonts w:ascii="Arial" w:cs="Arial" w:eastAsia="Arial" w:hAnsi="Arial"/>
                <w:sz w:val="18"/>
                <w:szCs w:val="18"/>
                <w:b w:val="1"/>
                <w:bCs w:val="1"/>
                <w:color w:val="auto"/>
              </w:rPr>
              <w:t>Boulder, Colorado</w:t>
            </w:r>
          </w:p>
        </w:tc>
        <w:tc>
          <w:tcPr>
            <w:tcW w:w="310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(Address of Principal Executive Office)</w:t>
            </w:r>
          </w:p>
        </w:tc>
        <w:tc>
          <w:tcPr>
            <w:tcW w:w="3100" w:type="dxa"/>
            <w:vAlign w:val="bottom"/>
          </w:tcPr>
          <w:p>
            <w:pPr>
              <w:spacing w:after="0"/>
              <w:rPr>
                <w:sz w:val="20"/>
                <w:szCs w:val="20"/>
                <w:color w:val="auto"/>
              </w:rPr>
            </w:pPr>
          </w:p>
        </w:tc>
        <w:tc>
          <w:tcPr>
            <w:tcW w:w="2240" w:type="dxa"/>
            <w:vAlign w:val="bottom"/>
          </w:tcPr>
          <w:p>
            <w:pPr>
              <w:jc w:val="center"/>
              <w:ind w:right="8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3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40" w:firstLine="197"/>
        <w:spacing w:after="0" w:line="396" w:lineRule="auto"/>
        <w:tabs>
          <w:tab w:leader="none" w:pos="418"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8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0"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14, 2022, Biodesix, Inc. (the “Company”) issued a press release announcing certain preliminary and unaudited financial results of the Company for the fourth quarter and year ended December 31, 2021. A copy of the press release is furnished as Exhibit 99.1 to this report and is incorporated herein by reference.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information included in this Current Report on Form 8-K (including Exhibit 99.1 hereto) that is furnished pursuant to this Item 2.02 shall be deemed to be “filed” for the purposes of Section 18 of the Securities Exchange Act of 1934, as amended. In addition, the information included in this Current Report on Form 8-K (including Exhibit 99.1 hereto) that is furnished pursuant to this Item 2.02 shall be incorporated by reference into filings of the Registrant.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7"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    Exhibit</w:t>
      </w:r>
    </w:p>
    <w:p>
      <w:pPr>
        <w:spacing w:after="0" w:line="27" w:lineRule="exact"/>
        <w:rPr>
          <w:rFonts w:ascii="Arial" w:cs="Arial" w:eastAsia="Arial" w:hAnsi="Arial"/>
          <w:sz w:val="18"/>
          <w:szCs w:val="18"/>
          <w:i w:val="1"/>
          <w:iCs w:val="1"/>
          <w:color w:val="auto"/>
        </w:rPr>
      </w:pPr>
    </w:p>
    <w:p>
      <w:pPr>
        <w:ind w:left="2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issued by Biodesix, Inc. dated February 14, 2022</w:t>
        </w:r>
      </w:hyperlink>
    </w:p>
    <w:p>
      <w:pPr>
        <w:ind w:left="2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-149225</wp:posOffset>
            </wp:positionV>
            <wp:extent cx="2893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Dated: February 14, 2022</w:t>
            </w:r>
          </w:p>
        </w:tc>
        <w:tc>
          <w:tcPr>
            <w:tcW w:w="7120" w:type="dxa"/>
            <w:vAlign w:val="bottom"/>
            <w:gridSpan w:val="2"/>
          </w:tcPr>
          <w:p>
            <w:pPr>
              <w:ind w:left="2200"/>
              <w:spacing w:after="0"/>
              <w:rPr>
                <w:sz w:val="20"/>
                <w:szCs w:val="20"/>
                <w:color w:val="auto"/>
              </w:rPr>
            </w:pPr>
            <w:r>
              <w:rPr>
                <w:rFonts w:ascii="Arial" w:cs="Arial" w:eastAsia="Arial" w:hAnsi="Arial"/>
                <w:sz w:val="18"/>
                <w:szCs w:val="18"/>
                <w:color w:val="auto"/>
              </w:rPr>
              <w:t>BIODESIX, INC.</w:t>
            </w:r>
          </w:p>
        </w:tc>
      </w:tr>
      <w:tr>
        <w:trPr>
          <w:trHeight w:val="391"/>
        </w:trPr>
        <w:tc>
          <w:tcPr>
            <w:tcW w:w="4120" w:type="dxa"/>
            <w:vAlign w:val="bottom"/>
          </w:tcPr>
          <w:p>
            <w:pPr>
              <w:spacing w:after="0"/>
              <w:rPr>
                <w:sz w:val="24"/>
                <w:szCs w:val="24"/>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82"/>
        </w:trPr>
        <w:tc>
          <w:tcPr>
            <w:tcW w:w="4120" w:type="dxa"/>
            <w:vAlign w:val="bottom"/>
          </w:tcPr>
          <w:p>
            <w:pPr>
              <w:spacing w:after="0"/>
              <w:rPr>
                <w:sz w:val="15"/>
                <w:szCs w:val="15"/>
                <w:color w:val="auto"/>
              </w:rPr>
            </w:pPr>
          </w:p>
        </w:tc>
        <w:tc>
          <w:tcPr>
            <w:tcW w:w="2900" w:type="dxa"/>
            <w:vAlign w:val="bottom"/>
          </w:tcPr>
          <w:p>
            <w:pPr>
              <w:ind w:left="2200"/>
              <w:spacing w:after="0" w:line="182"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82" w:lineRule="exact"/>
              <w:rPr>
                <w:sz w:val="20"/>
                <w:szCs w:val="20"/>
                <w:color w:val="auto"/>
              </w:rPr>
            </w:pPr>
            <w:r>
              <w:rPr>
                <w:rFonts w:ascii="Arial" w:cs="Arial" w:eastAsia="Arial" w:hAnsi="Arial"/>
                <w:sz w:val="18"/>
                <w:szCs w:val="18"/>
                <w:color w:val="auto"/>
              </w:rPr>
              <w:t>Robin Harper Cowie</w:t>
            </w:r>
          </w:p>
        </w:tc>
      </w:tr>
      <w:tr>
        <w:trPr>
          <w:trHeight w:val="230"/>
        </w:trPr>
        <w:tc>
          <w:tcPr>
            <w:tcW w:w="41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7"/>
        </w:trPr>
        <w:tc>
          <w:tcPr>
            <w:tcW w:w="41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8890</wp:posOffset>
            </wp:positionV>
            <wp:extent cx="218567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56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Biodesix Announces Preliminary Fourth Quarter and Full-Year 2021 Revenue (unaudited)</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Core lung diagnostic testing revenues grow 49% for full-year 2021</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Boulder, CO, February 14, 2022</w:t>
      </w:r>
      <w:r>
        <w:rPr>
          <w:rFonts w:ascii="Arial" w:cs="Arial" w:eastAsia="Arial" w:hAnsi="Arial"/>
          <w:sz w:val="17"/>
          <w:szCs w:val="17"/>
          <w:color w:val="auto"/>
        </w:rPr>
        <w:t>- Biodesix, Inc. (NASDAQ: BDSX) a leading data-driven diagnostic solutions company with a focus in lung disease,</w:t>
      </w:r>
      <w:r>
        <w:rPr>
          <w:rFonts w:ascii="Arial" w:cs="Arial" w:eastAsia="Arial" w:hAnsi="Arial"/>
          <w:sz w:val="17"/>
          <w:szCs w:val="17"/>
          <w:b w:val="1"/>
          <w:bCs w:val="1"/>
          <w:color w:val="auto"/>
        </w:rPr>
        <w:t xml:space="preserve"> </w:t>
      </w:r>
      <w:r>
        <w:rPr>
          <w:rFonts w:ascii="Arial" w:cs="Arial" w:eastAsia="Arial" w:hAnsi="Arial"/>
          <w:sz w:val="17"/>
          <w:szCs w:val="17"/>
          <w:color w:val="auto"/>
        </w:rPr>
        <w:t>today announced that the Company expects to report fourth quarter and record full-year 2021 preliminary unaudited total revenue of $7.2 million and $54.5 million, respectively. The strength in the full-year 2021 total revenue of $54.5 million compared to $45.6 million in 2020 was a result of growth in the Company’s core lung diagnostic testing and first half 2021 COVID-19 testing. The financial results included in this release pertaining to the fourth quarter and year ended December 31, 2021 are preliminary and unaudited and subject to final review and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2021 Financial Highlights</w:t>
      </w:r>
    </w:p>
    <w:p>
      <w:pPr>
        <w:spacing w:after="0" w:line="108" w:lineRule="exact"/>
        <w:rPr>
          <w:sz w:val="20"/>
          <w:szCs w:val="20"/>
          <w:color w:val="auto"/>
        </w:rPr>
      </w:pPr>
    </w:p>
    <w:p>
      <w:pPr>
        <w:ind w:left="3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quarterly revenue of $6.8 million, excluding COVID-19 testing revenue, increased $1.2 million or 22% for the fourth quarter 2021 compared to the same period in 2020 and $0.8 million or 13% for the fourth quarter 2021 compared to the third quarter 2021; and</w:t>
      </w:r>
    </w:p>
    <w:p>
      <w:pPr>
        <w:spacing w:after="0" w:line="62"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annual revenue of $24.3 million, excluding COVID-19 testing revenue, increased $7.1 million or 41% for the year ended December 31, 2021 compared to the same period in 2020.</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December 31, 2021 of $32.7 million.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pleased to see the continued growth in our core lung diagnostic business throughout 2021 despite the challenges created by the ongoing pandemic,” stated Scott Hutton, Chief Executive Officer. “With the launch of our new IQLung™ Treatment Guidance Testing Strategy, which includes the new GeneStrat NGS™ test and provides for both early and advanced stage lung cancer testing results, our Nodify Lung testing for lung nodule risk assessment, as well as the broad array of tests that we perform on behalf of our biopharmaceutical partners, we are very well positioned to continue to drive growth in our core business in 2022. As we said in our third quarter earnings call, given our current financial position, including covenants under our current debt facility, we will continue to explore paths to greater liquidity, including raising capital through additional equity and/or debt as the markets continue to evolve, and through partnering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Biodesix</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Biodesix is a leading data-driven diagnostic solutions company with a focus in lung disease. The Company develops diagnostic tests addressing important clinical questions by combining multi-omics through the power of artificial intelligence. Biodesix is the first company to offer eight non-invasive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targeted test, the GeneStrat NGS™ test and the VeriStrat® test to support treatment decisions across all stages of lung cancer with results in an unprecedented 36-72 hours, expediting time to treatment. Biodesix also leverages the proprietary and advanced Diagnostic Cortex® AI (Artificial Intelligence) platform, to collaborate with many of the world’s leading biotechnology and pharmaceutical companies to solve complex diagnostic challenges in lung disease. Biodesix launched the SARS-CoV-2 ddPCR™ test, the Platelia SARS-CoV-2 Total Ab, and the cPass™ SARS-CoV-2 Neutralization Antibody test (cPass™ Neutralization Test Kit, GenScript, Inc,) in response to the global pandemic and virus that impacts the lung and causes COVID-19. For more information about Biodesix, visit biodesix.com.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 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The Company's ability to continue as a going concern could cause actual results to differ materially from those contemplated in this press release and additionally, other factors that could cause actual results to differ materially from those contemplated in this press release can be found in the Risk Factors section of Biodesix’s most recent annual report on Form 10-K, filed March 16, 2021, or subsequent quarterly reports on Form 10-Q during 2021, if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Bobbi Coffin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bobbi.coffin@biodesix.com</w:t>
      </w:r>
    </w:p>
    <w:p>
      <w:pPr>
        <w:spacing w:after="0"/>
        <w:rPr>
          <w:sz w:val="20"/>
          <w:szCs w:val="20"/>
          <w:color w:val="auto"/>
        </w:rPr>
      </w:pPr>
      <w:r>
        <w:rPr>
          <w:rFonts w:ascii="Arial" w:cs="Arial" w:eastAsia="Arial" w:hAnsi="Arial"/>
          <w:sz w:val="18"/>
          <w:szCs w:val="18"/>
          <w:color w:val="auto"/>
        </w:rPr>
        <w:t>(303) 892-3203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Brinzey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rPr>
          <w:sz w:val="20"/>
          <w:szCs w:val="20"/>
          <w:color w:val="auto"/>
        </w:rPr>
      </w:pPr>
      <w:r>
        <w:rPr>
          <w:rFonts w:ascii="Arial" w:cs="Arial" w:eastAsia="Arial" w:hAnsi="Arial"/>
          <w:sz w:val="18"/>
          <w:szCs w:val="18"/>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2022-02-14T08:56:18Z</dcterms:created>
  <dcterms:modified xsi:type="dcterms:W3CDTF">2022-02-14T08:56:18Z</dcterms:modified>
</cp:coreProperties>
</file>