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7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2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5"/>
              <w:spacing w:after="0" w:line="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response: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22"/>
              <w:spacing w:after="0" w:line="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hours per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5603240</wp:posOffset>
            </wp:positionH>
            <wp:positionV relativeFrom="paragraph">
              <wp:posOffset>-751205</wp:posOffset>
            </wp:positionV>
            <wp:extent cx="1305560" cy="905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946900" cy="20294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910" w:orient="portrait"/>
          <w:cols w:equalWidth="0" w:num="1">
            <w:col w:w="10940"/>
          </w:cols>
          <w:pgMar w:left="480" w:top="230" w:right="479" w:bottom="0" w:gutter="0" w:footer="0" w:header="0"/>
        </w:sectPr>
      </w:pPr>
    </w:p>
    <w:p>
      <w:pPr>
        <w:spacing w:after="0" w:line="36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*</w:t>
            </w: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100" w:type="dxa"/>
            <w:vAlign w:val="bottom"/>
            <w:vMerge w:val="restart"/>
          </w:tcPr>
          <w:p>
            <w:pPr>
              <w:ind w:left="4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u w:val="single" w:color="auto"/>
                <w:color w:val="0000EE"/>
              </w:rPr>
            </w:pP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u w:val="single" w:color="auto"/>
                  <w:color w:val="0000EE"/>
                </w:rPr>
                <w:t>Cowie Robin Harper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3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10/27/2020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3.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0000EE"/>
        </w:rPr>
      </w:pPr>
      <w:hyperlink r:id="rId1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EE"/>
          </w:rPr>
          <w:t>BIODESIX INC</w:t>
        </w:r>
        <w:r>
          <w:rPr>
            <w:rFonts w:ascii="Times New Roman" w:cs="Times New Roman" w:eastAsia="Times New Roman" w:hAnsi="Times New Roman"/>
            <w:sz w:val="24"/>
            <w:szCs w:val="24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0000FF"/>
        </w:rPr>
        <w:t>BDSX</w:t>
      </w:r>
      <w:r>
        <w:rPr>
          <w:rFonts w:ascii="Times New Roman" w:cs="Times New Roman" w:eastAsia="Times New Roman" w:hAnsi="Times New Roman"/>
          <w:sz w:val="24"/>
          <w:szCs w:val="24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]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ectPr>
          <w:pgSz w:w="11900" w:h="16910" w:orient="portrait"/>
          <w:cols w:equalWidth="0" w:num="2">
            <w:col w:w="4720" w:space="280"/>
            <w:col w:w="5940"/>
          </w:cols>
          <w:pgMar w:left="480" w:top="230" w:right="479" w:bottom="0" w:gutter="0" w:footer="0" w:header="0"/>
          <w:type w:val="continuous"/>
        </w:sectPr>
      </w:pP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14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(Middle)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2970 WILDERNESS PLACE, SUITE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100</w:t>
      </w:r>
    </w:p>
    <w:p>
      <w:pPr>
        <w:spacing w:after="0" w:line="369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(Street)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5"/>
        </w:trPr>
        <w:tc>
          <w:tcPr>
            <w:tcW w:w="1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BOULDER CO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80301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42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23"/>
        <w:spacing w:after="0"/>
        <w:tabs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10% Owner</w:t>
      </w:r>
    </w:p>
    <w:p>
      <w:pPr>
        <w:ind w:left="183"/>
        <w:spacing w:after="0"/>
        <w:tabs>
          <w:tab w:leader="none" w:pos="502" w:val="left"/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0000FF"/>
          <w:vertAlign w:val="subscript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Officer (give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Other (specify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3"/>
        <w:spacing w:after="0"/>
        <w:tabs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below)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6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CFO, Sec?y &amp; Treasurer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440" w:firstLine="9"/>
        <w:spacing w:after="0" w:line="270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25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-9" w:right="480" w:firstLine="9"/>
        <w:spacing w:after="0" w:line="255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51" w:right="340" w:hanging="304"/>
        <w:spacing w:after="0" w:line="182" w:lineRule="auto"/>
        <w:tabs>
          <w:tab w:leader="none" w:pos="45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</w:p>
    <w:p>
      <w:pPr>
        <w:ind w:left="451" w:right="320"/>
        <w:spacing w:after="0" w:line="270" w:lineRule="auto"/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910" w:orient="portrait"/>
          <w:cols w:equalWidth="0" w:num="3">
            <w:col w:w="4277" w:space="720"/>
            <w:col w:w="3003" w:space="269"/>
            <w:col w:w="2671"/>
          </w:cols>
          <w:pgMar w:left="480" w:top="230" w:right="479" w:bottom="0" w:gutter="0" w:footer="0" w:header="0"/>
          <w:type w:val="continuous"/>
        </w:sectPr>
      </w:pP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14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(Zip)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6946900" cy="772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-18415</wp:posOffset>
            </wp:positionV>
            <wp:extent cx="6946900" cy="36595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365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II - Derivative Securities Beneficially Owned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42545</wp:posOffset>
            </wp:positionV>
            <wp:extent cx="6927850" cy="10293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74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840" w:type="dxa"/>
            <w:vAlign w:val="bottom"/>
          </w:tcPr>
          <w:p>
            <w:pPr>
              <w:ind w:left="1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Stock Options (Right to buy)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  <w:w w:val="92"/>
              </w:rPr>
              <w:t>(1)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04/21/2021</w:t>
            </w:r>
          </w:p>
        </w:tc>
        <w:tc>
          <w:tcPr>
            <w:tcW w:w="1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7"/>
              </w:rPr>
              <w:t>2,526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7"/>
              </w:rPr>
              <w:t>2.62</w:t>
            </w:r>
          </w:p>
        </w:tc>
        <w:tc>
          <w:tcPr>
            <w:tcW w:w="9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Stock Options (Right to buy)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  <w:w w:val="92"/>
              </w:rPr>
              <w:t>(2)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02/03/2024</w:t>
            </w:r>
          </w:p>
        </w:tc>
        <w:tc>
          <w:tcPr>
            <w:tcW w:w="1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8"/>
              </w:rPr>
              <w:t>10,107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4.4</w:t>
            </w:r>
          </w:p>
        </w:tc>
        <w:tc>
          <w:tcPr>
            <w:tcW w:w="9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Stock Options (Right to buy)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  <w:w w:val="92"/>
              </w:rPr>
              <w:t>(3)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04/08/2025</w:t>
            </w:r>
          </w:p>
        </w:tc>
        <w:tc>
          <w:tcPr>
            <w:tcW w:w="1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7"/>
              </w:rPr>
              <w:t>6,738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4.4</w:t>
            </w:r>
          </w:p>
        </w:tc>
        <w:tc>
          <w:tcPr>
            <w:tcW w:w="9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Stock Options (Right to buy)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  <w:w w:val="92"/>
              </w:rPr>
              <w:t>(4)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04/06/2026</w:t>
            </w:r>
          </w:p>
        </w:tc>
        <w:tc>
          <w:tcPr>
            <w:tcW w:w="1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8"/>
              </w:rPr>
              <w:t>35,377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7"/>
              </w:rPr>
              <w:t>0.84</w:t>
            </w:r>
          </w:p>
        </w:tc>
        <w:tc>
          <w:tcPr>
            <w:tcW w:w="9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Stock Options (Right to buy)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04/07/2016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04/06/2026</w:t>
            </w:r>
          </w:p>
        </w:tc>
        <w:tc>
          <w:tcPr>
            <w:tcW w:w="1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7"/>
              </w:rPr>
              <w:t>8,172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7"/>
              </w:rPr>
              <w:t>0.84</w:t>
            </w:r>
          </w:p>
        </w:tc>
        <w:tc>
          <w:tcPr>
            <w:tcW w:w="9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Stock Options (Right to buy)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  <w:w w:val="92"/>
              </w:rPr>
              <w:t>(5)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05/15/2027</w:t>
            </w:r>
          </w:p>
        </w:tc>
        <w:tc>
          <w:tcPr>
            <w:tcW w:w="1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8"/>
              </w:rPr>
              <w:t>16,846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7"/>
              </w:rPr>
              <w:t>0.42</w:t>
            </w:r>
          </w:p>
        </w:tc>
        <w:tc>
          <w:tcPr>
            <w:tcW w:w="9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Stock Options (Right to buy)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  <w:w w:val="92"/>
              </w:rPr>
              <w:t>(6)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04/03/2028</w:t>
            </w:r>
          </w:p>
        </w:tc>
        <w:tc>
          <w:tcPr>
            <w:tcW w:w="1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8"/>
              </w:rPr>
              <w:t>21,058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7"/>
              </w:rPr>
              <w:t>0.42</w:t>
            </w:r>
          </w:p>
        </w:tc>
        <w:tc>
          <w:tcPr>
            <w:tcW w:w="9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Stock Options (Right to buy)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  <w:w w:val="92"/>
              </w:rPr>
              <w:t>(7)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12/31/2028</w:t>
            </w:r>
          </w:p>
        </w:tc>
        <w:tc>
          <w:tcPr>
            <w:tcW w:w="1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8"/>
              </w:rPr>
              <w:t>35,377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7"/>
              </w:rPr>
              <w:t>0.78</w:t>
            </w:r>
          </w:p>
        </w:tc>
        <w:tc>
          <w:tcPr>
            <w:tcW w:w="9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Stock Options (Right to buy)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  <w:w w:val="92"/>
              </w:rPr>
              <w:t>(8)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04/14/2030</w:t>
            </w:r>
          </w:p>
        </w:tc>
        <w:tc>
          <w:tcPr>
            <w:tcW w:w="1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8"/>
              </w:rPr>
              <w:t>30,323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7"/>
              </w:rPr>
              <w:t>0.78</w:t>
            </w:r>
          </w:p>
        </w:tc>
        <w:tc>
          <w:tcPr>
            <w:tcW w:w="9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-2388870</wp:posOffset>
            </wp:positionV>
            <wp:extent cx="6927850" cy="22301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223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00" w:hanging="155"/>
        <w:spacing w:after="0"/>
        <w:tabs>
          <w:tab w:leader="none" w:pos="2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008000"/>
        </w:rPr>
      </w:pPr>
      <w:r>
        <w:rPr>
          <w:rFonts w:ascii="Times New Roman" w:cs="Times New Roman" w:eastAsia="Times New Roman" w:hAnsi="Times New Roman"/>
          <w:sz w:val="15"/>
          <w:szCs w:val="15"/>
          <w:color w:val="008000"/>
        </w:rPr>
        <w:t>This option vested 40% on March 28, 2013, and the remaining 60% in 36 successive, equal monthly installments measured from March 28, 2013.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15"/>
          <w:szCs w:val="15"/>
          <w:color w:val="008000"/>
        </w:rPr>
      </w:pPr>
    </w:p>
    <w:p>
      <w:pPr>
        <w:ind w:left="200" w:hanging="155"/>
        <w:spacing w:after="0"/>
        <w:tabs>
          <w:tab w:leader="none" w:pos="2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008000"/>
        </w:rPr>
      </w:pPr>
      <w:r>
        <w:rPr>
          <w:rFonts w:ascii="Times New Roman" w:cs="Times New Roman" w:eastAsia="Times New Roman" w:hAnsi="Times New Roman"/>
          <w:sz w:val="15"/>
          <w:szCs w:val="15"/>
          <w:color w:val="008000"/>
        </w:rPr>
        <w:t>This option vested in 60 successive, equal monthly installments measured from January 1, 2014.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15"/>
          <w:szCs w:val="15"/>
          <w:color w:val="008000"/>
        </w:rPr>
      </w:pPr>
    </w:p>
    <w:p>
      <w:pPr>
        <w:ind w:left="200" w:hanging="155"/>
        <w:spacing w:after="0"/>
        <w:tabs>
          <w:tab w:leader="none" w:pos="2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008000"/>
        </w:rPr>
      </w:pPr>
      <w:r>
        <w:rPr>
          <w:rFonts w:ascii="Times New Roman" w:cs="Times New Roman" w:eastAsia="Times New Roman" w:hAnsi="Times New Roman"/>
          <w:sz w:val="15"/>
          <w:szCs w:val="15"/>
          <w:color w:val="008000"/>
        </w:rPr>
        <w:t>This option vested in 60 successive, equal monthly installments measured from January 1, 2015.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15"/>
          <w:szCs w:val="15"/>
          <w:color w:val="008000"/>
        </w:rPr>
      </w:pPr>
    </w:p>
    <w:p>
      <w:pPr>
        <w:ind w:left="200" w:hanging="155"/>
        <w:spacing w:after="0"/>
        <w:tabs>
          <w:tab w:leader="none" w:pos="2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008000"/>
        </w:rPr>
      </w:pPr>
      <w:r>
        <w:rPr>
          <w:rFonts w:ascii="Times New Roman" w:cs="Times New Roman" w:eastAsia="Times New Roman" w:hAnsi="Times New Roman"/>
          <w:sz w:val="15"/>
          <w:szCs w:val="15"/>
          <w:color w:val="008000"/>
        </w:rPr>
        <w:t>This option vests in 60 successive, equal monthly installments measured from January 1, 2016.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15"/>
          <w:szCs w:val="15"/>
          <w:color w:val="008000"/>
        </w:rPr>
      </w:pPr>
    </w:p>
    <w:p>
      <w:pPr>
        <w:ind w:left="200" w:hanging="155"/>
        <w:spacing w:after="0"/>
        <w:tabs>
          <w:tab w:leader="none" w:pos="2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008000"/>
        </w:rPr>
      </w:pPr>
      <w:r>
        <w:rPr>
          <w:rFonts w:ascii="Times New Roman" w:cs="Times New Roman" w:eastAsia="Times New Roman" w:hAnsi="Times New Roman"/>
          <w:sz w:val="15"/>
          <w:szCs w:val="15"/>
          <w:color w:val="008000"/>
        </w:rPr>
        <w:t>This option vests in 60 successive, equal monthly installments measured from January 1, 2017.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15"/>
          <w:szCs w:val="15"/>
          <w:color w:val="008000"/>
        </w:rPr>
      </w:pPr>
    </w:p>
    <w:p>
      <w:pPr>
        <w:ind w:left="200" w:hanging="155"/>
        <w:spacing w:after="0"/>
        <w:tabs>
          <w:tab w:leader="none" w:pos="2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008000"/>
        </w:rPr>
      </w:pPr>
      <w:r>
        <w:rPr>
          <w:rFonts w:ascii="Times New Roman" w:cs="Times New Roman" w:eastAsia="Times New Roman" w:hAnsi="Times New Roman"/>
          <w:sz w:val="15"/>
          <w:szCs w:val="15"/>
          <w:color w:val="008000"/>
        </w:rPr>
        <w:t>This option vests in 60 successive, equal monthly installments measured from January 1, 2018.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15"/>
          <w:szCs w:val="15"/>
          <w:color w:val="008000"/>
        </w:rPr>
      </w:pPr>
    </w:p>
    <w:p>
      <w:pPr>
        <w:ind w:left="200" w:hanging="155"/>
        <w:spacing w:after="0"/>
        <w:tabs>
          <w:tab w:leader="none" w:pos="2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008000"/>
        </w:rPr>
      </w:pPr>
      <w:r>
        <w:rPr>
          <w:rFonts w:ascii="Times New Roman" w:cs="Times New Roman" w:eastAsia="Times New Roman" w:hAnsi="Times New Roman"/>
          <w:sz w:val="15"/>
          <w:szCs w:val="15"/>
          <w:color w:val="008000"/>
        </w:rPr>
        <w:t>This option vests twenty-one sixtieths (21/60ths) on October 1, 2020, the remaining balance vests in 39 successive, equal monthly installments measured from October 1, 2020.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15"/>
          <w:szCs w:val="15"/>
          <w:color w:val="008000"/>
        </w:rPr>
      </w:pPr>
    </w:p>
    <w:p>
      <w:pPr>
        <w:ind w:left="200" w:hanging="155"/>
        <w:spacing w:after="0"/>
        <w:tabs>
          <w:tab w:leader="none" w:pos="2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008000"/>
        </w:rPr>
      </w:pPr>
      <w:r>
        <w:rPr>
          <w:rFonts w:ascii="Times New Roman" w:cs="Times New Roman" w:eastAsia="Times New Roman" w:hAnsi="Times New Roman"/>
          <w:sz w:val="15"/>
          <w:szCs w:val="15"/>
          <w:color w:val="008000"/>
        </w:rPr>
        <w:t>This option vests in 60 successive, equal monthly installments measured from January 1, 2020.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Remarks: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6"/>
              </w:rPr>
              <w:t>/s/ Robin Harper Cowie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6"/>
              </w:rPr>
              <w:t>10/27/2020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Instruction 5 (b)(v).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** Intentional misstatements or omissions of facts constitute Federal Criminal Violations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18 U.S.C. 1001 and 15 U.S.C. 78ff(a).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910" w:orient="portrait"/>
          <w:cols w:equalWidth="0" w:num="1">
            <w:col w:w="10940"/>
          </w:cols>
          <w:pgMar w:left="480" w:top="230" w:right="479" w:bottom="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Note: File three copies of this Form, one of which must be manually signed. If space is insufficient, 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Instruction 6 for procedure.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820"/>
      </w:cols>
      <w:pgMar w:left="520" w:top="166" w:right="5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0" Type="http://schemas.openxmlformats.org/officeDocument/2006/relationships/hyperlink" Target="http://www.sec.gov/cgi-bin/browse-edgar?action=getcompany&amp;CIK=0001827690" TargetMode="External"/><Relationship Id="rId11" Type="http://schemas.openxmlformats.org/officeDocument/2006/relationships/hyperlink" Target="http://www.sec.gov/cgi-bin/browse-edgar?action=getcompany&amp;CIK=00014397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2020-10-27T20:03:20Z</dcterms:created>
  <dcterms:modified xsi:type="dcterms:W3CDTF">2020-10-27T20:03:20Z</dcterms:modified>
</cp:coreProperties>
</file>