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Biodesix,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09075X108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John Patience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 Biodesix, Inc.</w:t>
      </w:r>
    </w:p>
    <w:p>
      <w:pPr>
        <w:jc w:val="center"/>
        <w:spacing w:after="0" w:line="230" w:lineRule="auto"/>
        <w:rPr>
          <w:sz w:val="20"/>
          <w:szCs w:val="20"/>
          <w:color w:val="auto"/>
        </w:rPr>
      </w:pPr>
      <w:r>
        <w:rPr>
          <w:rFonts w:ascii="Arial" w:cs="Arial" w:eastAsia="Arial" w:hAnsi="Arial"/>
          <w:sz w:val="22"/>
          <w:szCs w:val="22"/>
          <w:b w:val="1"/>
          <w:bCs w:val="1"/>
          <w:color w:val="auto"/>
        </w:rPr>
        <w:t>2970 Wilderness Place, Suite 100</w:t>
      </w:r>
    </w:p>
    <w:p>
      <w:pPr>
        <w:jc w:val="center"/>
        <w:spacing w:after="0" w:line="231" w:lineRule="auto"/>
        <w:rPr>
          <w:sz w:val="20"/>
          <w:szCs w:val="20"/>
          <w:color w:val="auto"/>
        </w:rPr>
      </w:pPr>
      <w:r>
        <w:rPr>
          <w:rFonts w:ascii="Arial" w:cs="Arial" w:eastAsia="Arial" w:hAnsi="Arial"/>
          <w:sz w:val="22"/>
          <w:szCs w:val="22"/>
          <w:b w:val="1"/>
          <w:bCs w:val="1"/>
          <w:color w:val="auto"/>
        </w:rPr>
        <w:t>Boulder, Colorado 80301</w:t>
      </w:r>
    </w:p>
    <w:p>
      <w:pPr>
        <w:jc w:val="center"/>
        <w:spacing w:after="0" w:line="230" w:lineRule="auto"/>
        <w:rPr>
          <w:sz w:val="20"/>
          <w:szCs w:val="20"/>
          <w:color w:val="auto"/>
        </w:rPr>
      </w:pPr>
      <w:r>
        <w:rPr>
          <w:rFonts w:ascii="Arial" w:cs="Arial" w:eastAsia="Arial" w:hAnsi="Arial"/>
          <w:sz w:val="22"/>
          <w:szCs w:val="22"/>
          <w:b w:val="1"/>
          <w:bCs w:val="1"/>
          <w:u w:val="single" w:color="auto"/>
          <w:color w:val="auto"/>
        </w:rPr>
        <w:t>(520) 365-3100</w:t>
      </w:r>
    </w:p>
    <w:p>
      <w:pPr>
        <w:jc w:val="center"/>
        <w:spacing w:after="0" w:line="231" w:lineRule="auto"/>
        <w:rPr>
          <w:sz w:val="20"/>
          <w:szCs w:val="20"/>
          <w:color w:val="auto"/>
        </w:rPr>
      </w:pPr>
      <w:r>
        <w:rPr>
          <w:rFonts w:ascii="Arial" w:cs="Arial" w:eastAsia="Arial" w:hAnsi="Arial"/>
          <w:sz w:val="22"/>
          <w:szCs w:val="22"/>
          <w:color w:val="auto"/>
        </w:rPr>
        <w:t>(Name, Address and Telephone Number of Person</w:t>
      </w:r>
    </w:p>
    <w:p>
      <w:pPr>
        <w:jc w:val="center"/>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August 3, 2023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line="283"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9"/>
          <w:szCs w:val="19"/>
          <w:color w:val="auto"/>
        </w:rPr>
        <w:t>☐</w:t>
      </w:r>
    </w:p>
    <w:p>
      <w:pPr>
        <w:spacing w:after="0" w:line="178"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jc w:val="both"/>
        <w:ind w:firstLine="8"/>
        <w:spacing w:after="0"/>
        <w:tabs>
          <w:tab w:leader="none" w:pos="161"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w w:val="92"/>
              </w:rPr>
              <w:t>CUSIP No: 09075X108</w:t>
            </w:r>
          </w:p>
        </w:tc>
        <w:tc>
          <w:tcPr>
            <w:tcW w:w="560" w:type="dxa"/>
            <w:vAlign w:val="bottom"/>
          </w:tcPr>
          <w:p>
            <w:pPr>
              <w:spacing w:after="0"/>
              <w:rPr>
                <w:sz w:val="20"/>
                <w:szCs w:val="20"/>
                <w:color w:val="auto"/>
              </w:rPr>
            </w:pPr>
          </w:p>
        </w:tc>
        <w:tc>
          <w:tcPr>
            <w:tcW w:w="7640" w:type="dxa"/>
            <w:vAlign w:val="bottom"/>
          </w:tcPr>
          <w:p>
            <w:pPr>
              <w:ind w:left="2680"/>
              <w:spacing w:after="0"/>
              <w:rPr>
                <w:sz w:val="20"/>
                <w:szCs w:val="20"/>
                <w:color w:val="auto"/>
              </w:rPr>
            </w:pPr>
            <w:r>
              <w:rPr>
                <w:rFonts w:ascii="Arial" w:cs="Arial" w:eastAsia="Arial" w:hAnsi="Arial"/>
                <w:sz w:val="18"/>
                <w:szCs w:val="18"/>
                <w:color w:val="auto"/>
              </w:rPr>
              <w:t>SCHEDULE 13D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86"/>
              </w:rPr>
              <w:t>Page 2 of 6 Pages</w:t>
            </w:r>
          </w:p>
        </w:tc>
        <w:tc>
          <w:tcPr>
            <w:tcW w:w="0" w:type="dxa"/>
            <w:vAlign w:val="bottom"/>
          </w:tcPr>
          <w:p>
            <w:pPr>
              <w:spacing w:after="0"/>
              <w:rPr>
                <w:sz w:val="1"/>
                <w:szCs w:val="1"/>
                <w:color w:val="auto"/>
              </w:rPr>
            </w:pPr>
          </w:p>
        </w:tc>
      </w:tr>
      <w:tr>
        <w:trPr>
          <w:trHeight w:val="175"/>
        </w:trPr>
        <w:tc>
          <w:tcPr>
            <w:tcW w:w="9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John Patience</w:t>
            </w: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Pr>
          <w:p>
            <w:pPr>
              <w:spacing w:after="0"/>
              <w:rPr>
                <w:sz w:val="20"/>
                <w:szCs w:val="20"/>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1"/>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7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4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7640" w:type="dxa"/>
            <w:vAlign w:val="bottom"/>
            <w:shd w:val="clear" w:color="auto" w:fill="BFBFBF"/>
          </w:tcPr>
          <w:p>
            <w:pPr>
              <w:spacing w:after="0"/>
              <w:rPr>
                <w:sz w:val="20"/>
                <w:szCs w:val="20"/>
                <w:color w:val="auto"/>
              </w:rPr>
            </w:pPr>
          </w:p>
        </w:tc>
        <w:tc>
          <w:tcPr>
            <w:tcW w:w="780" w:type="dxa"/>
            <w:vAlign w:val="bottom"/>
            <w:shd w:val="clear" w:color="auto" w:fill="BFBFBF"/>
          </w:tcPr>
          <w:p>
            <w:pPr>
              <w:spacing w:after="0"/>
              <w:rPr>
                <w:sz w:val="20"/>
                <w:szCs w:val="20"/>
                <w:color w:val="auto"/>
              </w:rPr>
            </w:pPr>
          </w:p>
        </w:tc>
        <w:tc>
          <w:tcPr>
            <w:tcW w:w="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7640" w:type="dxa"/>
            <w:vAlign w:val="bottom"/>
            <w:shd w:val="clear" w:color="auto" w:fill="BFBFBF"/>
          </w:tcPr>
          <w:p>
            <w:pPr>
              <w:spacing w:after="0"/>
              <w:rPr>
                <w:sz w:val="24"/>
                <w:szCs w:val="24"/>
                <w:color w:val="auto"/>
              </w:rPr>
            </w:pPr>
          </w:p>
        </w:tc>
        <w:tc>
          <w:tcPr>
            <w:tcW w:w="78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Borders>
              <w:left w:val="single" w:sz="8" w:color="auto"/>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60" w:type="dxa"/>
            <w:vAlign w:val="bottom"/>
            <w:tcBorders>
              <w:bottom w:val="single" w:sz="8" w:color="auto"/>
              <w:right w:val="single" w:sz="8" w:color="BFBFBF"/>
            </w:tcBorders>
            <w:shd w:val="clear" w:color="auto" w:fill="BFBFBF"/>
          </w:tcPr>
          <w:p>
            <w:pPr>
              <w:spacing w:after="0"/>
              <w:rPr>
                <w:sz w:val="23"/>
                <w:szCs w:val="23"/>
                <w:color w:val="auto"/>
              </w:rPr>
            </w:pPr>
          </w:p>
        </w:tc>
        <w:tc>
          <w:tcPr>
            <w:tcW w:w="7640" w:type="dxa"/>
            <w:vAlign w:val="bottom"/>
            <w:tcBorders>
              <w:bottom w:val="single" w:sz="8" w:color="auto"/>
            </w:tcBorders>
            <w:shd w:val="clear" w:color="auto" w:fill="BFBFBF"/>
          </w:tcPr>
          <w:p>
            <w:pPr>
              <w:spacing w:after="0"/>
              <w:rPr>
                <w:sz w:val="23"/>
                <w:szCs w:val="23"/>
                <w:color w:val="auto"/>
              </w:rPr>
            </w:pPr>
          </w:p>
        </w:tc>
        <w:tc>
          <w:tcPr>
            <w:tcW w:w="78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PF</w:t>
            </w: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w w:val="99"/>
              </w:rPr>
              <w:t>CHECK BOX IF DISCLOSURE OF LEGAL PROCEEDINGS IS REQUIRED PURSUANT TO ITEM 2(D) OR 2(E)</w:t>
            </w:r>
          </w:p>
        </w:tc>
        <w:tc>
          <w:tcPr>
            <w:tcW w:w="78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6"/>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7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546,288 (1)</w:t>
            </w: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40" w:type="dxa"/>
            <w:vAlign w:val="bottom"/>
          </w:tcPr>
          <w:p>
            <w:pPr>
              <w:spacing w:after="0"/>
              <w:rPr>
                <w:sz w:val="22"/>
                <w:szCs w:val="22"/>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7640" w:type="dxa"/>
            <w:vAlign w:val="bottom"/>
            <w:vMerge w:val="restart"/>
          </w:tcPr>
          <w:p>
            <w:pPr>
              <w:ind w:left="40"/>
              <w:spacing w:after="0"/>
              <w:rPr>
                <w:sz w:val="20"/>
                <w:szCs w:val="20"/>
                <w:color w:val="auto"/>
              </w:rPr>
            </w:pPr>
            <w:r>
              <w:rPr>
                <w:rFonts w:ascii="Arial" w:cs="Arial" w:eastAsia="Arial" w:hAnsi="Arial"/>
                <w:sz w:val="18"/>
                <w:szCs w:val="18"/>
                <w:color w:val="auto"/>
              </w:rPr>
              <w:t>6,990,410</w:t>
            </w:r>
          </w:p>
        </w:tc>
        <w:tc>
          <w:tcPr>
            <w:tcW w:w="7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76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6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7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600" w:type="dxa"/>
            <w:vAlign w:val="bottom"/>
            <w:tcBorders>
              <w:left w:val="single" w:sz="8" w:color="auto"/>
              <w:right w:val="single" w:sz="8" w:color="auto"/>
            </w:tcBorders>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40" w:type="dxa"/>
            <w:vAlign w:val="bottom"/>
          </w:tcPr>
          <w:p>
            <w:pPr>
              <w:spacing w:after="0"/>
              <w:rPr>
                <w:sz w:val="13"/>
                <w:szCs w:val="13"/>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7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546,288 (1)</w:t>
            </w: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PERSON WITH</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7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6,990,410</w:t>
            </w: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7,536,698 (1)</w:t>
            </w: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9820" w:type="dxa"/>
            <w:vAlign w:val="bottom"/>
            <w:tcBorders>
              <w:bottom w:val="single" w:sz="8" w:color="auto"/>
            </w:tcBorders>
            <w:gridSpan w:val="5"/>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20" w:type="dxa"/>
            <w:vAlign w:val="bottom"/>
            <w:gridSpan w:val="5"/>
          </w:tcPr>
          <w:p>
            <w:pPr>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6"/>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9040" w:type="dxa"/>
            <w:vAlign w:val="bottom"/>
            <w:tcBorders>
              <w:bottom w:val="single" w:sz="8" w:color="auto"/>
            </w:tcBorders>
            <w:gridSpan w:val="4"/>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w w:val="94"/>
              </w:rPr>
              <w:t>7.9% (2)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tcBorders>
            <w:gridSpan w:val="4"/>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1.This amount includes 208,362 Shares (as defined herein) that the Reporting Person has the right to acquire within 60 days of the date of this filing.</w:t>
      </w:r>
    </w:p>
    <w:p>
      <w:pPr>
        <w:spacing w:after="0" w:line="35" w:lineRule="exact"/>
        <w:rPr>
          <w:sz w:val="20"/>
          <w:szCs w:val="20"/>
          <w:color w:val="auto"/>
        </w:rPr>
      </w:pPr>
    </w:p>
    <w:p>
      <w:pPr>
        <w:ind w:left="140" w:right="80" w:hanging="134"/>
        <w:spacing w:after="0" w:line="255" w:lineRule="auto"/>
        <w:rPr>
          <w:sz w:val="20"/>
          <w:szCs w:val="20"/>
          <w:color w:val="auto"/>
        </w:rPr>
      </w:pPr>
      <w:r>
        <w:rPr>
          <w:rFonts w:ascii="Arial" w:cs="Arial" w:eastAsia="Arial" w:hAnsi="Arial"/>
          <w:sz w:val="18"/>
          <w:szCs w:val="18"/>
          <w:color w:val="auto"/>
        </w:rPr>
        <w:t>2.This percentage is based on a total of 78,614,114 Shares outstanding as of August 1, 2023, as reported in the Issuer’s quarterly report on Form 10-Q filed on August 7, 2023, plus the aggregate 16,975,298 Shares to be issued in the PIPE (as defined herein), and 208,362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w w:val="92"/>
              </w:rPr>
              <w:t>CUSIP No: 09075X108</w:t>
            </w:r>
          </w:p>
        </w:tc>
        <w:tc>
          <w:tcPr>
            <w:tcW w:w="560" w:type="dxa"/>
            <w:vAlign w:val="bottom"/>
          </w:tcPr>
          <w:p>
            <w:pPr>
              <w:spacing w:after="0"/>
              <w:rPr>
                <w:sz w:val="20"/>
                <w:szCs w:val="20"/>
                <w:color w:val="auto"/>
              </w:rPr>
            </w:pPr>
          </w:p>
        </w:tc>
        <w:tc>
          <w:tcPr>
            <w:tcW w:w="7640" w:type="dxa"/>
            <w:vAlign w:val="bottom"/>
          </w:tcPr>
          <w:p>
            <w:pPr>
              <w:ind w:left="2680"/>
              <w:spacing w:after="0"/>
              <w:rPr>
                <w:sz w:val="20"/>
                <w:szCs w:val="20"/>
                <w:color w:val="auto"/>
              </w:rPr>
            </w:pPr>
            <w:r>
              <w:rPr>
                <w:rFonts w:ascii="Arial" w:cs="Arial" w:eastAsia="Arial" w:hAnsi="Arial"/>
                <w:sz w:val="18"/>
                <w:szCs w:val="18"/>
                <w:color w:val="auto"/>
              </w:rPr>
              <w:t>SCHEDULE 13D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86"/>
              </w:rPr>
              <w:t>Page 3 of 6 Pages</w:t>
            </w:r>
          </w:p>
        </w:tc>
        <w:tc>
          <w:tcPr>
            <w:tcW w:w="0" w:type="dxa"/>
            <w:vAlign w:val="bottom"/>
          </w:tcPr>
          <w:p>
            <w:pPr>
              <w:spacing w:after="0"/>
              <w:rPr>
                <w:sz w:val="1"/>
                <w:szCs w:val="1"/>
                <w:color w:val="auto"/>
              </w:rPr>
            </w:pPr>
          </w:p>
        </w:tc>
      </w:tr>
      <w:tr>
        <w:trPr>
          <w:trHeight w:val="175"/>
        </w:trPr>
        <w:tc>
          <w:tcPr>
            <w:tcW w:w="9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9040" w:type="dxa"/>
            <w:vAlign w:val="bottom"/>
            <w:gridSpan w:val="4"/>
          </w:tcPr>
          <w:p>
            <w:pPr>
              <w:ind w:left="20"/>
              <w:spacing w:after="0"/>
              <w:rPr>
                <w:sz w:val="20"/>
                <w:szCs w:val="20"/>
                <w:color w:val="auto"/>
              </w:rPr>
            </w:pPr>
            <w:r>
              <w:rPr>
                <w:rFonts w:ascii="Arial" w:cs="Arial" w:eastAsia="Arial" w:hAnsi="Arial"/>
                <w:sz w:val="18"/>
                <w:szCs w:val="18"/>
                <w:color w:val="auto"/>
              </w:rPr>
              <w:t>John Patience Living Trust dated 7/23/1993</w:t>
            </w: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Pr>
          <w:p>
            <w:pPr>
              <w:spacing w:after="0"/>
              <w:rPr>
                <w:sz w:val="20"/>
                <w:szCs w:val="20"/>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1"/>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7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400" w:type="dxa"/>
            <w:vAlign w:val="bottom"/>
            <w:tcBorders>
              <w:right w:val="single" w:sz="8" w:color="BFBFBF"/>
            </w:tcBorders>
            <w:gridSpan w:val="3"/>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7640" w:type="dxa"/>
            <w:vAlign w:val="bottom"/>
            <w:shd w:val="clear" w:color="auto" w:fill="BFBFBF"/>
          </w:tcPr>
          <w:p>
            <w:pPr>
              <w:spacing w:after="0"/>
              <w:rPr>
                <w:sz w:val="20"/>
                <w:szCs w:val="20"/>
                <w:color w:val="auto"/>
              </w:rPr>
            </w:pPr>
          </w:p>
        </w:tc>
        <w:tc>
          <w:tcPr>
            <w:tcW w:w="780" w:type="dxa"/>
            <w:vAlign w:val="bottom"/>
            <w:shd w:val="clear" w:color="auto" w:fill="BFBFBF"/>
          </w:tcPr>
          <w:p>
            <w:pPr>
              <w:spacing w:after="0"/>
              <w:rPr>
                <w:sz w:val="20"/>
                <w:szCs w:val="20"/>
                <w:color w:val="auto"/>
              </w:rPr>
            </w:pPr>
          </w:p>
        </w:tc>
        <w:tc>
          <w:tcPr>
            <w:tcW w:w="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7640" w:type="dxa"/>
            <w:vAlign w:val="bottom"/>
            <w:shd w:val="clear" w:color="auto" w:fill="BFBFBF"/>
          </w:tcPr>
          <w:p>
            <w:pPr>
              <w:spacing w:after="0"/>
              <w:rPr>
                <w:sz w:val="24"/>
                <w:szCs w:val="24"/>
                <w:color w:val="auto"/>
              </w:rPr>
            </w:pPr>
          </w:p>
        </w:tc>
        <w:tc>
          <w:tcPr>
            <w:tcW w:w="78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Borders>
              <w:left w:val="single" w:sz="8" w:color="auto"/>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60" w:type="dxa"/>
            <w:vAlign w:val="bottom"/>
            <w:tcBorders>
              <w:bottom w:val="single" w:sz="8" w:color="auto"/>
              <w:right w:val="single" w:sz="8" w:color="BFBFBF"/>
            </w:tcBorders>
            <w:shd w:val="clear" w:color="auto" w:fill="BFBFBF"/>
          </w:tcPr>
          <w:p>
            <w:pPr>
              <w:spacing w:after="0"/>
              <w:rPr>
                <w:sz w:val="23"/>
                <w:szCs w:val="23"/>
                <w:color w:val="auto"/>
              </w:rPr>
            </w:pPr>
          </w:p>
        </w:tc>
        <w:tc>
          <w:tcPr>
            <w:tcW w:w="7640" w:type="dxa"/>
            <w:vAlign w:val="bottom"/>
            <w:tcBorders>
              <w:bottom w:val="single" w:sz="8" w:color="auto"/>
            </w:tcBorders>
            <w:shd w:val="clear" w:color="auto" w:fill="BFBFBF"/>
          </w:tcPr>
          <w:p>
            <w:pPr>
              <w:spacing w:after="0"/>
              <w:rPr>
                <w:sz w:val="23"/>
                <w:szCs w:val="23"/>
                <w:color w:val="auto"/>
              </w:rPr>
            </w:pPr>
          </w:p>
        </w:tc>
        <w:tc>
          <w:tcPr>
            <w:tcW w:w="78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WC</w:t>
            </w: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w w:val="99"/>
              </w:rPr>
              <w:t>CHECK BOX IF DISCLOSURE OF LEGAL PROCEEDINGS IS REQUIRED PURSUANT TO ITEM 2(D) OR 2(E)</w:t>
            </w:r>
          </w:p>
        </w:tc>
        <w:tc>
          <w:tcPr>
            <w:tcW w:w="78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6"/>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7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40" w:type="dxa"/>
            <w:vAlign w:val="bottom"/>
          </w:tcPr>
          <w:p>
            <w:pPr>
              <w:spacing w:after="0"/>
              <w:rPr>
                <w:sz w:val="22"/>
                <w:szCs w:val="22"/>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4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7640" w:type="dxa"/>
            <w:vAlign w:val="bottom"/>
            <w:vMerge w:val="restart"/>
          </w:tcPr>
          <w:p>
            <w:pPr>
              <w:ind w:left="40"/>
              <w:spacing w:after="0"/>
              <w:rPr>
                <w:sz w:val="20"/>
                <w:szCs w:val="20"/>
                <w:color w:val="auto"/>
              </w:rPr>
            </w:pPr>
            <w:r>
              <w:rPr>
                <w:rFonts w:ascii="Arial" w:cs="Arial" w:eastAsia="Arial" w:hAnsi="Arial"/>
                <w:sz w:val="18"/>
                <w:szCs w:val="18"/>
                <w:color w:val="auto"/>
              </w:rPr>
              <w:t>4,612,211</w:t>
            </w:r>
          </w:p>
        </w:tc>
        <w:tc>
          <w:tcPr>
            <w:tcW w:w="7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76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6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7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600" w:type="dxa"/>
            <w:vAlign w:val="bottom"/>
            <w:tcBorders>
              <w:left w:val="single" w:sz="8" w:color="auto"/>
              <w:right w:val="single" w:sz="8" w:color="auto"/>
            </w:tcBorders>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6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40" w:type="dxa"/>
            <w:vAlign w:val="bottom"/>
          </w:tcPr>
          <w:p>
            <w:pPr>
              <w:spacing w:after="0"/>
              <w:rPr>
                <w:sz w:val="13"/>
                <w:szCs w:val="13"/>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60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7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PERSON WITH</w:t>
            </w:r>
          </w:p>
        </w:tc>
        <w:tc>
          <w:tcPr>
            <w:tcW w:w="1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18"/>
                <w:szCs w:val="18"/>
                <w:color w:val="auto"/>
              </w:rPr>
              <w:t>4,612,211</w:t>
            </w: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99"/>
              </w:rPr>
              <w:t>4,612,211</w:t>
            </w: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9820" w:type="dxa"/>
            <w:vAlign w:val="bottom"/>
            <w:tcBorders>
              <w:bottom w:val="single" w:sz="8" w:color="auto"/>
            </w:tcBorders>
            <w:gridSpan w:val="5"/>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20" w:type="dxa"/>
            <w:vAlign w:val="bottom"/>
            <w:gridSpan w:val="5"/>
          </w:tcPr>
          <w:p>
            <w:pPr>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6"/>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9040" w:type="dxa"/>
            <w:vAlign w:val="bottom"/>
            <w:tcBorders>
              <w:bottom w:val="single" w:sz="8" w:color="auto"/>
            </w:tcBorders>
            <w:gridSpan w:val="4"/>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w w:val="94"/>
              </w:rPr>
              <w:t>4.8% (1)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9040" w:type="dxa"/>
            <w:vAlign w:val="bottom"/>
            <w:tcBorders>
              <w:bottom w:val="single" w:sz="8" w:color="auto"/>
            </w:tcBorders>
            <w:gridSpan w:val="4"/>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0" w:right="80" w:hanging="134"/>
        <w:spacing w:after="0" w:line="277" w:lineRule="auto"/>
        <w:rPr>
          <w:sz w:val="20"/>
          <w:szCs w:val="20"/>
          <w:color w:val="auto"/>
        </w:rPr>
      </w:pPr>
      <w:r>
        <w:rPr>
          <w:rFonts w:ascii="Arial" w:cs="Arial" w:eastAsia="Arial" w:hAnsi="Arial"/>
          <w:sz w:val="18"/>
          <w:szCs w:val="18"/>
          <w:color w:val="auto"/>
        </w:rPr>
        <w:t>1.This percentage is based on a total of 78,614,114 Shares outstanding as of August 1, 2023, as reported in the Issuer’s quarterly report on Form 10-Q filed on August 7, 2023, plus the aggregate 16,975,298 Shares to be issued in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4960" w:val="left"/>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4 of 6 Pages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1 of the Schedule 13D is hereby amended and supplemented as follows:</w:t>
      </w: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This Amendment No. 1 to Schedule 13D (“Amendment No. 1”) is being filed by the undersigned, pursuant to §240.13d-2(a), to amend and supplement the Schedule 13D filed with the U.S. Securities and Exchange Commission (the “SEC”) on December 1, 2022 (together with this Amendment No. 1, the “Schedule 13D”), with respect to the common stock, par value $0.001 per share (the “Shares”), of Biodesix, Inc. (the “Issuer” or the “Company”), whose principal executive offices are located at 2970 Wilderness Place, Suite 100, Boulder, Colorado 80301.</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3 of the Schedule 13D is hereby amended and supplemented as follows:</w:t>
      </w:r>
    </w:p>
    <w:p>
      <w:pPr>
        <w:spacing w:after="0" w:line="23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On August 3, 2023, the Issuer entered into subscription agreements (the “Subscription Agreements”) with certain shareholders of the Issuer, including the Trust and Ventana Charitable Foundation, a charitable organization of which Mr. Patience serves as director and President (“Ventana”), and management (the “Subscribers”), pursuant to which the Subscribers agreed to subscribe for and purchase, and the Issuer agreed to issue and sell to the Subscribers, an aggregate of 16,975,298 Shares in a private equity offering, at a purchase price of $1.62 per Share, for an aggregate purchase price of approximately $27.5 million (the “PIPE”). Pursuant to the Subscription Agreements, funding will occur in two separate tranches on August 31, 2023 and September 29, 2023. The Subscription Agreements include customary representations, warranties and covenants by the parties to the Subscription Agreements. The Subscription Agreements do not include any registration rights.</w:t>
      </w:r>
    </w:p>
    <w:p>
      <w:pPr>
        <w:spacing w:after="0" w:line="18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Trust purchased 61,728 Shares in the PIPE, at a purchase price of $1.62 per Share, for an aggregate purchase price of approximately $100,000, using the working capital of the Trust. Ventana purchased 246,913 Shares in the PIPE, at a purchase price of $1.62 per Share, for an aggregate purchase price of approximately $400,000, using the working capital of Ventana.</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foregoing description of the Subscription Agreements does not purport to be complete and is qualified in its entirety by reference to the full text of the Subscription Agreements, the form of which is attached as Exhibit 3 to this Amendment No. 1 and is incorporated herein by reference.</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4 of the Schedule 13D is hereby amended and supplemented as follows: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3 of this Amendment No. 1 is incorporated by reference herein.</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5(a) - (c) of the Schedule 13D is hereby amended and supplemented as follows:</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 b) As of the date hereof, Mr. Patience may be deemed to beneficially own, in the aggregate, 7,536,698 Shares, which represents approximately 7.9% of the Shares outstanding.</w:t>
      </w:r>
    </w:p>
    <w:p>
      <w:pPr>
        <w:spacing w:after="0" w:line="20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Mr. Patience’s beneficial ownership consists of (1) 337,926 Shares held directly by Mr. Patience, (2) 46,102 Shares that Mr. Patience has the right to acquire upon exercise of options exercisable within 60 days of the date of this filing, (3) 162,260 Shares that Mr. Patience has the right to acquire upon vesting of RSUs within 60 days of the date of this filing, (4) 4,612,211 Shares held by the Trust, representing approximately 4.8% of the Shares outstanding, (5) 2,078,298 Shares held by Patience Enterprises LP, (6) 52,988 Shares held by Mr. Patience’s spouse, and (7) 246,913 Shares held by Ventana.</w:t>
      </w:r>
    </w:p>
    <w:p>
      <w:pPr>
        <w:spacing w:after="0" w:line="17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The foregoing beneficial ownership percentages are based on a total of 78,614,114 Shares outstanding as of August 1, 2023, as reported in the Issuer’s quarterly report on Form 10-Q filed on August 7, 2023, plus the aggregate 16,975,298 Shares to be issued in the PIPE, and, for purposes of calculating Mr. Patience’s beneficial ownership percentage, 208,362 Shares that Mr. Patience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tabs>
          <w:tab w:leader="none" w:pos="4960" w:val="left"/>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5 of 6 Pages</w:t>
      </w:r>
    </w:p>
    <w:p>
      <w:pPr>
        <w:spacing w:after="0" w:line="177"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As sole trustee of the Trust, Mr. Patience shares with the Trust the power to vote or direct the vote, and the power to dispose or direct the disposition of, the 4,612,211 Shares beneficially owned by the Trust.</w:t>
      </w:r>
    </w:p>
    <w:p>
      <w:pPr>
        <w:spacing w:after="0" w:line="202" w:lineRule="exact"/>
        <w:rPr>
          <w:sz w:val="20"/>
          <w:szCs w:val="20"/>
          <w:color w:val="auto"/>
        </w:rPr>
      </w:pPr>
    </w:p>
    <w:p>
      <w:pPr>
        <w:ind w:firstLine="1304"/>
        <w:spacing w:after="0" w:line="328" w:lineRule="auto"/>
        <w:tabs>
          <w:tab w:leader="none" w:pos="1586"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response to Item 3 of this Amendment No. 1 is incorporated by reference herein. Except as set forth in this Amendment No. 1, no transactions in the Shares have been effected by the Reporting Person within the past 60 days.</w:t>
      </w:r>
    </w:p>
    <w:p>
      <w:pPr>
        <w:spacing w:after="0" w:line="1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6 of the Schedule 13D is hereby amended and supplemented as follows: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3 of this Amendment No. 1 is incorporated by reference herein.</w:t>
      </w:r>
    </w:p>
    <w:p>
      <w:pPr>
        <w:spacing w:after="0" w:line="233"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Except as otherwise set forth in this Amendment No. 1, there are no contracts, arrangements, understandings or relationships between the Reporting Persons and any other person with respect to any securities of the Issuer.</w:t>
      </w:r>
    </w:p>
    <w:p>
      <w:pPr>
        <w:spacing w:after="0" w:line="1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7 of the Schedule 13D is hereby amended and supplemented as follows:</w:t>
      </w:r>
    </w:p>
    <w:p>
      <w:pPr>
        <w:spacing w:after="0" w:line="222" w:lineRule="exact"/>
        <w:rPr>
          <w:sz w:val="20"/>
          <w:szCs w:val="20"/>
          <w:color w:val="auto"/>
        </w:rPr>
      </w:pPr>
    </w:p>
    <w:p>
      <w:pPr>
        <w:ind w:left="1140" w:right="360" w:hanging="1122"/>
        <w:spacing w:after="0" w:line="277" w:lineRule="auto"/>
        <w:tabs>
          <w:tab w:leader="none" w:pos="112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Form of Subscription Agreement (incorporated by reference to Exhibit 10.1 to the Issuer’s quarterly report on Form 10-Q filed with the SEC on August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4960" w:val="left"/>
          <w:tab w:leader="none" w:pos="994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6 of 6 Pages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John Patience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John Patience Living Trust dated 7/23/1993</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Patience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7, 2023</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2023-08-07T16:28:19Z</dcterms:created>
  <dcterms:modified xsi:type="dcterms:W3CDTF">2023-08-07T16:28:19Z</dcterms:modified>
</cp:coreProperties>
</file>