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November 24,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333-261095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TO</w:t>
      </w:r>
    </w:p>
    <w:p>
      <w:pPr>
        <w:jc w:val="center"/>
        <w:ind w:right="-119"/>
        <w:spacing w:after="0" w:line="237" w:lineRule="auto"/>
        <w:rPr>
          <w:sz w:val="20"/>
          <w:szCs w:val="20"/>
          <w:color w:val="auto"/>
        </w:rPr>
      </w:pPr>
      <w:r>
        <w:rPr>
          <w:rFonts w:ascii="Arial" w:cs="Arial" w:eastAsia="Arial" w:hAnsi="Arial"/>
          <w:sz w:val="32"/>
          <w:szCs w:val="32"/>
          <w:b w:val="1"/>
          <w:bCs w:val="1"/>
          <w:color w:val="auto"/>
        </w:rPr>
        <w:t>FORM S-3</w:t>
      </w: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BIODESIX,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40"/>
          </w:cols>
          <w:pgMar w:left="320" w:top="230" w:right="439" w:bottom="927" w:gutter="0" w:footer="0" w:header="0"/>
        </w:sectPr>
      </w:pPr>
    </w:p>
    <w:p>
      <w:pPr>
        <w:spacing w:after="0" w:line="232"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20-3986492</w:t>
      </w:r>
    </w:p>
    <w:p>
      <w:pPr>
        <w:spacing w:after="0" w:line="31" w:lineRule="exact"/>
        <w:rPr>
          <w:sz w:val="24"/>
          <w:szCs w:val="24"/>
          <w:color w:val="auto"/>
        </w:rPr>
      </w:pPr>
    </w:p>
    <w:p>
      <w:pPr>
        <w:sectPr>
          <w:pgSz w:w="11900" w:h="16838" w:orient="portrait"/>
          <w:cols w:equalWidth="0" w:num="2">
            <w:col w:w="7300" w:space="720"/>
            <w:col w:w="3120"/>
          </w:cols>
          <w:pgMar w:left="320" w:top="230" w:right="439" w:bottom="927"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Arial" w:cs="Arial" w:eastAsia="Arial" w:hAnsi="Arial"/>
          <w:sz w:val="14"/>
          <w:szCs w:val="14"/>
          <w:b w:val="1"/>
          <w:bCs w:val="1"/>
          <w:color w:val="auto"/>
        </w:rPr>
        <w:t>(I.R.S. Employer</w:t>
      </w:r>
    </w:p>
    <w:p>
      <w:pPr>
        <w:jc w:val="center"/>
        <w:ind w:right="1960"/>
        <w:spacing w:after="0"/>
        <w:rPr>
          <w:sz w:val="20"/>
          <w:szCs w:val="20"/>
          <w:color w:val="auto"/>
        </w:rPr>
      </w:pPr>
      <w:r>
        <w:rPr>
          <w:rFonts w:ascii="Arial" w:cs="Arial" w:eastAsia="Arial" w:hAnsi="Arial"/>
          <w:sz w:val="13"/>
          <w:szCs w:val="13"/>
          <w:b w:val="1"/>
          <w:bCs w:val="1"/>
          <w:color w:val="auto"/>
        </w:rPr>
        <w:t>Identification Number)</w:t>
      </w:r>
    </w:p>
    <w:p>
      <w:pPr>
        <w:spacing w:after="0" w:line="21" w:lineRule="exact"/>
        <w:rPr>
          <w:sz w:val="24"/>
          <w:szCs w:val="24"/>
          <w:color w:val="auto"/>
        </w:rPr>
      </w:pPr>
    </w:p>
    <w:p>
      <w:pPr>
        <w:sectPr>
          <w:pgSz w:w="11900" w:h="16838" w:orient="portrait"/>
          <w:cols w:equalWidth="0" w:num="2">
            <w:col w:w="7020" w:space="720"/>
            <w:col w:w="3400"/>
          </w:cols>
          <w:pgMar w:left="320" w:top="230" w:right="439" w:bottom="927"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Biodesix, Inc.</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2970 Wilderness Place, Suite 100</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Boulder, Colorado 80301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(303) 417-0500</w:t>
      </w:r>
    </w:p>
    <w:p>
      <w:pPr>
        <w:sectPr>
          <w:pgSz w:w="11900" w:h="16838" w:orient="portrait"/>
          <w:cols w:equalWidth="0" w:num="1">
            <w:col w:w="11140"/>
          </w:cols>
          <w:pgMar w:left="320" w:top="230" w:right="439" w:bottom="927" w:gutter="0" w:footer="0" w:header="0"/>
          <w:type w:val="continuous"/>
        </w:sectPr>
      </w:pP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Scott Hutton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Biodesix, Inc.</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2970 Wilderness Place, Suite 100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Boulder, Colorado 80301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(303) 417-0500</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Frank F. Rahmani, Esq.</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Samir A. Gandhi, Esq.</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Sidley Austin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555 California Street, Suite 2000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San Francisco, California 94104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Telephone: (415) 772-1200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Facsimile: (415) 772-7400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becomes effective.</w:t>
      </w:r>
    </w:p>
    <w:p>
      <w:pPr>
        <w:spacing w:after="0" w:line="252" w:lineRule="exact"/>
        <w:rPr>
          <w:sz w:val="24"/>
          <w:szCs w:val="24"/>
          <w:color w:val="auto"/>
        </w:rPr>
      </w:pPr>
    </w:p>
    <w:p>
      <w:pPr>
        <w:ind w:left="120" w:right="72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8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28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ectPr>
          <w:pgSz w:w="11900" w:h="16838" w:orient="portrait"/>
          <w:cols w:equalWidth="0" w:num="1">
            <w:col w:w="11140"/>
          </w:cols>
          <w:pgMar w:left="320" w:top="230" w:right="439" w:bottom="927"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ind w:left="120" w:right="2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left="120" w:right="68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120"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right="160" w:firstLine="44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base prospectus which covers the offering, issuance and sale by the Registrant of up to a maximum aggregate offering price of</w:t>
      </w:r>
    </w:p>
    <w:p>
      <w:pPr>
        <w:spacing w:after="0" w:line="34"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6"/>
          <w:szCs w:val="16"/>
          <w:color w:val="auto"/>
        </w:rPr>
        <w:t>$250,000,000 of the Registrant’s common stock, preferred stock, warrants, rights to purchase common stock, preferred stock and units; and</w:t>
      </w:r>
    </w:p>
    <w:p>
      <w:pPr>
        <w:spacing w:after="0" w:line="139" w:lineRule="exact"/>
        <w:rPr>
          <w:rFonts w:ascii="Arial" w:cs="Arial" w:eastAsia="Arial" w:hAnsi="Arial"/>
          <w:sz w:val="17"/>
          <w:szCs w:val="17"/>
          <w:color w:val="auto"/>
        </w:rPr>
      </w:pPr>
    </w:p>
    <w:p>
      <w:pPr>
        <w:ind w:left="1080" w:right="22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sales agreement prospectus covering the offering, issuance and sale by the Registrant of up to a maximum aggregate offering price of $50,000,000 of shares of the Registrant’s common stock that may be offered, issued and sold from time to time under a sales agreement, dated November 15, 2021, with Cowen and Company, LLC.</w:t>
      </w:r>
    </w:p>
    <w:p>
      <w:pPr>
        <w:spacing w:after="0" w:line="18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base prospectus immediately follows this explanatory note. The specific terms of any securities to be offered pursuant to the base prospectus will be specified in a prospectus supplement to the base prospectus. The sales agreement prospectus immediately follows the base prospectus. The common stock that may be offered, issued and sold by the Registrant under the sales agreement prospectus is included in the $250,000,000 of securities that may be offered, issued and sold by the Registrant under the base prospectus. Upon termination of the sales agreement with Cowen and Company, LLC, any portion of the $50,000,000 included in the sales agreement prospectus that is not sold pursuant to such sales agreement will be available for sale in other offerings pursuant to the base prospectus and a corresponding prospectus supplement related to any such other offering.</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or jurisdiction where such offer or sale is not permitted.</w:t>
      </w: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November 24,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171450</wp:posOffset>
            </wp:positionV>
            <wp:extent cx="199707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70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$250,000,000</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BIODESIX, INC.</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Rights to Purchase Common Stock, Preferred Stock or Units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We may offer and sell from time to time our shares of common stock, shares of preferred stock, warrants, rights to purchase common stock, preferred stock or units, as well as units that include any of these securities. We may sell any combination of these securities in one or more offerings with an aggregate offering price of up to $250,000,000.</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prospectus provides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offer and sell securities unless accompanied by the applicable prospectus supplement.</w:t>
      </w:r>
    </w:p>
    <w:p>
      <w:pPr>
        <w:spacing w:after="0" w:line="22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“BDSX.” On November 23, 2021, the last reported sale price of our common stock was $6.29.</w:t>
      </w:r>
    </w:p>
    <w:p>
      <w:pPr>
        <w:spacing w:after="0" w:line="170"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may sell the securities directly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8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right="36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2 of this prospectus</w:t>
      </w:r>
      <w:r>
        <w:rPr>
          <w:rFonts w:ascii="Arial" w:cs="Arial" w:eastAsia="Arial" w:hAnsi="Arial"/>
          <w:sz w:val="22"/>
          <w:szCs w:val="22"/>
          <w:b w:val="1"/>
          <w:bCs w:val="1"/>
          <w:i w:val="1"/>
          <w:iCs w:val="1"/>
          <w:color w:val="auto"/>
        </w:rPr>
        <w:t>.</w:t>
      </w:r>
    </w:p>
    <w:p>
      <w:pPr>
        <w:spacing w:after="0" w:line="189"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140" w:type="dxa"/>
            <w:vAlign w:val="bottom"/>
            <w:gridSpan w:val="15"/>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9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02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20" w:type="dxa"/>
            <w:vAlign w:val="bottom"/>
          </w:tcPr>
          <w:p>
            <w:pPr>
              <w:spacing w:after="0"/>
              <w:rPr>
                <w:sz w:val="19"/>
                <w:szCs w:val="19"/>
                <w:color w:val="auto"/>
              </w:rPr>
            </w:pPr>
          </w:p>
        </w:tc>
        <w:tc>
          <w:tcPr>
            <w:tcW w:w="2220" w:type="dxa"/>
            <w:vAlign w:val="bottom"/>
            <w:tcBorders>
              <w:top w:val="single" w:sz="8" w:color="0000EE"/>
            </w:tcBorders>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800" w:type="dxa"/>
            <w:vAlign w:val="bottom"/>
            <w:gridSpan w:val="5"/>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02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120" w:type="dxa"/>
            <w:vAlign w:val="bottom"/>
          </w:tcPr>
          <w:p>
            <w:pPr>
              <w:spacing w:after="0"/>
              <w:rPr>
                <w:sz w:val="19"/>
                <w:szCs w:val="19"/>
                <w:color w:val="auto"/>
              </w:rPr>
            </w:pPr>
          </w:p>
        </w:tc>
        <w:tc>
          <w:tcPr>
            <w:tcW w:w="2920" w:type="dxa"/>
            <w:vAlign w:val="bottom"/>
            <w:tcBorders>
              <w:top w:val="single" w:sz="8" w:color="0000EE"/>
            </w:tcBorders>
            <w:gridSpan w:val="1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BIODESIX, INC.</w:t>
              </w:r>
            </w:hyperlink>
          </w:p>
        </w:tc>
        <w:tc>
          <w:tcPr>
            <w:tcW w:w="1100" w:type="dxa"/>
            <w:vAlign w:val="bottom"/>
            <w:gridSpan w:val="2"/>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5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USE OF PROCEEDS</w:t>
              </w:r>
            </w:hyperlink>
          </w:p>
        </w:tc>
        <w:tc>
          <w:tcPr>
            <w:tcW w:w="2440" w:type="dxa"/>
            <w:vAlign w:val="bottom"/>
            <w:gridSpan w:val="9"/>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120" w:type="dxa"/>
            <w:vAlign w:val="bottom"/>
          </w:tcPr>
          <w:p>
            <w:pPr>
              <w:spacing w:after="0"/>
              <w:rPr>
                <w:sz w:val="19"/>
                <w:szCs w:val="19"/>
                <w:color w:val="auto"/>
              </w:rPr>
            </w:pPr>
          </w:p>
        </w:tc>
        <w:tc>
          <w:tcPr>
            <w:tcW w:w="4020" w:type="dxa"/>
            <w:vAlign w:val="bottom"/>
            <w:gridSpan w:val="1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DESCRIPTION OF CAPITAL STOCK</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120" w:type="dxa"/>
            <w:vAlign w:val="bottom"/>
          </w:tcPr>
          <w:p>
            <w:pPr>
              <w:spacing w:after="0"/>
              <w:rPr>
                <w:sz w:val="19"/>
                <w:szCs w:val="19"/>
                <w:color w:val="auto"/>
              </w:rPr>
            </w:pPr>
          </w:p>
        </w:tc>
        <w:tc>
          <w:tcPr>
            <w:tcW w:w="24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DESCRIPTION OF WARRANTS</w:t>
              </w:r>
            </w:hyperlink>
          </w:p>
        </w:tc>
        <w:tc>
          <w:tcPr>
            <w:tcW w:w="380" w:type="dxa"/>
            <w:vAlign w:val="bottom"/>
            <w:tcBorders>
              <w:top w:val="single" w:sz="8" w:color="0000EE"/>
            </w:tcBorders>
          </w:tcPr>
          <w:p>
            <w:pPr>
              <w:spacing w:after="0"/>
              <w:rPr>
                <w:sz w:val="19"/>
                <w:szCs w:val="19"/>
                <w:color w:val="auto"/>
              </w:rPr>
            </w:pPr>
          </w:p>
        </w:tc>
        <w:tc>
          <w:tcPr>
            <w:tcW w:w="1160" w:type="dxa"/>
            <w:vAlign w:val="bottom"/>
            <w:gridSpan w:val="3"/>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120" w:type="dxa"/>
            <w:vAlign w:val="bottom"/>
          </w:tcPr>
          <w:p>
            <w:pPr>
              <w:spacing w:after="0"/>
              <w:rPr>
                <w:sz w:val="19"/>
                <w:szCs w:val="19"/>
                <w:color w:val="auto"/>
              </w:rPr>
            </w:pPr>
          </w:p>
        </w:tc>
        <w:tc>
          <w:tcPr>
            <w:tcW w:w="21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DESCRIPTION OF RIGHTS</w:t>
              </w:r>
            </w:hyperlink>
          </w:p>
        </w:tc>
        <w:tc>
          <w:tcPr>
            <w:tcW w:w="1880" w:type="dxa"/>
            <w:vAlign w:val="bottom"/>
            <w:gridSpan w:val="6"/>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120" w:type="dxa"/>
            <w:vAlign w:val="bottom"/>
          </w:tcPr>
          <w:p>
            <w:pPr>
              <w:spacing w:after="0"/>
              <w:rPr>
                <w:sz w:val="19"/>
                <w:szCs w:val="19"/>
                <w:color w:val="auto"/>
              </w:rPr>
            </w:pPr>
          </w:p>
        </w:tc>
        <w:tc>
          <w:tcPr>
            <w:tcW w:w="20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DESCRIPTION OF UNITS</w:t>
              </w:r>
            </w:hyperlink>
          </w:p>
        </w:tc>
        <w:tc>
          <w:tcPr>
            <w:tcW w:w="2000" w:type="dxa"/>
            <w:vAlign w:val="bottom"/>
            <w:gridSpan w:val="8"/>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120" w:type="dxa"/>
            <w:vAlign w:val="bottom"/>
          </w:tcPr>
          <w:p>
            <w:pPr>
              <w:spacing w:after="0"/>
              <w:rPr>
                <w:sz w:val="19"/>
                <w:szCs w:val="19"/>
                <w:color w:val="auto"/>
              </w:rPr>
            </w:pPr>
          </w:p>
        </w:tc>
        <w:tc>
          <w:tcPr>
            <w:tcW w:w="402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PLAN OF DISTRIBUTION</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120" w:type="dxa"/>
            <w:vAlign w:val="bottom"/>
          </w:tcPr>
          <w:p>
            <w:pPr>
              <w:spacing w:after="0"/>
              <w:rPr>
                <w:sz w:val="19"/>
                <w:szCs w:val="19"/>
                <w:color w:val="auto"/>
              </w:rPr>
            </w:pPr>
          </w:p>
        </w:tc>
        <w:tc>
          <w:tcPr>
            <w:tcW w:w="1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9"/>
                <w:szCs w:val="19"/>
                <w:color w:val="auto"/>
              </w:rPr>
            </w:pPr>
          </w:p>
        </w:tc>
        <w:tc>
          <w:tcPr>
            <w:tcW w:w="1980" w:type="dxa"/>
            <w:vAlign w:val="bottom"/>
            <w:gridSpan w:val="7"/>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20" w:type="dxa"/>
            <w:vAlign w:val="bottom"/>
          </w:tcPr>
          <w:p>
            <w:pPr>
              <w:spacing w:after="0"/>
              <w:rPr>
                <w:sz w:val="19"/>
                <w:szCs w:val="19"/>
                <w:color w:val="auto"/>
              </w:rPr>
            </w:pPr>
          </w:p>
        </w:tc>
        <w:tc>
          <w:tcPr>
            <w:tcW w:w="402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02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3800" w:type="dxa"/>
            <w:vAlign w:val="bottom"/>
            <w:gridSpan w:val="1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02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INFORMATION INCORPORATED BY REFERENCE</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(the “SEC”), using a “shelf” registration process. Under this shelf registration process, we may offer and sell from time to time any combination of the securities described in this prospectus in one or more offerings in amounts, at prices and on terms that we determine at the time of the offering, with an aggregate offering price of up to $250,000,000. This prospectus provides you with a general description of the securities we may offer.</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Each time we offer securities,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You should read both this prospectus and any accompanying prospectus supplement together with the additional information incorporated by reference. See “Where You Can Find More Information” and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6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may sell our securities to or through underwriters,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dealers or agents involved in the sale of our securities, and any related fee, commission or discount arrangements. See “Plan of Distribution.”</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terms “Biodesix,” the “Company,” “our,” “us” and “we,” as used in this prospectus, refer to Biodesix, Inc., unless we state otherwise or the context indicates otherwise.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specific risks discussed or incorporated by reference into the applicable prospectus supplement, together with all the other information contained in the prospectus or incorporated by reference into this prospectus and the applicable prospectus supplement. You should also consider the risks, uncertainties and assumptions discussed under the caption “Risk Factors” included in our Annual Report on Form 10-K for the year ended December 31, 2020 and in our Quarterly Reports on Form 10-Q for the periods ended March 31, June 30 and September 30, 2021,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 occurrence of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83" w:lineRule="exact"/>
        <w:rPr>
          <w:sz w:val="20"/>
          <w:szCs w:val="20"/>
          <w:color w:val="auto"/>
        </w:rPr>
      </w:pPr>
    </w:p>
    <w:p>
      <w:pPr>
        <w:ind w:left="1080" w:hanging="424"/>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continuing spread of COVID-19 (including notable and severe mutations of the virus) may have a material adverse effect on our operations, our ability to generate revenues and income, and our ability to maintain compliance with our debt covenants and, under certain circumstances, remain a going concern;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significant fluctuation in our operating results, causing our operating results to fall below expectations or any guidance we provide;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demand for our COVID-19 and antibody testing program and our ability to meet such demand;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of substantial liabilities and limiting or halting the marketing and sale of our diagnostic tests due to product liability lawsuits;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459" w:right="5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459" w:right="5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w:t>
      </w:r>
      <w:r>
        <w:rPr>
          <w:rFonts w:ascii="Arial" w:cs="Arial" w:eastAsia="Arial" w:hAnsi="Arial"/>
          <w:sz w:val="15"/>
          <w:szCs w:val="15"/>
          <w:color w:val="auto"/>
        </w:rPr>
        <w:t>™</w:t>
      </w:r>
      <w:r>
        <w:rPr>
          <w:rFonts w:ascii="Arial" w:cs="Arial" w:eastAsia="Arial" w:hAnsi="Arial"/>
          <w:sz w:val="18"/>
          <w:szCs w:val="18"/>
          <w:color w:val="auto"/>
        </w:rPr>
        <w:t xml:space="preserve">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Blood-Based Lung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offers four blood-based lung cancer tests across the lung cancer continuum of care:</w:t>
      </w:r>
    </w:p>
    <w:p>
      <w:pPr>
        <w:spacing w:after="0" w:line="131" w:lineRule="exact"/>
        <w:rPr>
          <w:sz w:val="20"/>
          <w:szCs w:val="20"/>
          <w:color w:val="auto"/>
        </w:rPr>
      </w:pPr>
    </w:p>
    <w:p>
      <w:pPr>
        <w:ind w:left="1080" w:right="10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Nodify XL2</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tests, marketed as our Nodify Lung</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 of lung</w:t>
      </w:r>
      <w:r>
        <w:rPr>
          <w:rFonts w:ascii="Arial" w:cs="Arial" w:eastAsia="Arial" w:hAnsi="Arial"/>
          <w:sz w:val="18"/>
          <w:szCs w:val="18"/>
          <w:i w:val="1"/>
          <w:iCs w:val="1"/>
          <w:color w:val="auto"/>
        </w:rPr>
        <w:t xml:space="preserve"> </w:t>
      </w:r>
      <w:r>
        <w:rPr>
          <w:rFonts w:ascii="Arial" w:cs="Arial" w:eastAsia="Arial" w:hAnsi="Arial"/>
          <w:sz w:val="18"/>
          <w:szCs w:val="18"/>
          <w:color w:val="auto"/>
        </w:rPr>
        <w:t>cancer to help identify the most appropriate treatment pathway. We believe we are the only company to offer two commercial blood-based tests to help physicians reclassify risk of malignancy in patients with suspicious lung nodules.</w:t>
      </w:r>
    </w:p>
    <w:p>
      <w:pPr>
        <w:spacing w:after="0" w:line="89" w:lineRule="exact"/>
        <w:rPr>
          <w:rFonts w:ascii="Arial" w:cs="Arial" w:eastAsia="Arial" w:hAnsi="Arial"/>
          <w:sz w:val="18"/>
          <w:szCs w:val="18"/>
          <w:color w:val="auto"/>
        </w:rPr>
      </w:pPr>
    </w:p>
    <w:p>
      <w:pPr>
        <w:ind w:left="1080" w:right="200" w:hanging="424"/>
        <w:spacing w:after="0" w:line="279"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GeneStrat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VeriStrat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marketed as our Biodesix Lung Reflex</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strategy, are used following diagnosis of lung cancer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the presence of mutations in the tumor and the state of the patient’s immune system to establish the patient’s prognosis and help guide treatment decisions. The GeneStrat targeted tumor profiling test and the VeriStrat immune profiling test have a 36-hour average turnaround time, providing physicians with timely results to facilitate treatment decisions.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COVID-19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operate and have commercialized the Biodesix WorkSafe</w:t>
      </w:r>
      <w:r>
        <w:rPr>
          <w:rFonts w:ascii="Arial" w:cs="Arial" w:eastAsia="Arial" w:hAnsi="Arial"/>
          <w:sz w:val="14"/>
          <w:szCs w:val="14"/>
          <w:color w:val="auto"/>
        </w:rPr>
        <w:t>™</w:t>
      </w:r>
      <w:r>
        <w:rPr>
          <w:rFonts w:ascii="Arial" w:cs="Arial" w:eastAsia="Arial" w:hAnsi="Arial"/>
          <w:sz w:val="17"/>
          <w:szCs w:val="17"/>
          <w:color w:val="auto"/>
        </w:rPr>
        <w:t xml:space="preserve"> testing program, under which the Company offers three SARS-CoV-2 tests:</w:t>
      </w:r>
    </w:p>
    <w:p>
      <w:pPr>
        <w:spacing w:after="0" w:line="142" w:lineRule="exact"/>
        <w:rPr>
          <w:sz w:val="20"/>
          <w:szCs w:val="20"/>
          <w:color w:val="auto"/>
        </w:rPr>
      </w:pPr>
    </w:p>
    <w:p>
      <w:pPr>
        <w:ind w:left="1080" w:right="14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authorized by the FDA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infection by the SARS-CoV-2 virus.</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authorized by the FDA, intended for detecting a B-cell immune response to</w:t>
      </w:r>
      <w:r>
        <w:rPr>
          <w:rFonts w:ascii="Arial" w:cs="Arial" w:eastAsia="Arial" w:hAnsi="Arial"/>
          <w:sz w:val="18"/>
          <w:szCs w:val="18"/>
          <w:i w:val="1"/>
          <w:iCs w:val="1"/>
          <w:color w:val="auto"/>
        </w:rPr>
        <w:t xml:space="preserve"> </w:t>
      </w:r>
      <w:r>
        <w:rPr>
          <w:rFonts w:ascii="Arial" w:cs="Arial" w:eastAsia="Arial" w:hAnsi="Arial"/>
          <w:sz w:val="18"/>
          <w:szCs w:val="18"/>
          <w:color w:val="auto"/>
        </w:rPr>
        <w:t>SARS-CoV-2, indicating recent or prior infection.</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cPass</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SARS-CoV-2 Neutralization Antibody </w:t>
      </w:r>
      <w:r>
        <w:rPr>
          <w:rFonts w:ascii="Arial" w:cs="Arial" w:eastAsia="Arial" w:hAnsi="Arial"/>
          <w:sz w:val="18"/>
          <w:szCs w:val="18"/>
          <w:color w:val="auto"/>
        </w:rPr>
        <w:t>test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the first blood-based surrogate neutralizing antibody test with FDA EUA and</w:t>
      </w:r>
      <w:r>
        <w:rPr>
          <w:rFonts w:ascii="Arial" w:cs="Arial" w:eastAsia="Arial" w:hAnsi="Arial"/>
          <w:sz w:val="18"/>
          <w:szCs w:val="18"/>
          <w:i w:val="1"/>
          <w:iCs w:val="1"/>
          <w:color w:val="auto"/>
        </w:rPr>
        <w:t xml:space="preserve"> </w:t>
      </w:r>
      <w:r>
        <w:rPr>
          <w:rFonts w:ascii="Arial" w:cs="Arial" w:eastAsia="Arial" w:hAnsi="Arial"/>
          <w:sz w:val="18"/>
          <w:szCs w:val="18"/>
          <w:color w:val="auto"/>
        </w:rPr>
        <w:t>uses ELISA technology to qualitatively detect circulating neutralizing antibodies to the receptor binding domain (RBD) in the spike protein of SARS-CoV-2 that are produced in response to vaccination or a previous SARS-CoV-2 infection. This test was commercially introduced during the second quarter 2021 in partnership with GenScript Biotech Corporation.</w:t>
      </w:r>
    </w:p>
    <w:p>
      <w:pPr>
        <w:spacing w:after="0" w:line="18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These tests under the Biodesix WorkSafe</w:t>
      </w:r>
      <w:r>
        <w:rPr>
          <w:rFonts w:ascii="Arial" w:cs="Arial" w:eastAsia="Arial" w:hAnsi="Arial"/>
          <w:sz w:val="15"/>
          <w:szCs w:val="15"/>
          <w:color w:val="auto"/>
        </w:rPr>
        <w:t>™</w:t>
      </w:r>
      <w:r>
        <w:rPr>
          <w:rFonts w:ascii="Arial" w:cs="Arial" w:eastAsia="Arial" w:hAnsi="Arial"/>
          <w:sz w:val="18"/>
          <w:szCs w:val="18"/>
          <w:color w:val="auto"/>
        </w:rPr>
        <w:t xml:space="preserv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Company’s testing services are made available through its clinical laboratories.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7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92" w:lineRule="exact"/>
        <w:rPr>
          <w:sz w:val="20"/>
          <w:szCs w:val="20"/>
          <w:color w:val="auto"/>
        </w:rPr>
      </w:pPr>
    </w:p>
    <w:p>
      <w:pPr>
        <w:ind w:left="120" w:right="820" w:firstLine="440"/>
        <w:spacing w:after="0" w:line="291" w:lineRule="auto"/>
        <w:rPr>
          <w:sz w:val="20"/>
          <w:szCs w:val="20"/>
          <w:color w:val="auto"/>
        </w:rPr>
      </w:pPr>
      <w:r>
        <w:rPr>
          <w:rFonts w:ascii="Arial" w:cs="Arial" w:eastAsia="Arial" w:hAnsi="Arial"/>
          <w:sz w:val="16"/>
          <w:szCs w:val="16"/>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w:t>
      </w:r>
    </w:p>
    <w:p>
      <w:pPr>
        <w:ind w:left="120" w:right="140"/>
        <w:spacing w:after="0" w:line="260" w:lineRule="auto"/>
        <w:rPr>
          <w:sz w:val="20"/>
          <w:szCs w:val="20"/>
          <w:color w:val="auto"/>
        </w:rPr>
      </w:pPr>
      <w:r>
        <w:rPr>
          <w:rFonts w:ascii="Arial" w:cs="Arial" w:eastAsia="Arial" w:hAnsi="Arial"/>
          <w:sz w:val="18"/>
          <w:szCs w:val="18"/>
          <w:color w:val="auto"/>
        </w:rPr>
        <w:t>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Additionally, we are a “smaller reporting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certain risks related to our status as an emerging growth company, see “Risk Factors—Risks Related to our Common Stock and this Offering —We are an “emerging growth company” and a “smaller reporting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company,” and the reduced disclosure requirements applicable to emerging growth companies and smaller reporting companies may make our common stock less attractive to investors.”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securities.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will retain broad discretion over the use of the net proceeds from the sale of the securities offered hereby. Except as described in any prospectus supplement or any related free writing prospectus that we may authorize to be provided to you, we currently intend to use the net proceeds from the sale of the securities offered hereby for general corporate purposes, including working capital, operating expenses and capital expenditures. We may also use a portion of the net proceeds to acquire or invest in businesses and products that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We intend to invest the net proceeds to us from the sale of securities offered hereby that are not used as described above in short-term, investment-grade, interest-bearing instruments.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Our charter authorizes to issue up to 200,000,000 shares of common stock, $0.001 par value per share, and 5,000,000 shares of preferred stock, $0.001 par value per share. 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restated bylaws, each of which is an exhibit to our Annual Report on Form 10-K to which this summary is also an exhibit, and the applicable provisions of the Delaware General Corporation Law (the “DGCL”).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November 12, 2021, we had outstanding 27,020,576 shares of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Rights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are outstanding. We have no present plan to issue any shares of preferred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are party to the Eleventh Amended and Restated Investor Rights Agreement (the “IRA”) which provides that certain holders of shares of common stock have the right to demand that we file a registration statement for their shares of our common stock or request that their shares of our common stock be covered by a registration statement that we are otherwise filing, including, in each case, shares of our common stock that were issued upon conversion of convertible preferred stock. These shares are referred to as registrable securities.</w:t>
      </w:r>
    </w:p>
    <w:p>
      <w:pPr>
        <w:spacing w:after="0" w:line="17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piggyback and Form S-3 registrations described below.</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Generally, in an underwritten offering, if we determine in good faith in consultation with the underwriters, we have the right, subject to specified conditions, to limit the number of shares the holders may include. The piggyback and Form S-3 registration rights described below will terminate on the date five years following the closing of our initial public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holders of at least 10% of the registrable securities then outstanding are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registrable securities are entitled to certain piggyback registration rights.</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Pursuant to the IRA, we are required to pay all registration expenses, including all registration and filing fees, printing expenses, fees and disbursements of our counsel and reasonable fees and disbursements not to exceed $75,000 of one counsel representing all Holders, as defined in the IRA, participating in the offering, blue sky fees and expenses and the expense of any special audits incident to or required by any such registration, other than any underwriting discounts and selling commissions attributable to the sale of registrable securities, as defined in the IRA.</w:t>
      </w:r>
    </w:p>
    <w:p>
      <w:pPr>
        <w:spacing w:after="0" w:line="17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IRA contains customary cross-indemnification provisions, pursuant to which we are obligated to indemnify Holders, as defined in the IRA, beneficially owning registrable securities covered by a registration statement in the event of material misstatements or omissions in the registration statement attributable to us, and each Holder, as defined in the IRA, is obligated to indemnify us for material misstatements or omissions in the registration statement attributable to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 of Incorporation and Bylaws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and amended and restated bylaws:</w:t>
      </w:r>
    </w:p>
    <w:p>
      <w:pPr>
        <w:spacing w:after="0" w:line="131" w:lineRule="exact"/>
        <w:rPr>
          <w:sz w:val="20"/>
          <w:szCs w:val="20"/>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130" w:lineRule="exact"/>
        <w:rPr>
          <w:rFonts w:ascii="Arial" w:cs="Arial" w:eastAsia="Arial" w:hAnsi="Arial"/>
          <w:sz w:val="18"/>
          <w:szCs w:val="18"/>
          <w:color w:val="auto"/>
        </w:rPr>
      </w:pPr>
    </w:p>
    <w:p>
      <w:pPr>
        <w:ind w:left="1080" w:right="380" w:hanging="424"/>
        <w:spacing w:after="0" w:line="286"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 and</w:t>
      </w:r>
    </w:p>
    <w:p>
      <w:pPr>
        <w:spacing w:after="0" w:line="70"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51"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combination of these provisions make it more difficult for our existing stockholders to replace our Board of Directors as well as for another party to obtain control of us by replacing our Board of Directors. Since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117"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“BDSX.”</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subject to any limitations imposed by the listing requirements of The Nasdaq</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150 Royall Street, Canton, Massachusetts 02021, and its telephone number is (800) 962-4284.</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320" w:top="459" w:right="6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may issue warrants for the purchase of shares of our common stock or shares of our preferred stock.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Warrants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76"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designation and terms of the shares of common stock or shares of preferred stock that may be purchased upon exercise of the warrants;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142"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warrant will entitle the holder of the warrant to purchase at the exercise price set forth in the applicable prospectus supplement the number of shares of common stock or shares of preferred stock. Unless we otherwise specify in the applicable prospectus supplement,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88"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Until a holder exercises the warrants to purchase our shares of common stock or shares of preferred stock, the holder will not have any rights as a holder of our shares of common stock or shares of preferred stock, as the case may be, by virtue of ownership of warrants.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issue rights to purchase common stock, preferred stock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date on which the right to exercise the rights will commence, and the date on which the rights will expire (subject to any extension);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Rights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5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or through one or more underwriters,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applicable prospectus supplement will set forth the terms of the offering and the method of distribution and will identify any firms acting as underwriters, dealers or agents in connection with the offering, including:</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over-allotment options under which the underwriters may purchase additional shares of common stock from us;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320" w:top="459" w:right="5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securities exchange or market on which the common stock offered in the prospectus supplement may be listed.</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6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225"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4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validity of the securities being offered hereby will be passed upon for us by Sidley Austin LLP.</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financial statements of Biodesix, Inc. as of December 31, 2020 and 2019, and for each of the years in the two-year period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have been incorporated by reference herein and in the registration statement in reliance upon the report of KPMG LLP, independent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registered public accounting firm, incorporated by reference herein, and upon the authority of said firm as experts in accounting and auditing.</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filed with the SEC a registration statement on Form S-3 under the Securities Act of 1933, as amended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our company and the securities being offered by this prospectus and any applicable prospectus supplement, we refer you to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file annual, quarterly and current reports, proxy statements and other documents with the SEC under the U.S.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www.biodesix.com. Our website and the information contained or accessible through our website is not incorporated by reference in this prospectus or any prospectus supplement, and you should not consider it part of this prospectus or any prospectus supplement.</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(Commission File</w:t>
      </w:r>
    </w:p>
    <w:p>
      <w:pPr>
        <w:spacing w:after="0" w:line="2"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No. 001-39659), other than information in such documents that is deemed to be furnished and not filed. These documents contain important information about us and our business and financial condition.</w:t>
      </w:r>
    </w:p>
    <w:p>
      <w:pPr>
        <w:spacing w:after="0" w:line="9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Annual Report on Form 10-K for the year ended </w:t>
      </w:r>
      <w:hyperlink r:id="rId48">
        <w:r>
          <w:rPr>
            <w:rFonts w:ascii="Arial" w:cs="Arial" w:eastAsia="Arial" w:hAnsi="Arial"/>
            <w:sz w:val="18"/>
            <w:szCs w:val="18"/>
            <w:u w:val="single" w:color="auto"/>
            <w:color w:val="0000EE"/>
          </w:rPr>
          <w:t>December 31, 2020</w:t>
        </w:r>
      </w:hyperlink>
      <w:r>
        <w:rPr>
          <w:rFonts w:ascii="Arial" w:cs="Arial" w:eastAsia="Arial" w:hAnsi="Arial"/>
          <w:sz w:val="18"/>
          <w:szCs w:val="18"/>
          <w:color w:val="auto"/>
        </w:rPr>
        <w:t>, filed with the SEC on March 16, 2021;</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periods ended </w:t>
      </w:r>
      <w:hyperlink r:id="rId49">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1">
        <w:r>
          <w:rPr>
            <w:rFonts w:ascii="Arial" w:cs="Arial" w:eastAsia="Arial" w:hAnsi="Arial"/>
            <w:sz w:val="18"/>
            <w:szCs w:val="18"/>
            <w:u w:val="single" w:color="auto"/>
            <w:color w:val="0000EE"/>
          </w:rPr>
          <w:t>September 30, 2021</w:t>
        </w:r>
      </w:hyperlink>
      <w:r>
        <w:rPr>
          <w:rFonts w:ascii="Arial" w:cs="Arial" w:eastAsia="Arial" w:hAnsi="Arial"/>
          <w:sz w:val="18"/>
          <w:szCs w:val="18"/>
          <w:color w:val="auto"/>
        </w:rPr>
        <w:t>, filed with the SEC on May 11, 2021, August 10, 2021 and November 15, 2021,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52">
        <w:r>
          <w:rPr>
            <w:rFonts w:ascii="Arial" w:cs="Arial" w:eastAsia="Arial" w:hAnsi="Arial"/>
            <w:sz w:val="18"/>
            <w:szCs w:val="18"/>
            <w:u w:val="single" w:color="auto"/>
            <w:color w:val="0000EE"/>
          </w:rPr>
          <w:t>January 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53">
        <w:r>
          <w:rPr>
            <w:rFonts w:ascii="Arial" w:cs="Arial" w:eastAsia="Arial" w:hAnsi="Arial"/>
            <w:sz w:val="18"/>
            <w:szCs w:val="18"/>
            <w:u w:val="single" w:color="auto"/>
            <w:color w:val="0000EE"/>
          </w:rPr>
          <w:t>March 23,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4">
        <w:r>
          <w:rPr>
            <w:rFonts w:ascii="Arial" w:cs="Arial" w:eastAsia="Arial" w:hAnsi="Arial"/>
            <w:sz w:val="18"/>
            <w:szCs w:val="18"/>
            <w:u w:val="single" w:color="auto"/>
            <w:color w:val="0000EE"/>
          </w:rPr>
          <w:t>May 27,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5"/>
        </w:numPr>
        <w:rPr>
          <w:rFonts w:ascii="Arial" w:cs="Arial" w:eastAsia="Arial" w:hAnsi="Arial"/>
          <w:sz w:val="18"/>
          <w:szCs w:val="18"/>
          <w:color w:val="0000EE"/>
        </w:rPr>
      </w:pPr>
      <w:hyperlink r:id="rId55">
        <w:r>
          <w:rPr>
            <w:rFonts w:ascii="Arial" w:cs="Arial" w:eastAsia="Arial" w:hAnsi="Arial"/>
            <w:sz w:val="18"/>
            <w:szCs w:val="18"/>
            <w:color w:val="auto"/>
          </w:rPr>
          <w:t xml:space="preserve">the information specifically incorporated by reference into our Annual Report on Form 10-K from our </w:t>
        </w:r>
        <w:r>
          <w:rPr>
            <w:rFonts w:ascii="Arial" w:cs="Arial" w:eastAsia="Arial" w:hAnsi="Arial"/>
            <w:sz w:val="18"/>
            <w:szCs w:val="18"/>
            <w:u w:val="single" w:color="auto"/>
            <w:color w:val="0000EE"/>
          </w:rPr>
          <w:t>Definitive Proxy Statement on</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Schedule 14A</w:t>
        </w:r>
        <w:r>
          <w:rPr>
            <w:rFonts w:ascii="Arial" w:cs="Arial" w:eastAsia="Arial" w:hAnsi="Arial"/>
            <w:sz w:val="18"/>
            <w:szCs w:val="18"/>
            <w:color w:val="000000"/>
          </w:rPr>
          <w:t>, filed with the SEC on April 29, 2021; and</w:t>
        </w:r>
      </w:hyperlink>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6">
        <w:r>
          <w:rPr>
            <w:rFonts w:ascii="Arial" w:cs="Arial" w:eastAsia="Arial" w:hAnsi="Arial"/>
            <w:sz w:val="18"/>
            <w:szCs w:val="18"/>
            <w:u w:val="single" w:color="auto"/>
            <w:color w:val="0000EE"/>
          </w:rPr>
          <w:t>Form 8-A</w:t>
        </w:r>
      </w:hyperlink>
      <w:r>
        <w:rPr>
          <w:rFonts w:ascii="Arial" w:cs="Arial" w:eastAsia="Arial" w:hAnsi="Arial"/>
          <w:sz w:val="18"/>
          <w:szCs w:val="18"/>
          <w:color w:val="auto"/>
        </w:rPr>
        <w:t>, dated October 26, 2020.</w:t>
      </w:r>
    </w:p>
    <w:p>
      <w:pPr>
        <w:spacing w:after="0" w:line="225" w:lineRule="exact"/>
        <w:rPr>
          <w:rFonts w:ascii="Arial" w:cs="Arial" w:eastAsia="Arial" w:hAnsi="Arial"/>
          <w:sz w:val="18"/>
          <w:szCs w:val="18"/>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All documents that we file (but not those that we furnish) pursuant to Section 13(a), 13(c), 14 or 15(d) of the Exchange Act, after the date of the initial registration statement of which this prospectus is a part and prior to the</w:t>
      </w:r>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You can obtain any of the filings incorporated by reference into this prospectus or any applicable prospectus supplement through us or from the SEC through the SEC’s website at http://www.sec.gov. Upon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Boulder, Colorado 80301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(303) 417-0500</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“Information Incorporated by Reference”) is not incorporated by reference into this prospectus or any applicable prospectus supplement and you should not consider it a part of this prospectus, any applicable prospectus supplement, or the registration statement.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340360</wp:posOffset>
            </wp:positionV>
            <wp:extent cx="1997075" cy="360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9970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Rights to Purchase Common Stock, Preferred Stock or Units</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1671955</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2265680</wp:posOffset>
            </wp:positionV>
            <wp:extent cx="6995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2325370</wp:posOffset>
            </wp:positionV>
            <wp:extent cx="699516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or jurisdiction where such offer or sale is not permitted.</w:t>
      </w: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NOVEMBER 24,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Up to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178435</wp:posOffset>
            </wp:positionV>
            <wp:extent cx="1997075" cy="3600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9970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entered into a sales agreement with Cowen and Company, LLC (“Cowen”) relating to shares of our common stock, par value $0.001 per share, offered by this prospectus. In accordance with the terms of the sales agreement, we may offer and sell shares of our common stock having an aggregate offering price of up to $50,000,000 from time to time through Cowen acting as our agent.</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“BDSX”. On November 23, 2021, the last reported sale price of our common stock on The NASDAQ Global Market was $6.29 per share.</w:t>
      </w:r>
    </w:p>
    <w:p>
      <w:pPr>
        <w:spacing w:after="0" w:line="170"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Sales of our common stock, if any, under this prospectus will be made in sales deemed to be “at the market offerings” as defined in Rule 415 promulgated under the Securities Act of 1933, as amended (the “Securities Act”). Cowen is not required to sell any specific amount of securities, but will act as our sales agent using commercially reasonable efforts consistent with its normal trading and sales practices, on mutually agreed terms between Cowen and us. There is no arrangement for funds to be received in any escrow, trust or similar arrangement.</w:t>
      </w:r>
    </w:p>
    <w:p>
      <w:pPr>
        <w:spacing w:after="0" w:line="17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compensation to Cowen for sales of common stock sold pursuant to the sales agreement will be an amount equal to 3% of the gross proceeds of any shares of common stock sold under the sales agreement. In connection with the sale of the common stock on our behalf, Cowen will be deemed to be an “underwriter” within the meaning of the Securities Act and the compensation of Cowen will be deemed to be underwriting commissions or discounts. See “Plan of Distribution” beginning on page S-20 for additional information regarding the compensation to be paid to Cowen. We have also agreed to provide indemnification and contribution to Cowen with respect to certain liabilities, including liabilities under the Securities Act or the Securities Exchange Act of 1934, as amended (the “Exchange Act”).</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Our business and an investment in our common stock involve significant risks. These risks are described under the caption “</w:t>
      </w:r>
      <w:hyperlink w:anchor="page3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S-7 of this prospectus and in the documents incorporated by reference into this prospectus.</w:t>
      </w:r>
    </w:p>
    <w:p>
      <w:pPr>
        <w:spacing w:after="0" w:line="186"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Cowen</w:t>
      </w:r>
    </w:p>
    <w:p>
      <w:pPr>
        <w:spacing w:after="0" w:line="230"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ectPr>
          <w:pgSz w:w="11900" w:h="16838" w:orient="portrait"/>
          <w:cols w:equalWidth="0" w:num="1">
            <w:col w:w="11120"/>
          </w:cols>
          <w:pgMar w:left="320" w:top="459" w:right="4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66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4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4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INDUSTRY AND MARKET DATA</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20" w:type="dxa"/>
            <w:vAlign w:val="bottom"/>
          </w:tcPr>
          <w:p>
            <w:pPr>
              <w:spacing w:after="0"/>
              <w:rPr>
                <w:sz w:val="17"/>
                <w:szCs w:val="17"/>
                <w:color w:val="auto"/>
              </w:rPr>
            </w:pPr>
          </w:p>
        </w:tc>
        <w:tc>
          <w:tcPr>
            <w:tcW w:w="26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PROSPECTUS SUMMARY</w:t>
              </w:r>
            </w:hyperlink>
          </w:p>
        </w:tc>
        <w:tc>
          <w:tcPr>
            <w:tcW w:w="59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THE OFFERING</w:t>
              </w:r>
            </w:hyperlink>
          </w:p>
        </w:tc>
        <w:tc>
          <w:tcPr>
            <w:tcW w:w="800" w:type="dxa"/>
            <w:vAlign w:val="bottom"/>
            <w:tcBorders>
              <w:top w:val="single" w:sz="8" w:color="0000EE"/>
            </w:tcBorders>
            <w:gridSpan w:val="4"/>
          </w:tcPr>
          <w:p>
            <w:pPr>
              <w:spacing w:after="0"/>
              <w:rPr>
                <w:sz w:val="17"/>
                <w:szCs w:val="17"/>
                <w:color w:val="auto"/>
              </w:rPr>
            </w:pPr>
          </w:p>
        </w:tc>
        <w:tc>
          <w:tcPr>
            <w:tcW w:w="646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SPECIAL NOTE REGARDING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8"/>
          </w:tcPr>
          <w:p>
            <w:pPr>
              <w:spacing w:after="0"/>
              <w:rPr>
                <w:sz w:val="17"/>
                <w:szCs w:val="17"/>
                <w:color w:val="auto"/>
              </w:rPr>
            </w:pPr>
          </w:p>
        </w:tc>
        <w:tc>
          <w:tcPr>
            <w:tcW w:w="32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DILUTION</w:t>
              </w:r>
            </w:hyperlink>
          </w:p>
        </w:tc>
        <w:tc>
          <w:tcPr>
            <w:tcW w:w="768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CAPITAL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568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650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20"/>
        </w:trPr>
        <w:tc>
          <w:tcPr>
            <w:tcW w:w="120" w:type="dxa"/>
            <w:vAlign w:val="bottom"/>
          </w:tcPr>
          <w:p>
            <w:pPr>
              <w:spacing w:after="0" w:line="20" w:lineRule="exact"/>
              <w:rPr>
                <w:sz w:val="1"/>
                <w:szCs w:val="1"/>
                <w:color w:val="auto"/>
              </w:rPr>
            </w:pPr>
          </w:p>
        </w:tc>
        <w:tc>
          <w:tcPr>
            <w:tcW w:w="3800" w:type="dxa"/>
            <w:vAlign w:val="bottom"/>
            <w:gridSpan w:val="1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INCORPORATION OF CERTAIN INFORMATION BY REFERENCE</w:t>
              </w:r>
            </w:hyperlink>
          </w:p>
        </w:tc>
        <w:tc>
          <w:tcPr>
            <w:tcW w:w="33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This prospectus is part of a shelf registration statement on Form S-3 that we filed with the Securities and Exchange Commission (the “SEC”). Under the shelf registration process, we may offer shares of our common stock having an aggregate offering price of up to $50,000,000 from time to time under this prospectus at prices and on terms to be determined by market conditions at the time of the offering.</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provide information to you about this offering of shares of our common stock in two separate documents that are bound together: (1) this sales agreement prospectus,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sales agreement prospectus is inconsistent with the accompanying base prospectus, you should rely on this prospectus.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have not, and Cowen has not, authorized any other person to provide you with any information other than that contained in, or incorporated by reference into, this prospectus and in any free writing prospectus that we may authorize for use in connection with this offering. We and Cowen take no responsibility for, and can provide no assurance as to the reliability of, any other information that others may give you. We are not, and Cowen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of Certain Information By Reference.”</w:t>
      </w:r>
    </w:p>
    <w:p>
      <w:pPr>
        <w:spacing w:after="0" w:line="17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this prospectus, the terms “Biodesix,” “Company,” “we,” “us,” “our” and similar terms refer to Biodesix, Inc., a Delaware corporation, and its subsidiaries unless the context otherwise requires.</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This prospectus and the information incorporated herein by reference include trademarks, service marks and trade names owned by us or other companies. All trademarks, service marks and trade names included or incorporated by reference in this prospectus are the property of their respective owners.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data included in this prospectus and the documents incorporated by reference herein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9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This industry, business, market, medical and other information involves a number of assumptions and limitations, and you are cautioned not to give undue weight to such estimates. Third-party industry and general publications, research, surveys and studies generally state that the information contained therein has been obtained from sources believed to be reliable, although they do not guarantee the accuracy or completeness of such information. While we believe that each of these studies and publications is reliable, we have not independently verified any of the data from third-party sources. Although we are responsible for all of the disclosure contained in this prospectus and the documents incorporated by reference herein and we believe the market position, market opportunity, market size and medical information included in this prospectus and the documents incorporated by reference herein is reliable, such information is inherently imprecise. Data regarding the industries in which we compete and our market position and market share within these industries are inherently imprecise and are subject to significant business, economic and competitive uncertainties beyond our control, but we believe that they generally indicate size, position and market share within these industries. We believe these estimates to be accurate as of the date of this prospectus or as of the date of the documents incorporated by reference herein.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industry data included in this prospectus and the documents incorporated by reference herein, and estimates and beliefs based on that data, may not be reliable and are subject to change based on various factors, including those discussed under “Risk Factors” and “Special Note Regarding Forward-Looking Statements.”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This summary highlights certain information about us, this offering and selected information contained elsewhere in or incorporated by reference into this prospectus. This summary is not complete and does not contain all of the information that you should consider before deciding whether to invest in the securities covered by this prospectus. For a more complete understanding of Biodesix and this offering, we encourage you to read and consider carefully the more detailed information in this prospectus, including the information incorporated by reference in this prospectus and the information included in any free writing prospectus that we have authorized for use in connection with this offering, including the information referred to under the heading “Risk Factors” in this prospectus beginning on page S-</w:t>
      </w:r>
      <w:r>
        <w:rPr>
          <w:rFonts w:ascii="Arial" w:cs="Arial" w:eastAsia="Arial" w:hAnsi="Arial"/>
          <w:sz w:val="17"/>
          <w:szCs w:val="17"/>
          <w:color w:val="auto"/>
        </w:rPr>
        <w:t>7</w:t>
      </w:r>
      <w:r>
        <w:rPr>
          <w:rFonts w:ascii="Arial" w:cs="Arial" w:eastAsia="Arial" w:hAnsi="Arial"/>
          <w:sz w:val="17"/>
          <w:szCs w:val="17"/>
          <w:i w:val="1"/>
          <w:iCs w:val="1"/>
          <w:color w:val="auto"/>
        </w:rPr>
        <w:t>.</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w:t>
      </w:r>
      <w:r>
        <w:rPr>
          <w:rFonts w:ascii="Arial" w:cs="Arial" w:eastAsia="Arial" w:hAnsi="Arial"/>
          <w:sz w:val="15"/>
          <w:szCs w:val="15"/>
          <w:color w:val="auto"/>
        </w:rPr>
        <w:t>™</w:t>
      </w:r>
      <w:r>
        <w:rPr>
          <w:rFonts w:ascii="Arial" w:cs="Arial" w:eastAsia="Arial" w:hAnsi="Arial"/>
          <w:sz w:val="18"/>
          <w:szCs w:val="18"/>
          <w:color w:val="auto"/>
        </w:rPr>
        <w:t xml:space="preserve">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Blood-Based Lung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offers four blood-based lung cancer tests across the lung cancer continuum of care:</w:t>
      </w:r>
    </w:p>
    <w:p>
      <w:pPr>
        <w:spacing w:after="0" w:line="131" w:lineRule="exact"/>
        <w:rPr>
          <w:sz w:val="20"/>
          <w:szCs w:val="20"/>
          <w:color w:val="auto"/>
        </w:rPr>
      </w:pPr>
    </w:p>
    <w:p>
      <w:pPr>
        <w:ind w:left="1080" w:right="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Nodify XL2</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tests, marketed as our Nodify Lung</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 of lung</w:t>
      </w:r>
      <w:r>
        <w:rPr>
          <w:rFonts w:ascii="Arial" w:cs="Arial" w:eastAsia="Arial" w:hAnsi="Arial"/>
          <w:sz w:val="18"/>
          <w:szCs w:val="18"/>
          <w:i w:val="1"/>
          <w:iCs w:val="1"/>
          <w:color w:val="auto"/>
        </w:rPr>
        <w:t xml:space="preserve"> </w:t>
      </w:r>
      <w:r>
        <w:rPr>
          <w:rFonts w:ascii="Arial" w:cs="Arial" w:eastAsia="Arial" w:hAnsi="Arial"/>
          <w:sz w:val="18"/>
          <w:szCs w:val="18"/>
          <w:color w:val="auto"/>
        </w:rPr>
        <w:t>cancer to help identify the most appropriate treatment pathway. We believe we are the only company to offer two commercial blood-based tests to help physicians reclassify risk of malignancy in patients with suspicious lung nodules.</w:t>
      </w:r>
    </w:p>
    <w:p>
      <w:pPr>
        <w:spacing w:after="0" w:line="89" w:lineRule="exact"/>
        <w:rPr>
          <w:rFonts w:ascii="Arial" w:cs="Arial" w:eastAsia="Arial" w:hAnsi="Arial"/>
          <w:sz w:val="18"/>
          <w:szCs w:val="18"/>
          <w:color w:val="auto"/>
        </w:rPr>
      </w:pPr>
    </w:p>
    <w:p>
      <w:pPr>
        <w:ind w:left="1080" w:right="180" w:hanging="424"/>
        <w:spacing w:after="0" w:line="279"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GeneStrat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VeriStrat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marketed as our Biodesix Lung Reflex</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strategy, are used following diagnosis of lung cancer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the presence of mutations in the tumor and the state of the patient’s immune system to establish the patient’s prognosis and help guide treatment decisions. The GeneStrat targeted tumor profiling test and the VeriStrat immune profiling test have a 36-hour average turnaround time, providing physicians with timely results to facilitate treatment decisions.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COVID-19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operate and have commercialized the Biodesix WorkSafe</w:t>
      </w:r>
      <w:r>
        <w:rPr>
          <w:rFonts w:ascii="Arial" w:cs="Arial" w:eastAsia="Arial" w:hAnsi="Arial"/>
          <w:sz w:val="14"/>
          <w:szCs w:val="14"/>
          <w:color w:val="auto"/>
        </w:rPr>
        <w:t>™</w:t>
      </w:r>
      <w:r>
        <w:rPr>
          <w:rFonts w:ascii="Arial" w:cs="Arial" w:eastAsia="Arial" w:hAnsi="Arial"/>
          <w:sz w:val="17"/>
          <w:szCs w:val="17"/>
          <w:color w:val="auto"/>
        </w:rPr>
        <w:t xml:space="preserve"> testing program, under which the Company offers three SARS-CoV-2 tests:</w:t>
      </w:r>
    </w:p>
    <w:p>
      <w:pPr>
        <w:spacing w:after="0" w:line="142" w:lineRule="exact"/>
        <w:rPr>
          <w:sz w:val="20"/>
          <w:szCs w:val="20"/>
          <w:color w:val="auto"/>
        </w:rPr>
      </w:pPr>
    </w:p>
    <w:p>
      <w:pPr>
        <w:ind w:left="1080" w:right="12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authorized by the FDA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infection by the SARS-CoV-2 virus.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authorized by the FDA, intended for detecting a B-cell immune response to</w:t>
      </w:r>
      <w:r>
        <w:rPr>
          <w:rFonts w:ascii="Arial" w:cs="Arial" w:eastAsia="Arial" w:hAnsi="Arial"/>
          <w:sz w:val="18"/>
          <w:szCs w:val="18"/>
          <w:i w:val="1"/>
          <w:iCs w:val="1"/>
          <w:color w:val="auto"/>
        </w:rPr>
        <w:t xml:space="preserve"> </w:t>
      </w:r>
      <w:r>
        <w:rPr>
          <w:rFonts w:ascii="Arial" w:cs="Arial" w:eastAsia="Arial" w:hAnsi="Arial"/>
          <w:sz w:val="18"/>
          <w:szCs w:val="18"/>
          <w:color w:val="auto"/>
        </w:rPr>
        <w:t>SARS-CoV-2, indicating recent or prior infection.</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cPass</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SARS-CoV-2 Neutralization Antibody </w:t>
      </w:r>
      <w:r>
        <w:rPr>
          <w:rFonts w:ascii="Arial" w:cs="Arial" w:eastAsia="Arial" w:hAnsi="Arial"/>
          <w:sz w:val="18"/>
          <w:szCs w:val="18"/>
          <w:color w:val="auto"/>
        </w:rPr>
        <w:t>test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the first blood-based surrogate neutralizing antibody test with FDA EUA and</w:t>
      </w:r>
      <w:r>
        <w:rPr>
          <w:rFonts w:ascii="Arial" w:cs="Arial" w:eastAsia="Arial" w:hAnsi="Arial"/>
          <w:sz w:val="18"/>
          <w:szCs w:val="18"/>
          <w:i w:val="1"/>
          <w:iCs w:val="1"/>
          <w:color w:val="auto"/>
        </w:rPr>
        <w:t xml:space="preserve"> </w:t>
      </w:r>
      <w:r>
        <w:rPr>
          <w:rFonts w:ascii="Arial" w:cs="Arial" w:eastAsia="Arial" w:hAnsi="Arial"/>
          <w:sz w:val="18"/>
          <w:szCs w:val="18"/>
          <w:color w:val="auto"/>
        </w:rPr>
        <w:t>uses ELISA technology to qualitatively detect circulating neutralizing antibodies to the receptor binding domain (RBD) in the spike protein of SARS-CoV-2 that are produced in response to vaccination or a previous SARS-CoV-2 infection. This test was commercially introduced during the second quarter 2021 in partnership with GenScript Biotech Corporation.</w:t>
      </w:r>
    </w:p>
    <w:p>
      <w:pPr>
        <w:spacing w:after="0" w:line="18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These tests under the Biodesix WorkSafe</w:t>
      </w:r>
      <w:r>
        <w:rPr>
          <w:rFonts w:ascii="Arial" w:cs="Arial" w:eastAsia="Arial" w:hAnsi="Arial"/>
          <w:sz w:val="15"/>
          <w:szCs w:val="15"/>
          <w:color w:val="auto"/>
        </w:rPr>
        <w:t>™</w:t>
      </w:r>
      <w:r>
        <w:rPr>
          <w:rFonts w:ascii="Arial" w:cs="Arial" w:eastAsia="Arial" w:hAnsi="Arial"/>
          <w:sz w:val="18"/>
          <w:szCs w:val="18"/>
          <w:color w:val="auto"/>
        </w:rPr>
        <w:t xml:space="preserv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84"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Company’s testing services are made available through its clinical laboratories.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7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For certain risks related to our status as an emerging growth company, see “Risk Factors—Risks Related to our Common Stock and this Offering —We are an “emerging growth company” and a “smaller reporting company,” and the reduced disclosure requirements applicable to emerging growth companies and smaller reporting companies may make our common stock less attractive to investors.”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common stock.</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70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7080" w:type="dxa"/>
            <w:vAlign w:val="bottom"/>
          </w:tcPr>
          <w:p>
            <w:pPr>
              <w:ind w:left="90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Common stock offered by us</w:t>
            </w:r>
          </w:p>
        </w:tc>
        <w:tc>
          <w:tcPr>
            <w:tcW w:w="7080" w:type="dxa"/>
            <w:vAlign w:val="bottom"/>
          </w:tcPr>
          <w:p>
            <w:pPr>
              <w:ind w:left="260"/>
              <w:spacing w:after="0"/>
              <w:rPr>
                <w:sz w:val="20"/>
                <w:szCs w:val="20"/>
                <w:color w:val="auto"/>
              </w:rPr>
            </w:pPr>
            <w:r>
              <w:rPr>
                <w:rFonts w:ascii="Arial" w:cs="Arial" w:eastAsia="Arial" w:hAnsi="Arial"/>
                <w:sz w:val="18"/>
                <w:szCs w:val="18"/>
                <w:color w:val="auto"/>
              </w:rPr>
              <w:t>Shares having an aggregate offering price of up to $50,000,000.</w:t>
            </w:r>
          </w:p>
        </w:tc>
      </w:tr>
      <w:tr>
        <w:trPr>
          <w:trHeight w:val="458"/>
        </w:trPr>
        <w:tc>
          <w:tcPr>
            <w:tcW w:w="4040" w:type="dxa"/>
            <w:vAlign w:val="bottom"/>
            <w:gridSpan w:val="2"/>
          </w:tcPr>
          <w:p>
            <w:pPr>
              <w:ind w:left="120"/>
              <w:spacing w:after="0"/>
              <w:rPr>
                <w:sz w:val="20"/>
                <w:szCs w:val="20"/>
                <w:color w:val="auto"/>
              </w:rPr>
            </w:pPr>
            <w:r>
              <w:rPr>
                <w:rFonts w:ascii="Arial" w:cs="Arial" w:eastAsia="Arial" w:hAnsi="Arial"/>
                <w:sz w:val="18"/>
                <w:szCs w:val="18"/>
                <w:color w:val="auto"/>
                <w:w w:val="96"/>
              </w:rPr>
              <w:t>Common stock to be outstanding after this offering</w:t>
            </w:r>
          </w:p>
        </w:tc>
        <w:tc>
          <w:tcPr>
            <w:tcW w:w="7080" w:type="dxa"/>
            <w:vAlign w:val="bottom"/>
          </w:tcPr>
          <w:p>
            <w:pPr>
              <w:ind w:left="260"/>
              <w:spacing w:after="0"/>
              <w:rPr>
                <w:sz w:val="20"/>
                <w:szCs w:val="20"/>
                <w:color w:val="auto"/>
              </w:rPr>
            </w:pPr>
            <w:r>
              <w:rPr>
                <w:rFonts w:ascii="Arial" w:cs="Arial" w:eastAsia="Arial" w:hAnsi="Arial"/>
                <w:sz w:val="18"/>
                <w:szCs w:val="18"/>
                <w:color w:val="auto"/>
                <w:w w:val="90"/>
              </w:rPr>
              <w:t>Up to 33,422,118 shares, assuming the sale of $50,000,000 of shares at a sales price of $7.81</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per share, which was the last reported sale price on The NASDAQ Global Market on</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1"/>
              </w:rPr>
              <w:t>November 12, 2021. The actual number of shares issued and outstanding will vary depending</w:t>
            </w:r>
          </w:p>
        </w:tc>
      </w:tr>
      <w:tr>
        <w:trPr>
          <w:trHeight w:val="230"/>
        </w:trPr>
        <w:tc>
          <w:tcPr>
            <w:tcW w:w="1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on the sales price under this offering.</w:t>
            </w:r>
          </w:p>
        </w:tc>
      </w:tr>
      <w:tr>
        <w:trPr>
          <w:trHeight w:val="445"/>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Manner of offering</w:t>
            </w:r>
          </w:p>
        </w:tc>
        <w:tc>
          <w:tcPr>
            <w:tcW w:w="7080" w:type="dxa"/>
            <w:vAlign w:val="bottom"/>
          </w:tcPr>
          <w:p>
            <w:pPr>
              <w:ind w:left="260"/>
              <w:spacing w:after="0"/>
              <w:rPr>
                <w:sz w:val="20"/>
                <w:szCs w:val="20"/>
                <w:color w:val="auto"/>
              </w:rPr>
            </w:pPr>
            <w:r>
              <w:rPr>
                <w:rFonts w:ascii="Arial" w:cs="Arial" w:eastAsia="Arial" w:hAnsi="Arial"/>
                <w:sz w:val="18"/>
                <w:szCs w:val="18"/>
                <w:color w:val="auto"/>
                <w:w w:val="91"/>
              </w:rPr>
              <w:t>“At-the-market” offering that may be made from time to time through our sales agent, Cowen.</w:t>
            </w:r>
          </w:p>
        </w:tc>
      </w:tr>
      <w:tr>
        <w:trPr>
          <w:trHeight w:val="230"/>
        </w:trPr>
        <w:tc>
          <w:tcPr>
            <w:tcW w:w="1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See “Plan of Distribution” on page S-20 of this prospectus.</w:t>
            </w:r>
          </w:p>
        </w:tc>
      </w:tr>
      <w:tr>
        <w:trPr>
          <w:trHeight w:val="445"/>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Use of proceeds</w:t>
            </w:r>
          </w:p>
        </w:tc>
        <w:tc>
          <w:tcPr>
            <w:tcW w:w="7080" w:type="dxa"/>
            <w:vAlign w:val="bottom"/>
          </w:tcPr>
          <w:p>
            <w:pPr>
              <w:ind w:left="260"/>
              <w:spacing w:after="0"/>
              <w:rPr>
                <w:sz w:val="20"/>
                <w:szCs w:val="20"/>
                <w:color w:val="auto"/>
              </w:rPr>
            </w:pPr>
            <w:r>
              <w:rPr>
                <w:rFonts w:ascii="Arial" w:cs="Arial" w:eastAsia="Arial" w:hAnsi="Arial"/>
                <w:sz w:val="18"/>
                <w:szCs w:val="18"/>
                <w:color w:val="auto"/>
                <w:w w:val="97"/>
              </w:rPr>
              <w:t>Our management will retain broad discretion regarding the allocation and use of the net</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3"/>
              </w:rPr>
              <w:t>proceeds from this offering. We currently intend to use the net proceeds from this offering, if</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any, for general corporate purposes, including for (1) commercial expansion of sales,</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3"/>
              </w:rPr>
              <w:t>marketing, reimbursement, customer support and business development, (2) supporting our</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6"/>
              </w:rPr>
              <w:t>product pipeline and research and development, (3) funding the expansion of technology</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4"/>
              </w:rPr>
              <w:t>integration efforts and automation and (4) our Integrated Diagnostics acquisition milestone</w:t>
            </w:r>
          </w:p>
        </w:tc>
      </w:tr>
      <w:tr>
        <w:trPr>
          <w:trHeight w:val="230"/>
        </w:trPr>
        <w:tc>
          <w:tcPr>
            <w:tcW w:w="1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payments. See “Use of Proceeds” on page S-13 of this prospectus.</w:t>
            </w:r>
          </w:p>
        </w:tc>
      </w:tr>
      <w:tr>
        <w:trPr>
          <w:trHeight w:val="459"/>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NASDAQ Global Market symbol</w:t>
            </w:r>
          </w:p>
        </w:tc>
        <w:tc>
          <w:tcPr>
            <w:tcW w:w="7080" w:type="dxa"/>
            <w:vAlign w:val="bottom"/>
          </w:tcPr>
          <w:p>
            <w:pPr>
              <w:ind w:left="260"/>
              <w:spacing w:after="0"/>
              <w:rPr>
                <w:sz w:val="20"/>
                <w:szCs w:val="20"/>
                <w:color w:val="auto"/>
              </w:rPr>
            </w:pPr>
            <w:r>
              <w:rPr>
                <w:rFonts w:ascii="Arial" w:cs="Arial" w:eastAsia="Arial" w:hAnsi="Arial"/>
                <w:sz w:val="18"/>
                <w:szCs w:val="18"/>
                <w:color w:val="auto"/>
              </w:rPr>
              <w:t>“BDSX”</w:t>
            </w:r>
          </w:p>
        </w:tc>
      </w:tr>
      <w:tr>
        <w:trPr>
          <w:trHeight w:val="458"/>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Risk factors</w:t>
            </w:r>
          </w:p>
        </w:tc>
        <w:tc>
          <w:tcPr>
            <w:tcW w:w="7080" w:type="dxa"/>
            <w:vAlign w:val="bottom"/>
          </w:tcPr>
          <w:p>
            <w:pPr>
              <w:ind w:left="260"/>
              <w:spacing w:after="0"/>
              <w:rPr>
                <w:sz w:val="20"/>
                <w:szCs w:val="20"/>
                <w:color w:val="auto"/>
              </w:rPr>
            </w:pPr>
            <w:r>
              <w:rPr>
                <w:rFonts w:ascii="Arial" w:cs="Arial" w:eastAsia="Arial" w:hAnsi="Arial"/>
                <w:sz w:val="18"/>
                <w:szCs w:val="18"/>
                <w:color w:val="auto"/>
                <w:w w:val="96"/>
              </w:rPr>
              <w:t>Investing in our securities involves a high degree of risk. See “Risk Factors” beginning on</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0"/>
              </w:rPr>
              <w:t>page S-7 of this prospectus and the other information included in, or incorporated by reference</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7"/>
              </w:rPr>
              <w:t>into, this prospectus for a discussion of certain factors that you should carefully consider</w:t>
            </w:r>
          </w:p>
        </w:tc>
      </w:tr>
      <w:tr>
        <w:trPr>
          <w:trHeight w:val="230"/>
        </w:trPr>
        <w:tc>
          <w:tcPr>
            <w:tcW w:w="1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before deciding to invest in shares of our common stock.</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620" w:firstLine="440"/>
        <w:spacing w:after="0" w:line="277" w:lineRule="auto"/>
        <w:rPr>
          <w:sz w:val="20"/>
          <w:szCs w:val="20"/>
          <w:color w:val="auto"/>
        </w:rPr>
      </w:pPr>
      <w:r>
        <w:rPr>
          <w:rFonts w:ascii="Arial" w:cs="Arial" w:eastAsia="Arial" w:hAnsi="Arial"/>
          <w:sz w:val="18"/>
          <w:szCs w:val="18"/>
          <w:color w:val="auto"/>
        </w:rPr>
        <w:t>The number of shares of common stock shown above to be outstanding immediately following this offering is based on 27,020,070 shares outstanding as of September 30, 2021 and excludes:</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691,918 shares of common stock reserved for future issuance under our 2020 Equity Incentive Plan (the “2020 Incentive Plan”); and</w:t>
      </w:r>
    </w:p>
    <w:p>
      <w:pPr>
        <w:spacing w:after="0" w:line="142"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295,251 shares of common stock reserved for issuance pursuant to future awards under our under our 2020 Employee Stock Purchase Plan (“ESPP”).</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reflects and assumes no exercise of outstanding options or warrants.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45"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Investing in our securities common stock involves a high degree of risk. You should consider and read carefully all of the risks and uncertainties described below, as well as all the other information contained in the prospectus or incorporated by reference into this prospectus. You should also consider the risks, uncertainties and assumptions discussed under the caption “Risk Factors” included in our Annual Report on Form 10-K for the year ended December 31, 2020 and in our Quarterly Reports on Form 10-Q for the periods ended March 31, June 30 and September 30, 2021, and in subsequent filings, which are incorporated by reference into this prospectus. These risk factors may be amended, supplemented or superseded from time to time by other reports we file with the SEC in the future.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with which you may not agree. Accordingly, you will be relying on the judgment of our management with regard to the use of the net proceeds, and you will not have the opportunity, as part of your investment decision, to assess whether the proceeds are being used appropriately. It is possible that the net proceeds will be invested or otherwise used in a way that does not yield a favorable, or any, return for the Company.</w:t>
      </w:r>
    </w:p>
    <w:p>
      <w:pPr>
        <w:spacing w:after="0" w:line="27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 in the net tangible book value per share of the common stock they purchase.</w:t>
      </w:r>
    </w:p>
    <w:p>
      <w:pPr>
        <w:spacing w:after="0" w:line="6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Since the price per share of our common stock being offered is higher than the net tangible book value per share of our common stock, you will suffer substantial dilution in the net tangible book value of the common stock you purchase in this offering. See the section entitled “Dilution” in this prospectus for a more detailed discussion of the dilution you will incur if you purchase common stock in this offering. In addition, we have a significant number of options outstanding. If the holders of these options exercise such options, you may incur further dilution.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stockholders may experience significant dilution as a result of future equity offerings and exercise of outstanding options.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6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we have a number of securities allowing the purchase of our common stock. As of November 12, 2021, 719,509 shares of common stock were reserved for future issuance under the 2020 Incentive Plan and 295,251 shares of common stock were reserved for future issuance under the ESPP. As of that date,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there were also options to purchase 3,210,703 shares of our common stock outstanding and 119,192 restricted stock units outstanding. The exercise of outstanding options having an exercise price per share that is less than the offering price per share in this offering will increase dilution to investors in this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significant losses since inception, including as a consequence of the COVID-19 pandemic.</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September 30, 2021, we maintained cash and cash equivalents of $47.9 million and we are fully drawn under our $30 million Loan and Security Agreement dated March 19, 2021 (the “2021 Term Loan”). We have incurred significant losses since inception and, as a result, we have funded our operations to date primarily through the sale of common stock in our initial public offering in October 2020, the issuance of notes payable, and from our two primary revenue sources: (i) diagnostic testing, which include lung diagnostic testing and COVID-19 testing, and (ii) providing biopharmaceutical companies with development and testing services.</w:t>
      </w:r>
    </w:p>
    <w:p>
      <w:pPr>
        <w:spacing w:after="0" w:line="188"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As a result of the impact of the COVID-19 pandemic on our operations and our obligation to remain in compliance with our financial covenants under our 2021 Term Loan, our management has determined that there is a substantial doubt about our ability to continue as a going concern over the next twelve months. If we are not able to improve our operating results, we may need to limit our operations substantially. We will need to raise additional capital to increase our liquidity but there is no assurance that we will be able to secure any such funding in a sufficient amount or on terms that are acceptable to us.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Furthermore, the reaction of investors to the inclusion of a going concern statement in our periodic filings, and our potential inability to continue as a going concern, could materially adversely affect the price of our common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 is not possible to predict the aggregate proceeds resulting from sales made under the sales agreement.</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placement notice to Cowen at any time throughout the term of the sales agreement. The number of shares that are sold through Cowen after delivering a placement notice will fluctuate based on a number of factors, including the market price of our common stock during the sales period, any limits we may set with Cowen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30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“at-the-market offerings” and investors who buy shares at different times will likely pay different prices.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pharmaceutical and biotechnology companies in particular have experienced extreme volatility that has often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been unrelated to the operating performance of particular companies. As a result of this volatility, our stockholders may not be able to sell our common stock at or above the price they paid for it. The market price for our common stock may be influenced by many factors, including:</w:t>
      </w:r>
    </w:p>
    <w:p>
      <w:pPr>
        <w:spacing w:after="0" w:line="52"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demand for our diagnostic tests, which may vary significantly;</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cost of manufacturing our diagnostic tests, which may vary depending on the quantity of production and the terms of our agreements with third-party suppliers and manufacturers;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lung cancer treatment equipment, and potential future diagnostic tests that compete with our diagnostic test;</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diagnostic tests or any enhancements to such tests we develop or competing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positive or negative coverage, or public perception, of our diagnostic tests or those of our competitors or broader industry trends;</w:t>
      </w:r>
    </w:p>
    <w:p>
      <w:pPr>
        <w:spacing w:after="0" w:line="142" w:lineRule="exact"/>
        <w:rPr>
          <w:rFonts w:ascii="Arial" w:cs="Arial" w:eastAsia="Arial" w:hAnsi="Arial"/>
          <w:sz w:val="17"/>
          <w:szCs w:val="17"/>
          <w:color w:val="auto"/>
        </w:rPr>
      </w:pPr>
    </w:p>
    <w:p>
      <w:pPr>
        <w:ind w:left="1080" w:right="8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if any, of the spread of COVID-19, and the resulting effects on the number of patients treated or the demand for our non-COVID-19 diagnostic tests;</w:t>
      </w:r>
    </w:p>
    <w:p>
      <w:pPr>
        <w:spacing w:after="0" w:line="75"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licenses, regulatory approval, commercialization activities, acquisitions and other strategic transactions, or other significant events relating to our diagnostic tests, which may change from time to time;</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cost of obtaining regulatory approvals or clearances for planned or future improvements or enhancements to our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regulatory approvals or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discounts and incentives for our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other factors described in the “Risk Factors” sections of our Form 10-K for the year ended December 31, 2020 and in our Quarterly Reports on Form 10-Q for the periods ended March 31, June 30 and September 30, 2021, and in subsequent filings, which are incorporated by reference into this prospectus</w:t>
      </w:r>
    </w:p>
    <w:p>
      <w:pPr>
        <w:spacing w:after="0" w:line="184"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In addition, the spread of COVID-19 has caused a broad impact globally. While the potential economic impact brought by, and the duration of, COVID-19 may be difficult to assess or predict, it has significantly disrupted global financial markets, and a recession or market correction resulting from the spread or continuation of COVID-19 could materially affect our business and the value of our common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83" w:lineRule="exact"/>
        <w:rPr>
          <w:sz w:val="20"/>
          <w:szCs w:val="20"/>
          <w:color w:val="auto"/>
        </w:rPr>
      </w:pPr>
    </w:p>
    <w:p>
      <w:pPr>
        <w:ind w:left="1080" w:hanging="424"/>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continuing spread of COVID-19 (including notable and severe mutations of the virus) may have a material adverse effect on our operations, our ability to generate revenues and income, and our ability to maintain compliance with our debt covenants and, under certain circumstances, remain a going concern;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significant fluctuation in our operating results, causing our operating results to fall below expectations or any guidance we provide;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demand for our COVID-19 and antibody testing program and our ability to meet such demand;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incurrence of substantial liabilities and limiting or halting the marketing and sale of our diagnostic tests due to product liability lawsuits;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80"/>
          </w:cols>
          <w:pgMar w:left="320" w:top="459" w:right="5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20"/>
          </w:cols>
          <w:pgMar w:left="320" w:top="459" w:right="6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may issue and sell shares of our common stock having an aggregate sales proceeds of up to $50,000,000 from time to time. The amount of proceeds from this offering will depend upon the number of shares of our common stock sold and the market price at which they are sold. There can be no assurance that we will be able to sell any shares under, or fully utilize, the sales agreement with Cowen as a source of financing.</w:t>
      </w:r>
    </w:p>
    <w:p>
      <w:pPr>
        <w:spacing w:after="0" w:line="14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will retain broad discretion over the use of the net proceeds from the sale of the securities offered hereby. We currently intend to use the net proceeds from this offering, if any, for general corporate purposes, including for (1) commercial expansion of sales, marketing, reimbursement, customer support and business development, (2) supporting our product pipeline and research and development, (3) funding the expansion of technology integration efforts and automation and (4) our Integrated Diagnostics acquisition milestone payments. The amount and timing of these expenditures will depend on a number of factors, such as the timing, scope, progress and results of our commercial expansion and research and development efforts.</w:t>
      </w:r>
    </w:p>
    <w:p>
      <w:pPr>
        <w:spacing w:after="0" w:line="161"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As of the date of this prospectus, we cannot specify with certainty all of the particular uses for the net proceeds to us from this offering, if any. As a result, our management will have broad discretion regarding the timing and application of the net proceeds from this offering. Pending the application of the net proceeds, we intend to invest the net proceeds in short-term, investment grade, interest-bearing securities.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If you invest in our common stock, you will experience dilution to the extent of the difference between the price per share you pay in this offering and the net tangible book value per share of our common stock immediately after this offering. Our net tangible book value as of September 30, 2021 was approximately $16,033,000, or $0.59 per share of our common stock. Net tangible book value per share as of September 30, 2021 is equal to our total tangible assets minus total liabilities, all divided by the number of shares of common stock outstanding as of September 30, 2021.</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After giving effect to the sale of $50,000,000 of shares of our common stock in this offering at an assumed offering price of $7.81 per share, the last reported sale price of our common stock on The NASDAQ Global Market on November 12, 2021, and after deducting estimated offering commissions and expenses payable by us, our as adjusted net tangible book value would have been approximately $64,233,000, or $1.92 per share of common stock, as of September 30, 2021. This represents an immediate increase in net tangible book value of approximately $1.33 per share to existing stockholders and an immediate dilution of approximately $5.89 per share to investors in this offering. The following table illustrates this calculation on a per share basis.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September 30, 2021</w:t>
            </w: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$0.59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6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Increase in net tangible book value per share attributable to</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8"/>
                <w:szCs w:val="18"/>
                <w:color w:val="auto"/>
                <w:w w:val="93"/>
              </w:rPr>
              <w:t>As adjusted net tangible book value per share as of September 30, 2021, after giving effect</w:t>
            </w: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to this offering</w:t>
            </w:r>
          </w:p>
        </w:tc>
        <w:tc>
          <w:tcPr>
            <w:tcW w:w="160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r>
    </w:tbl>
    <w:p>
      <w:pPr>
        <w:spacing w:after="0" w:line="20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table above assumes for illustrative purposes that an aggregate of 6,402,048 shares of our common stock are sold at a price of $7.81 per share, the last reported sale price of our common stock on The NASDAQ Global Market on November 12, 2021, for aggregate gross proceeds of $50,000,000. The shares sold in this offering, if any, will be sold from time to time at various prices. An increase of $1.00 per share in the price at which the shares are sold from the assumed offering price of $7.81 per share shown in the table above, assuming $50,000,000 of shares of our common stock is sold at that price, would increase our adjusted net tangible book value per share after the offering to $1.96 per share and would increase the dilution in net tangible book value per share to new investors in this offering to $6.85 per share, after deducting commissions and estimated aggregate offering expenses payable by us. A decrease of $1.00 per share in the price at which the shares are sold from the assumed offering price of $7.81 per share shown in the table above, assuming $50,000,000 of shares of our common stock is sold at that price, would decrease our adjusted net tangible book value per share after the offering to $1.87 per share and would decrease the dilution in net tangible book value per share to new investors in this offering to $4.94 per share, after deducting commissions and estimated aggregate offering expenses payable by us. This information is supplied for illustrative purposes only.</w:t>
      </w:r>
    </w:p>
    <w:p>
      <w:pPr>
        <w:spacing w:after="0" w:line="16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number of shares of common stock shown above to be outstanding immediately following this offering is based on 27,020,070 shares outstanding as of September 30, 2021 and excludes:</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691,918 shares of common stock reserved for future issuance under the 2020 Incentive Plan;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295,251 shares of common stock reserved for issuance pursuant to future awards under the ESPP.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also reflects and assumes no exercise of outstanding options or warrants.</w:t>
      </w:r>
    </w:p>
    <w:p>
      <w:pPr>
        <w:spacing w:after="0" w:line="225"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above illustration of dilution per share to investors participating in this offering assumes no exercise of outstanding options to purchase our common stock. The exercise of outstanding options having an exercise price per share that is less than the offering price per share in this offering will increase dilution to investors in this offering.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Our charter authorizes to issue up to 200,000,000 shares of common stock, $0.001 par value per share, and 5,000,000 shares of preferred stock, $0.001 par value per share. 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restated bylaws, each of which is an exhibit to our Annual Report on Form 10-K to which this summary is also an exhibit, and the applicable provisions of the Delaware General Corporation Law (the “DGCL”).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November 12, 2021, we had 27,020,576 shares of common stock outstanding.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Rights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are outstanding. We have no present plan to issue any shares of preferred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party to the Eleventh Amended and Restated Investor Rights Agreement (the “IRA”) which provides that certain holders of shares of common stock have the right to demand that we file a registration statement for their shares of our common stock or request that their shares of our common stock be covered by a registration statement that we are otherwise filing, including, in each case, shares of our common stock that were issued upon conversion of convertible preferred stock. These shares are referred to as registrable securities. The holders of these registrable securities possess registration rights pursuant to the terms of the IRA and are described in additional detail below. We, along with certain of our stockholders, are parties to the IRA. We entered into the IRA in connection with the issuance of Series H Preferred Stock in October 2018. The following summary discusses certain material provisions of the IRA and is qualified by the full text of the agreement, which is filed as an exhibit to the registration statement of which this prospectus is a part.</w:t>
      </w:r>
    </w:p>
    <w:p>
      <w:pPr>
        <w:spacing w:after="0" w:line="192"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piggyback and Form S-3 registrations described below.</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Generally, in an underwritten offering, if we determine in good faith in consultation with the underwriters, we have the right, subject to specified conditions, to limit the number of shares the holders may include. The piggyback and Form S-3 registration rights described below will terminate on the date five years following the closing of our initial public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holders of at least 10% of the registrable securities then outstanding are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registrable securities are entitled to certain piggyback registration rights.</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If we register any of our securities for public sale, either for our own account or for the account of other security holders, we will also have to register all registrable securities that the holders of such securities request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Pursuant to the IRA, we are required to pay all registration expenses, including all registration and filing fees, printing expenses, fees and disbursements of our counsel and reasonable fees and disbursements not to exceed $75,000 of one counsel representing all Holders, as defined in the IRA, participating in the offering, blue sky fees and expenses and the expense of any special audits incident to or required by any such registration, other than any underwriting discounts and selling commissions attributable to the sale of registrable securities, as defined in the IRA.</w:t>
      </w:r>
    </w:p>
    <w:p>
      <w:pPr>
        <w:spacing w:after="0" w:line="17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IRA contains customary cross-indemnification provisions, pursuant to which we are obligated to indemnify Holders, as defined in the IRA, beneficially owning registrable securities covered by a registration statement in the event of material misstatements or omissions in the registration statement attributable to us, and each Holder, as defined in the IRA, is obligated to indemnify us for material misstatements or omissions in the registration statement attributable to them.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and amended and restated bylaws:</w:t>
      </w:r>
    </w:p>
    <w:p>
      <w:pPr>
        <w:spacing w:after="0" w:line="131" w:lineRule="exact"/>
        <w:rPr>
          <w:sz w:val="20"/>
          <w:szCs w:val="20"/>
          <w:color w:val="auto"/>
        </w:rPr>
      </w:pPr>
    </w:p>
    <w:p>
      <w:pPr>
        <w:ind w:left="1080" w:right="2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130"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51"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117" w:lineRule="exact"/>
        <w:rPr>
          <w:sz w:val="20"/>
          <w:szCs w:val="20"/>
          <w:color w:val="auto"/>
        </w:rPr>
      </w:pPr>
    </w:p>
    <w:p>
      <w:pPr>
        <w:ind w:left="120" w:right="300" w:firstLine="440"/>
        <w:spacing w:after="0" w:line="293" w:lineRule="auto"/>
        <w:rPr>
          <w:sz w:val="20"/>
          <w:szCs w:val="20"/>
          <w:color w:val="auto"/>
        </w:rPr>
      </w:pPr>
      <w:r>
        <w:rPr>
          <w:rFonts w:ascii="Arial" w:cs="Arial" w:eastAsia="Arial" w:hAnsi="Arial"/>
          <w:sz w:val="16"/>
          <w:szCs w:val="16"/>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“BDSX.”</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150 Royall Street, Canton, Massachusetts 02021, and its telephone number is (800) 962-4284.</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have entered into a sales agreement with Cowen and Company, LLC (“Cowen”) under which we may issue and sell from time to time up to $50,000,000 of our common stock through Cowen as our sales agent. Sales of our common stock, if any, will be made at market prices by any method that is deemed to be an “at the market” offering as defined in Rule 415 under the Securities Act, including sales made directly on The Nasdaq Global Market or any other trading market for our common stock. If authorized by us in writing, Cowen may purchase shares of our common stock as principal.</w:t>
      </w:r>
    </w:p>
    <w:p>
      <w:pPr>
        <w:spacing w:after="0" w:line="15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Cowen and we each have the right, by giving written notice as specified in the sales agreement, to terminate the sales agreement in each party’s discretion at any time.</w:t>
      </w:r>
    </w:p>
    <w:p>
      <w:pPr>
        <w:spacing w:after="0" w:line="17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aggregate compensation payable to Cowen as sales agent equals 3% of the gross sales price of the shares sold through it pursuant to the sales agreement. We have also agreed to reimburse Cowen up to $75,000 of Cowen’s actual outside legal expenses incurred by Cowen in connection with this offering, plus an additional amount of up to $15,000 in connection with determining our compliance with the rules and regulations of the Financial Industry Regulatory Authority, Inc. (“FINRA”). We estimate that the total expenses of the offering payable by us, excluding commissions payable to Cowen under the sales agreement, will be approximately $300,000.</w:t>
      </w:r>
    </w:p>
    <w:p>
      <w:pPr>
        <w:spacing w:after="0" w:line="176"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46"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Cowen will provide written confirmation to us following the close of trading on The Nasdaq Global Market on each day in which common stock is sold through it as sales agent under the sales agreement. Each confirmation will include the number of shares of common stock sold through it as sales agent on that day, the volume weighted average price of the shares sold and the net proceeds to us.</w:t>
      </w:r>
    </w:p>
    <w:p>
      <w:pPr>
        <w:spacing w:after="0" w:line="165"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To the extent any sales are made, we will report at least quarterly the number of shares of common stock sold through Cowen under the sales agreement, the net proceeds to us and the compensation paid by us to Cowen in connection with the sales of common stock.</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connection with the sales of our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sales agent, Cowen will not engage in any transactions that stabilizes our common stock.</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common stock is listed on The Nasdaq Global Market and trades under the symbol “BDSX.” The transfer agent of our common stock is Computershare.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Cowen and/or its affiliates have provided, and may in the future provide, various investment banking and other financial services for us for which services they have received and, may in the future receive, customary fees.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addition, in the ordinary course of its business activities, Cowen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Cowen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40"/>
          </w:cols>
          <w:pgMar w:left="320" w:top="459"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Certain legal matters in connection with the securities offered hereby will be passed upon for us by Sidley Austin LLP. Cowen is being represented in connection with this offering by Davis Polk &amp; Wardwell LLP, New York, New York.</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financial statements of Biodesix, Inc. as of December 31, 2020 and 2019, and for each of the years in the two-year period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have been incorporated by reference herein and in the registration statement in reliance upon the report of KPMG LLP, independent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registered public accounting firm, incorporated by reference herein, and upon the authority of said firm as experts in accounting and auditing.</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filed with the SEC a registration statement on Form S-3 under the Securities Act of 1933, as amended (the “Securities Act”), with respect to the securities offered by this prospectus. This prospectus does not contain all of the information set forth in the registration statement, of which it is a part, and its exhibits and schedules in accordance with SEC rules and regulations. For further information with respect to us and the securities being offered by this prospectus, you should read the registration statement, including its exhibits and schedules. Statements contained in this prospectus,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65"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are subject to the information and periodic reporting requirements of the Exchange Act, and we file annual, quarterly and current reports, proxy statements and other documents with the SEC. The SEC maintains a website that contains reports, proxy and information statements and other information regarding issuers, including us, that file electronically with the SEC. You may obtain documents that we file with the SEC at http://www.sec.gov.</w:t>
      </w:r>
    </w:p>
    <w:p>
      <w:pPr>
        <w:spacing w:after="0" w:line="18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 xml:space="preserve">We also make these documents available on our website at </w:t>
      </w:r>
      <w:r>
        <w:rPr>
          <w:rFonts w:ascii="Arial" w:cs="Arial" w:eastAsia="Arial" w:hAnsi="Arial"/>
          <w:sz w:val="17"/>
          <w:szCs w:val="17"/>
          <w:i w:val="1"/>
          <w:iCs w:val="1"/>
          <w:color w:val="auto"/>
        </w:rPr>
        <w:t>www.biodesix.com</w:t>
      </w:r>
      <w:r>
        <w:rPr>
          <w:rFonts w:ascii="Arial" w:cs="Arial" w:eastAsia="Arial" w:hAnsi="Arial"/>
          <w:sz w:val="17"/>
          <w:szCs w:val="17"/>
          <w:color w:val="auto"/>
        </w:rPr>
        <w:t>. Our website and the information contained or accessible through our website is not incorporated by reference in this prospectus, and you should not consider it part of this prospectus.</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SEC rules permit us to incorporate information by reference in this prospectus. This means that we can disclose important information to you by referring you to another document filed separately with the SEC. The information incorporated by reference is considered to be part of this prospectus, except for information superseded by information contained in this prospectus itself or in any subsequently filed incorporated document. This prospectus incorporates by reference the documents set forth below that we have previously filed with the SEC (Commission File No. 001-39659), other than information in such documents that is deemed to be furnished and not filed. These documents contain important information about us and our business and financial condition.</w:t>
      </w:r>
    </w:p>
    <w:p>
      <w:pPr>
        <w:spacing w:after="0" w:line="98"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4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16, 2021;</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periods ended </w:t>
      </w:r>
      <w:hyperlink r:id="rId49">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1">
        <w:r>
          <w:rPr>
            <w:rFonts w:ascii="Arial" w:cs="Arial" w:eastAsia="Arial" w:hAnsi="Arial"/>
            <w:sz w:val="18"/>
            <w:szCs w:val="18"/>
            <w:u w:val="single" w:color="auto"/>
            <w:color w:val="0000EE"/>
          </w:rPr>
          <w:t>September 30, 2021</w:t>
        </w:r>
      </w:hyperlink>
      <w:r>
        <w:rPr>
          <w:rFonts w:ascii="Arial" w:cs="Arial" w:eastAsia="Arial" w:hAnsi="Arial"/>
          <w:sz w:val="18"/>
          <w:szCs w:val="18"/>
          <w:color w:val="auto"/>
        </w:rPr>
        <w:t>, filed with the SEC on May 11, 2021, August 10, 2021 and November 15, 2021,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52">
        <w:r>
          <w:rPr>
            <w:rFonts w:ascii="Arial" w:cs="Arial" w:eastAsia="Arial" w:hAnsi="Arial"/>
            <w:sz w:val="18"/>
            <w:szCs w:val="18"/>
            <w:u w:val="single" w:color="auto"/>
            <w:color w:val="0000EE"/>
          </w:rPr>
          <w:t>January 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53">
        <w:r>
          <w:rPr>
            <w:rFonts w:ascii="Arial" w:cs="Arial" w:eastAsia="Arial" w:hAnsi="Arial"/>
            <w:sz w:val="18"/>
            <w:szCs w:val="18"/>
            <w:u w:val="single" w:color="auto"/>
            <w:color w:val="0000EE"/>
          </w:rPr>
          <w:t>March 23,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4">
        <w:r>
          <w:rPr>
            <w:rFonts w:ascii="Arial" w:cs="Arial" w:eastAsia="Arial" w:hAnsi="Arial"/>
            <w:sz w:val="18"/>
            <w:szCs w:val="18"/>
            <w:u w:val="single" w:color="auto"/>
            <w:color w:val="0000EE"/>
          </w:rPr>
          <w:t>May 27,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5"/>
        </w:numPr>
        <w:rPr>
          <w:rFonts w:ascii="Arial" w:cs="Arial" w:eastAsia="Arial" w:hAnsi="Arial"/>
          <w:sz w:val="18"/>
          <w:szCs w:val="18"/>
          <w:color w:val="0000EE"/>
        </w:rPr>
      </w:pPr>
      <w:hyperlink r:id="rId55">
        <w:r>
          <w:rPr>
            <w:rFonts w:ascii="Arial" w:cs="Arial" w:eastAsia="Arial" w:hAnsi="Arial"/>
            <w:sz w:val="18"/>
            <w:szCs w:val="18"/>
            <w:color w:val="auto"/>
          </w:rPr>
          <w:t xml:space="preserve">the information specifically incorporated by reference into our Annual Report on Form 10-K from our </w:t>
        </w:r>
        <w:r>
          <w:rPr>
            <w:rFonts w:ascii="Arial" w:cs="Arial" w:eastAsia="Arial" w:hAnsi="Arial"/>
            <w:sz w:val="18"/>
            <w:szCs w:val="18"/>
            <w:u w:val="single" w:color="auto"/>
            <w:color w:val="0000EE"/>
          </w:rPr>
          <w:t>Definitive Proxy Statement on</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Schedule 14A</w:t>
        </w:r>
        <w:r>
          <w:rPr>
            <w:rFonts w:ascii="Arial" w:cs="Arial" w:eastAsia="Arial" w:hAnsi="Arial"/>
            <w:sz w:val="18"/>
            <w:szCs w:val="18"/>
            <w:color w:val="000000"/>
          </w:rPr>
          <w:t>, filed with the SEC on April 29, 2021; and</w:t>
        </w:r>
      </w:hyperlink>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6">
        <w:r>
          <w:rPr>
            <w:rFonts w:ascii="Arial" w:cs="Arial" w:eastAsia="Arial" w:hAnsi="Arial"/>
            <w:sz w:val="18"/>
            <w:szCs w:val="18"/>
            <w:u w:val="single" w:color="auto"/>
            <w:color w:val="0000EE"/>
          </w:rPr>
          <w:t>Form 8-A</w:t>
        </w:r>
      </w:hyperlink>
      <w:r>
        <w:rPr>
          <w:rFonts w:ascii="Arial" w:cs="Arial" w:eastAsia="Arial" w:hAnsi="Arial"/>
          <w:sz w:val="18"/>
          <w:szCs w:val="18"/>
          <w:color w:val="auto"/>
        </w:rPr>
        <w:t>, dated October 26, 2020.</w:t>
      </w:r>
    </w:p>
    <w:p>
      <w:pPr>
        <w:spacing w:after="0" w:line="225" w:lineRule="exact"/>
        <w:rPr>
          <w:rFonts w:ascii="Arial" w:cs="Arial" w:eastAsia="Arial" w:hAnsi="Arial"/>
          <w:sz w:val="18"/>
          <w:szCs w:val="18"/>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w:t>
      </w:r>
    </w:p>
    <w:p>
      <w:pPr>
        <w:spacing w:after="0" w:line="11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and any previously filed documents.</w:t>
      </w:r>
    </w:p>
    <w:p>
      <w:pPr>
        <w:spacing w:after="0" w:line="17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Any statement contained herein or in a document incorporated or deemed to be incorporated by reference in this prospectus shall be deemed to be modified or superseded for purposes of this prospectus to the extent that a statement contained in this prospectus , or in any other subsequently filed document which also is or is deemed to be incorporated by reference in this prospectus, modifies or supersedes such earlier statement. Any statement so modified or superseded shall not be deemed, except as so modified or superseded, to constitute a part of this prospectus.</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can obtain any of the filings incorporated by reference into this prospectus through us or from the SEC through the SEC’s website at http://www.sec.gov. Upon request, we will provide, without charge, a copy of any or all of the reports and documents referred to above which have been incorporated by reference into this prospectus. Prospective investors may obtain documents incorporated by reference in this prospectus by requesting them in writing or by telephone from us at our executive offices at:</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Boulder, Colorado 80301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(303) 417-0500</w:t>
      </w:r>
    </w:p>
    <w:p>
      <w:pPr>
        <w:spacing w:after="0" w:line="21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“Incorporation of Certain Information by Reference”) is not incorporated by reference into this prospectus and you should not consider it a part of this prospectus.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419"/>
        <w:spacing w:after="0"/>
        <w:rPr>
          <w:sz w:val="20"/>
          <w:szCs w:val="20"/>
          <w:color w:val="auto"/>
        </w:rPr>
      </w:pPr>
      <w:r>
        <w:rPr>
          <w:rFonts w:ascii="Arial" w:cs="Arial" w:eastAsia="Arial" w:hAnsi="Arial"/>
          <w:sz w:val="29"/>
          <w:szCs w:val="29"/>
          <w:b w:val="1"/>
          <w:bCs w:val="1"/>
          <w:color w:val="auto"/>
        </w:rPr>
        <w:t>Up to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340360</wp:posOffset>
            </wp:positionV>
            <wp:extent cx="1997075" cy="3600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19970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1675130</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Arial" w:cs="Arial" w:eastAsia="Arial" w:hAnsi="Arial"/>
          <w:sz w:val="29"/>
          <w:szCs w:val="29"/>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Set forth below is an estimate (except in the case of the registration fee) of the amount of fees and expenses to be incurred in connection with the issuance and distribution of the offered securities, other than underwriting discounts and commissions. All amounts are estimates except the SEC registration fee and the FINRA filing fee.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23,175</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38,000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4"/>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3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134"/>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8300" w:type="dxa"/>
            <w:vAlign w:val="bottom"/>
            <w:gridSpan w:val="3"/>
          </w:tcPr>
          <w:p>
            <w:pPr>
              <w:ind w:left="160"/>
              <w:spacing w:after="0"/>
              <w:rPr>
                <w:sz w:val="20"/>
                <w:szCs w:val="20"/>
                <w:color w:val="auto"/>
              </w:rPr>
            </w:pPr>
            <w:r>
              <w:rPr>
                <w:rFonts w:ascii="Arial" w:cs="Arial" w:eastAsia="Arial" w:hAnsi="Arial"/>
                <w:sz w:val="18"/>
                <w:szCs w:val="18"/>
                <w:color w:val="auto"/>
              </w:rPr>
              <w:t>Estimated expenses not presently known.</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4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No director of the Company shall be personally liable to the Company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5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Company shall indemnify its directors and officers to the fullest extent authorized or permitted by the DGCL, as now or hereafter in effect, and such right to indemnification shall continue as to a person who has ceased to be a director or officer of the Company and shall inure to the benefit of such person’s heirs, executors and personal and legal representatives. A director’s or officer’s right to indemnification shall include the right to be paid by the Company the expenses incurred in defending or otherwise participating in any proceeding in advance of its final disposition, provided that such director or officer presents to the Company a written undertaking to repay such amount if it shall ultimately be determined that such director or officer is not entitled to be indemnified by the Company. Notwithstanding the foregoing, except for proceedings to enforce any director’s or officer’s rights to indemnification or rights to advancement of expenses, the Company shall not be obligated to indemnify any director or officer, or advance expenses of any director or officer, (or such director’s or officer’s heirs, executors or personal or legal representatives) in connection with any proceeding (or part thereof) initiated by such person unless such proceeding (or part thereof) was authorized by the Board.</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rights to indemnification and advancement of expenses shall neither be exclusive of, nor be deemed in limitation of, any rights to which any person may otherwise be or become entitled or permitted under the Certificate of Incorporation, the Bylaws, any statute, agreement, vote of stockholders or disinterested directors or otherwise.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To the fullest extent authorized or permitted by the DGCL, the Company may purchase and maintain insurance on behalf of any current or former director or officer of the Company against any liability asserted against such person, whether or not the Company would have the power to indemnify such person against such liability.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sales agreement filed as Exhibit 1.2 to this registration statement provides for indemnification of us and our directors and officers by Cowen against certain liabilities under the Securities Act and the Exchange Act.</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underwriting agreement, to be filed by an amendment to this registration statement, will provide for indemnification of us and our directors and officers by the underwriters against certain liabilities under the Securities Act and the Exchange Act.</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160" w:type="dxa"/>
            <w:vAlign w:val="bottom"/>
            <w:gridSpan w:val="18"/>
          </w:tcPr>
          <w:p>
            <w:pPr>
              <w:ind w:left="22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69"/>
        </w:trPr>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7"/>
            <w:vMerge w:val="restart"/>
          </w:tcPr>
          <w:p>
            <w:pPr>
              <w:ind w:left="1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6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Form(s) of underwriting agreement(s).</w:t>
            </w:r>
          </w:p>
        </w:tc>
        <w:tc>
          <w:tcPr>
            <w:tcW w:w="0" w:type="dxa"/>
            <w:vAlign w:val="bottom"/>
          </w:tcPr>
          <w:p>
            <w:pPr>
              <w:spacing w:after="0"/>
              <w:rPr>
                <w:sz w:val="1"/>
                <w:szCs w:val="1"/>
                <w:color w:val="auto"/>
              </w:rPr>
            </w:pPr>
          </w:p>
        </w:tc>
      </w:tr>
      <w:tr>
        <w:trPr>
          <w:trHeight w:val="283"/>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20" w:type="dxa"/>
            <w:vAlign w:val="bottom"/>
            <w:tcBorders>
              <w:bottom w:val="single" w:sz="8" w:color="0000EE"/>
            </w:tcBorders>
            <w:gridSpan w:val="12"/>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Sales Agreement, dated as of November 15, 2021, between the Registrant and Cowen and Company, LLC (previously filed with the</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Company’s Registration Statement on Form S-3, with the SEC on November 15, 2021).</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60" w:type="dxa"/>
            <w:vAlign w:val="bottom"/>
            <w:tcBorders>
              <w:bottom w:val="single" w:sz="8" w:color="0000EE"/>
            </w:tcBorders>
            <w:gridSpan w:val="15"/>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Amended and Restated Certificate of Incorporation of the Registrant (previously filed with the Company’s Annual Report on Form 10-K</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dated December 31, 2020).</w:t>
              </w:r>
            </w:hyperlink>
          </w:p>
        </w:tc>
        <w:tc>
          <w:tcPr>
            <w:tcW w:w="79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Amended and Restated Bylaws of the Registrant (previously filed with the Company’s Annual Report on Form 10-K dated December 31,</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9">
              <w:r>
                <w:rPr>
                  <w:rFonts w:ascii="Arial" w:cs="Arial" w:eastAsia="Arial" w:hAnsi="Arial"/>
                  <w:sz w:val="18"/>
                  <w:szCs w:val="18"/>
                  <w:color w:val="0000EE"/>
                  <w:w w:val="86"/>
                </w:rPr>
                <w:t>2020).</w:t>
              </w:r>
            </w:hyperlink>
          </w:p>
        </w:tc>
        <w:tc>
          <w:tcPr>
            <w:tcW w:w="2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3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Form(s) of Rights Agreement(s) (including form(s) of Rights).</w:t>
            </w: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Form of Certificate of Designation of Preferred Stock.</w:t>
            </w:r>
          </w:p>
        </w:tc>
        <w:tc>
          <w:tcPr>
            <w:tcW w:w="0" w:type="dxa"/>
            <w:vAlign w:val="bottom"/>
          </w:tcPr>
          <w:p>
            <w:pPr>
              <w:spacing w:after="0"/>
              <w:rPr>
                <w:sz w:val="1"/>
                <w:szCs w:val="1"/>
                <w:color w:val="auto"/>
              </w:rPr>
            </w:pPr>
          </w:p>
        </w:tc>
      </w:tr>
      <w:tr>
        <w:trPr>
          <w:trHeight w:val="283"/>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80" w:type="dxa"/>
            <w:vAlign w:val="bottom"/>
            <w:tcBorders>
              <w:bottom w:val="single" w:sz="8" w:color="0000EE"/>
            </w:tcBorders>
            <w:gridSpan w:val="14"/>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Specimen stock certificate evidencing shares of Common Stock (previously filed with the Company’s Registration Statement on Form</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S-1/A, with the SEC on October 21, 2020).</w:t>
              </w:r>
            </w:hyperlink>
          </w:p>
        </w:tc>
        <w:tc>
          <w:tcPr>
            <w:tcW w:w="68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Form of Warrant Agreement and Warrant Certificate.</w:t>
            </w: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Form of Certificate for Preferred Stock.</w:t>
            </w:r>
          </w:p>
        </w:tc>
        <w:tc>
          <w:tcPr>
            <w:tcW w:w="0" w:type="dxa"/>
            <w:vAlign w:val="bottom"/>
          </w:tcPr>
          <w:p>
            <w:pPr>
              <w:spacing w:after="0"/>
              <w:rPr>
                <w:sz w:val="1"/>
                <w:szCs w:val="1"/>
                <w:color w:val="auto"/>
              </w:rPr>
            </w:pPr>
          </w:p>
        </w:tc>
      </w:tr>
      <w:tr>
        <w:trPr>
          <w:trHeight w:val="283"/>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40" w:type="dxa"/>
            <w:vAlign w:val="bottom"/>
            <w:tcBorders>
              <w:bottom w:val="single" w:sz="8" w:color="0000EE"/>
            </w:tcBorders>
            <w:gridSpan w:val="13"/>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Eleventh Amended and Restated Investor Rights Agreement, (previously filed in the Company’s Registration Statement on Form S-1,</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with the SEC on October 2, 2020).</w:t>
              </w:r>
            </w:hyperlink>
          </w:p>
        </w:tc>
        <w:tc>
          <w:tcPr>
            <w:tcW w:w="0" w:type="dxa"/>
            <w:vAlign w:val="bottom"/>
          </w:tcPr>
          <w:p>
            <w:pPr>
              <w:spacing w:after="0"/>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Borders>
              <w:top w:val="single" w:sz="8" w:color="0000EE"/>
            </w:tcBorders>
            <w:gridSpan w:val="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Opinion of Sidley Austin LLP.</w:t>
              </w:r>
            </w:hyperlink>
          </w:p>
        </w:tc>
        <w:tc>
          <w:tcPr>
            <w:tcW w:w="7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w w:val="95"/>
              </w:rPr>
            </w:pPr>
            <w:hyperlink r:id="rId112">
              <w:r>
                <w:rPr>
                  <w:rFonts w:ascii="Arial" w:cs="Arial" w:eastAsia="Arial" w:hAnsi="Arial"/>
                  <w:sz w:val="18"/>
                  <w:szCs w:val="18"/>
                  <w:color w:val="0000EE"/>
                  <w:w w:val="95"/>
                </w:rPr>
                <w:t>Opinion of Sidley Austin LLP (previously filed with the Company’s Registration Statement on Form S-3, with the SEC on November</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15, 2021).</w:t>
              </w:r>
            </w:hyperlink>
          </w:p>
        </w:tc>
        <w:tc>
          <w:tcPr>
            <w:tcW w:w="6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3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Consent of Sidley Austin LLP (included in Exhibit 5.1).</w:t>
              </w:r>
            </w:hyperlink>
          </w:p>
        </w:tc>
        <w:tc>
          <w:tcPr>
            <w:tcW w:w="58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90"/>
              </w:rPr>
              <w:t>23.2*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rPr>
            </w:pPr>
            <w:hyperlink r:id="rId112">
              <w:r>
                <w:rPr>
                  <w:rFonts w:ascii="Arial" w:cs="Arial" w:eastAsia="Arial" w:hAnsi="Arial"/>
                  <w:sz w:val="18"/>
                  <w:szCs w:val="18"/>
                  <w:color w:val="0000EE"/>
                </w:rPr>
                <w:t>Consent of Sidley Austin LLP (included in Exhibit 5.2).</w:t>
              </w:r>
            </w:hyperlink>
          </w:p>
        </w:tc>
        <w:tc>
          <w:tcPr>
            <w:tcW w:w="0" w:type="dxa"/>
            <w:vAlign w:val="bottom"/>
          </w:tcPr>
          <w:p>
            <w:pPr>
              <w:spacing w:after="0"/>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23.3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Consent of KPMG LLP</w:t>
              </w:r>
            </w:hyperlink>
          </w:p>
        </w:tc>
        <w:tc>
          <w:tcPr>
            <w:tcW w:w="2320" w:type="dxa"/>
            <w:vAlign w:val="bottom"/>
            <w:tcBorders>
              <w:top w:val="single" w:sz="8" w:color="0000EE"/>
            </w:tcBorders>
            <w:gridSpan w:val="5"/>
          </w:tcPr>
          <w:p>
            <w:pPr>
              <w:spacing w:after="0"/>
              <w:rPr>
                <w:sz w:val="24"/>
                <w:szCs w:val="24"/>
                <w:color w:val="auto"/>
              </w:rPr>
            </w:pPr>
          </w:p>
        </w:tc>
        <w:tc>
          <w:tcPr>
            <w:tcW w:w="58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90"/>
              </w:rPr>
              <w:t>24.1*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Borders>
              <w:bottom w:val="single" w:sz="8" w:color="0000EE"/>
            </w:tcBorders>
            <w:gridSpan w:val="3"/>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Power of Attorney.</w:t>
              </w:r>
            </w:hyperlink>
          </w:p>
        </w:tc>
        <w:tc>
          <w:tcPr>
            <w:tcW w:w="85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be filed by amendment or as exhibit(s) to a Current Report of the Registrant on Form 8-K and incorporated herein by reference, as applicable.</w:t>
      </w:r>
    </w:p>
    <w:p>
      <w:pPr>
        <w:spacing w:after="0" w:line="37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hanging="439"/>
        <w:spacing w:after="0" w:line="272" w:lineRule="auto"/>
        <w:tabs>
          <w:tab w:leader="none" w:pos="1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540" w:right="120" w:hanging="439"/>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92" w:lineRule="exact"/>
        <w:rPr>
          <w:sz w:val="20"/>
          <w:szCs w:val="20"/>
          <w:color w:val="auto"/>
        </w:rPr>
      </w:pPr>
    </w:p>
    <w:p>
      <w:pPr>
        <w:ind w:left="108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540" w:hanging="439"/>
        <w:spacing w:after="0" w:line="269" w:lineRule="auto"/>
        <w:tabs>
          <w:tab w:leader="none" w:pos="15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sz w:val="20"/>
          <w:szCs w:val="20"/>
          <w:color w:val="auto"/>
        </w:rPr>
      </w:pPr>
    </w:p>
    <w:p>
      <w:pPr>
        <w:ind w:left="1540" w:right="100" w:hanging="439"/>
        <w:spacing w:after="0" w:line="277" w:lineRule="auto"/>
        <w:tabs>
          <w:tab w:leader="none" w:pos="15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460" w:hanging="439"/>
        <w:spacing w:after="0" w:line="277" w:lineRule="auto"/>
        <w:tabs>
          <w:tab w:leader="none" w:pos="15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their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540" w:right="40" w:hanging="424"/>
        <w:spacing w:after="0" w:line="25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the purposes of determining any liability under the Securities Act, each filing of the annual reports of the registrant pursuant to Section 13(a) or 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bona fide offering thereof.</w:t>
      </w:r>
    </w:p>
    <w:p>
      <w:pPr>
        <w:spacing w:after="0" w:line="92" w:lineRule="exact"/>
        <w:rPr>
          <w:rFonts w:ascii="Arial" w:cs="Arial" w:eastAsia="Arial" w:hAnsi="Arial"/>
          <w:sz w:val="18"/>
          <w:szCs w:val="18"/>
          <w:color w:val="auto"/>
        </w:rPr>
      </w:pPr>
    </w:p>
    <w:p>
      <w:pPr>
        <w:ind w:left="540" w:hanging="424"/>
        <w:spacing w:after="0" w:line="290"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under Item 15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the Securities Act and will be governed by the final adjudication of such issue.</w:t>
      </w:r>
    </w:p>
    <w:p>
      <w:pPr>
        <w:spacing w:after="0" w:line="70" w:lineRule="exact"/>
        <w:rPr>
          <w:rFonts w:ascii="Arial" w:cs="Arial" w:eastAsia="Arial" w:hAnsi="Arial"/>
          <w:sz w:val="16"/>
          <w:szCs w:val="16"/>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92" w:lineRule="exact"/>
        <w:rPr>
          <w:rFonts w:ascii="Arial" w:cs="Arial" w:eastAsia="Arial" w:hAnsi="Arial"/>
          <w:sz w:val="18"/>
          <w:szCs w:val="18"/>
          <w:color w:val="auto"/>
        </w:rPr>
      </w:pPr>
    </w:p>
    <w:p>
      <w:pPr>
        <w:jc w:val="both"/>
        <w:ind w:left="1080" w:right="60" w:hanging="532"/>
        <w:spacing w:after="0" w:line="263"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Boulder, State of Colorado on this 24th day of November, 2021.</w:t>
      </w:r>
    </w:p>
    <w:p>
      <w:pPr>
        <w:spacing w:after="0" w:line="18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Scott Hutton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President, Chief Executive Officer and Director</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Robin Harper Cowie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Chief Financial Officer, Secretary and Treasurer</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720"/>
          </w:cols>
          <w:pgMar w:left="320" w:top="459" w:right="8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the date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Signature</w:t>
            </w:r>
          </w:p>
        </w:tc>
        <w:tc>
          <w:tcPr>
            <w:tcW w:w="3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60" w:type="dxa"/>
            <w:vAlign w:val="bottom"/>
            <w:gridSpan w:val="3"/>
          </w:tcPr>
          <w:p>
            <w:pPr>
              <w:ind w:left="1740"/>
              <w:spacing w:after="0"/>
              <w:rPr>
                <w:sz w:val="20"/>
                <w:szCs w:val="20"/>
                <w:color w:val="auto"/>
              </w:rPr>
            </w:pPr>
            <w:r>
              <w:rPr>
                <w:rFonts w:ascii="Arial" w:cs="Arial" w:eastAsia="Arial" w:hAnsi="Arial"/>
                <w:sz w:val="14"/>
                <w:szCs w:val="14"/>
                <w:b w:val="1"/>
                <w:bCs w:val="1"/>
                <w:color w:val="auto"/>
              </w:rPr>
              <w:t>Title</w:t>
            </w:r>
          </w:p>
        </w:tc>
        <w:tc>
          <w:tcPr>
            <w:tcW w:w="2460" w:type="dxa"/>
            <w:vAlign w:val="bottom"/>
            <w:gridSpan w:val="3"/>
          </w:tcPr>
          <w:p>
            <w:pPr>
              <w:jc w:val="center"/>
              <w:ind w:left="9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5"/>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Scott Hutton</w:t>
            </w: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24, 2021</w:t>
            </w:r>
          </w:p>
        </w:tc>
      </w:tr>
      <w:tr>
        <w:trPr>
          <w:trHeight w:val="224"/>
        </w:trPr>
        <w:tc>
          <w:tcPr>
            <w:tcW w:w="3660" w:type="dxa"/>
            <w:vAlign w:val="bottom"/>
            <w:gridSpan w:val="3"/>
          </w:tcPr>
          <w:p>
            <w:pPr>
              <w:spacing w:after="0"/>
              <w:rPr>
                <w:sz w:val="20"/>
                <w:szCs w:val="20"/>
                <w:color w:val="auto"/>
              </w:rPr>
            </w:pPr>
            <w:r>
              <w:rPr>
                <w:rFonts w:ascii="Arial" w:cs="Arial" w:eastAsia="Arial" w:hAnsi="Arial"/>
                <w:sz w:val="18"/>
                <w:szCs w:val="18"/>
                <w:color w:val="auto"/>
              </w:rPr>
              <w:t>Scott Hutton</w:t>
            </w: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(Principal Executive Officer)</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Robin Harper Cowie</w:t>
            </w: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Chief Financial Officer, Secretary and Treasurer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24, 2021</w:t>
            </w:r>
          </w:p>
        </w:tc>
      </w:tr>
      <w:tr>
        <w:trPr>
          <w:trHeight w:val="224"/>
        </w:trPr>
        <w:tc>
          <w:tcPr>
            <w:tcW w:w="3660" w:type="dxa"/>
            <w:vAlign w:val="bottom"/>
            <w:gridSpan w:val="3"/>
          </w:tcPr>
          <w:p>
            <w:pPr>
              <w:spacing w:after="0"/>
              <w:rPr>
                <w:sz w:val="20"/>
                <w:szCs w:val="20"/>
                <w:color w:val="auto"/>
              </w:rPr>
            </w:pPr>
            <w:r>
              <w:rPr>
                <w:rFonts w:ascii="Arial" w:cs="Arial" w:eastAsia="Arial" w:hAnsi="Arial"/>
                <w:sz w:val="18"/>
                <w:szCs w:val="18"/>
                <w:color w:val="auto"/>
              </w:rPr>
              <w:t>Robin Harper Cowie</w:t>
            </w: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(Principal Financial Officer)</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Chairman and 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24, 2021</w:t>
            </w:r>
          </w:p>
        </w:tc>
      </w:tr>
      <w:tr>
        <w:trPr>
          <w:trHeight w:val="224"/>
        </w:trPr>
        <w:tc>
          <w:tcPr>
            <w:tcW w:w="3660" w:type="dxa"/>
            <w:vAlign w:val="bottom"/>
            <w:gridSpan w:val="3"/>
          </w:tcPr>
          <w:p>
            <w:pPr>
              <w:spacing w:after="0"/>
              <w:rPr>
                <w:sz w:val="20"/>
                <w:szCs w:val="20"/>
                <w:color w:val="auto"/>
              </w:rPr>
            </w:pPr>
            <w:r>
              <w:rPr>
                <w:rFonts w:ascii="Arial" w:cs="Arial" w:eastAsia="Arial" w:hAnsi="Arial"/>
                <w:sz w:val="18"/>
                <w:szCs w:val="18"/>
                <w:color w:val="auto"/>
              </w:rPr>
              <w:t>John Patience</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24, 2021</w:t>
            </w:r>
          </w:p>
        </w:tc>
      </w:tr>
      <w:tr>
        <w:trPr>
          <w:trHeight w:val="224"/>
        </w:trPr>
        <w:tc>
          <w:tcPr>
            <w:tcW w:w="3660" w:type="dxa"/>
            <w:vAlign w:val="bottom"/>
            <w:gridSpan w:val="3"/>
          </w:tcPr>
          <w:p>
            <w:pPr>
              <w:spacing w:after="0"/>
              <w:rPr>
                <w:sz w:val="20"/>
                <w:szCs w:val="20"/>
                <w:color w:val="auto"/>
              </w:rPr>
            </w:pPr>
            <w:r>
              <w:rPr>
                <w:rFonts w:ascii="Arial" w:cs="Arial" w:eastAsia="Arial" w:hAnsi="Arial"/>
                <w:sz w:val="18"/>
                <w:szCs w:val="18"/>
                <w:color w:val="auto"/>
              </w:rPr>
              <w:t>Jack Schuler</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24, 2021</w:t>
            </w:r>
          </w:p>
        </w:tc>
      </w:tr>
      <w:tr>
        <w:trPr>
          <w:trHeight w:val="224"/>
        </w:trPr>
        <w:tc>
          <w:tcPr>
            <w:tcW w:w="3660" w:type="dxa"/>
            <w:vAlign w:val="bottom"/>
            <w:gridSpan w:val="3"/>
          </w:tcPr>
          <w:p>
            <w:pPr>
              <w:spacing w:after="0"/>
              <w:rPr>
                <w:sz w:val="20"/>
                <w:szCs w:val="20"/>
                <w:color w:val="auto"/>
              </w:rPr>
            </w:pPr>
            <w:r>
              <w:rPr>
                <w:rFonts w:ascii="Arial" w:cs="Arial" w:eastAsia="Arial" w:hAnsi="Arial"/>
                <w:sz w:val="18"/>
                <w:szCs w:val="18"/>
                <w:color w:val="auto"/>
              </w:rPr>
              <w:t>Matthew Strobeck, Ph.D.</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24, 2021</w:t>
            </w:r>
          </w:p>
        </w:tc>
      </w:tr>
      <w:tr>
        <w:trPr>
          <w:trHeight w:val="224"/>
        </w:trPr>
        <w:tc>
          <w:tcPr>
            <w:tcW w:w="3660" w:type="dxa"/>
            <w:vAlign w:val="bottom"/>
            <w:gridSpan w:val="3"/>
          </w:tcPr>
          <w:p>
            <w:pPr>
              <w:spacing w:after="0"/>
              <w:rPr>
                <w:sz w:val="20"/>
                <w:szCs w:val="20"/>
                <w:color w:val="auto"/>
              </w:rPr>
            </w:pPr>
            <w:r>
              <w:rPr>
                <w:rFonts w:ascii="Arial" w:cs="Arial" w:eastAsia="Arial" w:hAnsi="Arial"/>
                <w:sz w:val="18"/>
                <w:szCs w:val="18"/>
                <w:color w:val="auto"/>
              </w:rPr>
              <w:t>Charles Watts, M.D.</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24, 2021</w:t>
            </w:r>
          </w:p>
        </w:tc>
      </w:tr>
      <w:tr>
        <w:trPr>
          <w:trHeight w:val="224"/>
        </w:trPr>
        <w:tc>
          <w:tcPr>
            <w:tcW w:w="3660" w:type="dxa"/>
            <w:vAlign w:val="bottom"/>
            <w:gridSpan w:val="3"/>
          </w:tcPr>
          <w:p>
            <w:pPr>
              <w:spacing w:after="0"/>
              <w:rPr>
                <w:sz w:val="20"/>
                <w:szCs w:val="20"/>
                <w:color w:val="auto"/>
              </w:rPr>
            </w:pPr>
            <w:r>
              <w:rPr>
                <w:rFonts w:ascii="Arial" w:cs="Arial" w:eastAsia="Arial" w:hAnsi="Arial"/>
                <w:sz w:val="18"/>
                <w:szCs w:val="18"/>
                <w:color w:val="auto"/>
              </w:rPr>
              <w:t>Jean Franchi</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24, 2021</w:t>
            </w:r>
          </w:p>
        </w:tc>
      </w:tr>
      <w:tr>
        <w:trPr>
          <w:trHeight w:val="224"/>
        </w:trPr>
        <w:tc>
          <w:tcPr>
            <w:tcW w:w="3660" w:type="dxa"/>
            <w:vAlign w:val="bottom"/>
            <w:gridSpan w:val="3"/>
          </w:tcPr>
          <w:p>
            <w:pPr>
              <w:spacing w:after="0"/>
              <w:rPr>
                <w:sz w:val="20"/>
                <w:szCs w:val="20"/>
                <w:color w:val="auto"/>
              </w:rPr>
            </w:pPr>
            <w:r>
              <w:rPr>
                <w:rFonts w:ascii="Arial" w:cs="Arial" w:eastAsia="Arial" w:hAnsi="Arial"/>
                <w:sz w:val="18"/>
                <w:szCs w:val="18"/>
                <w:color w:val="auto"/>
              </w:rPr>
              <w:t>Hany Massarany</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58"/>
        </w:trPr>
        <w:tc>
          <w:tcPr>
            <w:tcW w:w="3660" w:type="dxa"/>
            <w:vAlign w:val="bottom"/>
            <w:gridSpan w:val="3"/>
          </w:tcPr>
          <w:p>
            <w:pPr>
              <w:spacing w:after="0"/>
              <w:rPr>
                <w:sz w:val="20"/>
                <w:szCs w:val="20"/>
                <w:color w:val="auto"/>
              </w:rPr>
            </w:pPr>
            <w:r>
              <w:rPr>
                <w:rFonts w:ascii="Arial" w:cs="Arial" w:eastAsia="Arial" w:hAnsi="Arial"/>
                <w:sz w:val="18"/>
                <w:szCs w:val="18"/>
                <w:color w:val="auto"/>
              </w:rPr>
              <w:t>* By:  /s/ Robin Harper Cowie</w:t>
            </w: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3180" w:type="dxa"/>
            <w:vAlign w:val="bottom"/>
            <w:tcBorders>
              <w:top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Robin Harper Cowie</w:t>
            </w:r>
          </w:p>
        </w:tc>
        <w:tc>
          <w:tcPr>
            <w:tcW w:w="740" w:type="dxa"/>
            <w:vAlign w:val="bottom"/>
            <w:tcBorders>
              <w:top w:val="single" w:sz="8" w:color="auto"/>
            </w:tcBorders>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Attorney-in-fact</w:t>
            </w:r>
          </w:p>
        </w:tc>
        <w:tc>
          <w:tcPr>
            <w:tcW w:w="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64"/>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60" w:type="dxa"/>
            <w:vAlign w:val="bottom"/>
            <w:gridSpan w:val="3"/>
          </w:tcPr>
          <w:p>
            <w:pPr>
              <w:ind w:left="960"/>
              <w:spacing w:after="0"/>
              <w:rPr>
                <w:sz w:val="20"/>
                <w:szCs w:val="20"/>
                <w:color w:val="auto"/>
              </w:rPr>
            </w:pPr>
            <w:r>
              <w:rPr>
                <w:rFonts w:ascii="Arial" w:cs="Arial" w:eastAsia="Arial" w:hAnsi="Arial"/>
                <w:sz w:val="18"/>
                <w:szCs w:val="18"/>
                <w:color w:val="auto"/>
              </w:rPr>
              <w:t>II-6</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SUITE 2000</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SAN FRANCISCO, CA 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45845"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1045845" cy="27432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8"/>
          <w:szCs w:val="18"/>
          <w:color w:val="auto"/>
        </w:rPr>
        <w:t>+1 415 772 1200</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+1 415 772 7400 FAX</w:t>
      </w:r>
    </w:p>
    <w:p>
      <w:pPr>
        <w:spacing w:after="0" w:line="238"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AMERICA • ASIA PACIFIC • EUROPE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Boulder, CO 80301</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w:t>
      </w:r>
      <w:r>
        <w:rPr>
          <w:rFonts w:ascii="Arial" w:cs="Arial" w:eastAsia="Arial" w:hAnsi="Arial"/>
          <w:sz w:val="18"/>
          <w:szCs w:val="18"/>
          <w:color w:val="auto"/>
        </w:rPr>
        <w:t>g</w:t>
      </w:r>
      <w:r>
        <w:rPr>
          <w:rFonts w:ascii="Arial" w:cs="Arial" w:eastAsia="Arial" w:hAnsi="Arial"/>
          <w:sz w:val="18"/>
          <w:szCs w:val="18"/>
          <w:u w:val="single" w:color="auto"/>
          <w:color w:val="auto"/>
        </w:rPr>
        <w:t>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We refer to the Registration Statement on Form S-3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originally filed by Biodesix,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on November 15, 2021, relating to the registration of up to an aggregate total offering price of $250,000,000 of:</w:t>
      </w:r>
    </w:p>
    <w:p>
      <w:pPr>
        <w:spacing w:after="0" w:line="71" w:lineRule="exact"/>
        <w:rPr>
          <w:sz w:val="20"/>
          <w:szCs w:val="20"/>
          <w:color w:val="auto"/>
        </w:rPr>
      </w:pPr>
    </w:p>
    <w:p>
      <w:pPr>
        <w:ind w:left="1420" w:hanging="43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of the Company’s preferred stock, $0.001 par value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warrants to purchase Common Stock or Preferred Stock (as defined below)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rights to purchase Common Stock, Preferred Stock or Units (as defined below) (the “</w:t>
      </w:r>
      <w:r>
        <w:rPr>
          <w:rFonts w:ascii="Arial" w:cs="Arial" w:eastAsia="Arial" w:hAnsi="Arial"/>
          <w:sz w:val="18"/>
          <w:szCs w:val="18"/>
          <w:u w:val="single" w:color="auto"/>
          <w:color w:val="auto"/>
        </w:rPr>
        <w:t>Rights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units (the “</w:t>
      </w:r>
      <w:r>
        <w:rPr>
          <w:rFonts w:ascii="Arial" w:cs="Arial" w:eastAsia="Arial" w:hAnsi="Arial"/>
          <w:sz w:val="18"/>
          <w:szCs w:val="18"/>
          <w:u w:val="single" w:color="auto"/>
          <w:color w:val="auto"/>
        </w:rPr>
        <w:t>Units</w:t>
      </w:r>
      <w:r>
        <w:rPr>
          <w:rFonts w:ascii="Arial" w:cs="Arial" w:eastAsia="Arial" w:hAnsi="Arial"/>
          <w:sz w:val="18"/>
          <w:szCs w:val="18"/>
          <w:color w:val="auto"/>
        </w:rPr>
        <w:t>”), each consisting of two or more types of the securities listed in clauses (a) through (d)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the Preferred Stock, the Warrants, the Rights and the Units are collectively referred to herein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specified in the applicable prospectus supplement:</w:t>
      </w:r>
    </w:p>
    <w:p>
      <w:pPr>
        <w:spacing w:after="0" w:line="117" w:lineRule="exact"/>
        <w:rPr>
          <w:sz w:val="20"/>
          <w:szCs w:val="20"/>
          <w:color w:val="auto"/>
        </w:rPr>
      </w:pPr>
    </w:p>
    <w:p>
      <w:pPr>
        <w:ind w:right="440" w:firstLine="436"/>
        <w:spacing w:after="0" w:line="277"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Warrants will be issued under a warrant agreement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to be entered into between the Company and a warrant agent (the “</w:t>
      </w:r>
      <w:r>
        <w:rPr>
          <w:rFonts w:ascii="Arial" w:cs="Arial" w:eastAsia="Arial" w:hAnsi="Arial"/>
          <w:sz w:val="18"/>
          <w:szCs w:val="18"/>
          <w:u w:val="single" w:color="auto"/>
          <w:color w:val="auto"/>
        </w:rPr>
        <w:t>Warrant Agent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Rights will be issued under a rights agreement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to be entered into between the Company and a rights agent (the “</w:t>
      </w:r>
      <w:r>
        <w:rPr>
          <w:rFonts w:ascii="Arial" w:cs="Arial" w:eastAsia="Arial" w:hAnsi="Arial"/>
          <w:sz w:val="18"/>
          <w:szCs w:val="18"/>
          <w:u w:val="single" w:color="auto"/>
          <w:color w:val="auto"/>
        </w:rPr>
        <w:t>Rights Agent</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Units will be issued pursuant to one or more unit agreements (each, a “</w:t>
      </w:r>
      <w:r>
        <w:rPr>
          <w:rFonts w:ascii="Arial" w:cs="Arial" w:eastAsia="Arial" w:hAnsi="Arial"/>
          <w:sz w:val="18"/>
          <w:szCs w:val="18"/>
          <w:u w:val="single" w:color="auto"/>
          <w:color w:val="auto"/>
        </w:rPr>
        <w:t>Unit Agreement</w:t>
      </w:r>
      <w:r>
        <w:rPr>
          <w:rFonts w:ascii="Arial" w:cs="Arial" w:eastAsia="Arial" w:hAnsi="Arial"/>
          <w:sz w:val="18"/>
          <w:szCs w:val="18"/>
          <w:color w:val="auto"/>
        </w:rPr>
        <w:t>”) to be entered into between the Company and a unit agent (each, a “</w:t>
      </w:r>
      <w:r>
        <w:rPr>
          <w:rFonts w:ascii="Arial" w:cs="Arial" w:eastAsia="Arial" w:hAnsi="Arial"/>
          <w:sz w:val="18"/>
          <w:szCs w:val="18"/>
          <w:u w:val="single" w:color="auto"/>
          <w:color w:val="auto"/>
        </w:rPr>
        <w:t>Unit Agent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substantially in the form that has been or will be filed as one or more exhibits to the Registration Statement.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opinion letter is being delivered in accordance with the requirements of Item 601(b)(5) of Regulation S-K under the Securities Act.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Sidley Austin (NY) LLP is a Delaware limited liability partnership doing business as Sidley Austin LLP and practicing in affiliation with other Sidley Austin partnerships.</w:t>
      </w:r>
    </w:p>
    <w:p>
      <w:pPr>
        <w:sectPr>
          <w:pgSz w:w="11900" w:h="16838" w:orient="portrait"/>
          <w:cols w:equalWidth="0" w:num="1">
            <w:col w:w="11020"/>
          </w:cols>
          <w:pgMar w:left="440" w:top="121"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74320"/>
                    </a:xfrm>
                    <a:prstGeom prst="rect">
                      <a:avLst/>
                    </a:prstGeom>
                    <a:noFill/>
                  </pic:spPr>
                </pic:pic>
              </a:graphicData>
            </a:graphic>
          </wp:anchor>
        </w:drawing>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have examined the Registration Statement, the exhibits thereto, the certificate of incorporation of the Company, as amended to the date hereof (the “</w:t>
      </w:r>
      <w:r>
        <w:rPr>
          <w:rFonts w:ascii="Arial" w:cs="Arial" w:eastAsia="Arial" w:hAnsi="Arial"/>
          <w:sz w:val="17"/>
          <w:szCs w:val="17"/>
          <w:u w:val="single" w:color="auto"/>
          <w:color w:val="auto"/>
        </w:rPr>
        <w:t>Charter</w:t>
      </w:r>
      <w:r>
        <w:rPr>
          <w:rFonts w:ascii="Arial" w:cs="Arial" w:eastAsia="Arial" w:hAnsi="Arial"/>
          <w:sz w:val="17"/>
          <w:szCs w:val="17"/>
          <w:color w:val="auto"/>
        </w:rPr>
        <w:t>”), the bylaws of the Company, as amended to the date hereof (the “</w:t>
      </w:r>
      <w:r>
        <w:rPr>
          <w:rFonts w:ascii="Arial" w:cs="Arial" w:eastAsia="Arial" w:hAnsi="Arial"/>
          <w:sz w:val="17"/>
          <w:szCs w:val="17"/>
          <w:u w:val="single" w:color="auto"/>
          <w:color w:val="auto"/>
        </w:rPr>
        <w:t>Bylaws</w:t>
      </w:r>
      <w:r>
        <w:rPr>
          <w:rFonts w:ascii="Arial" w:cs="Arial" w:eastAsia="Arial" w:hAnsi="Arial"/>
          <w:sz w:val="17"/>
          <w:szCs w:val="17"/>
          <w:color w:val="auto"/>
        </w:rPr>
        <w:t>”), and the resolutions (the “</w:t>
      </w:r>
      <w:r>
        <w:rPr>
          <w:rFonts w:ascii="Arial" w:cs="Arial" w:eastAsia="Arial" w:hAnsi="Arial"/>
          <w:sz w:val="17"/>
          <w:szCs w:val="17"/>
          <w:u w:val="single" w:color="auto"/>
          <w:color w:val="auto"/>
        </w:rPr>
        <w:t>Resolutions</w:t>
      </w:r>
      <w:r>
        <w:rPr>
          <w:rFonts w:ascii="Arial" w:cs="Arial" w:eastAsia="Arial" w:hAnsi="Arial"/>
          <w:sz w:val="17"/>
          <w:szCs w:val="17"/>
          <w:color w:val="auto"/>
        </w:rPr>
        <w:t>”) adopted by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relating to the Registration Statement. We have also examined originals, or copies of originals certified to our satisfaction, of such agreements, documents, certificates and statements of the Company and others,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Based on and subject to the foregoing and the other limitations, qualifications and assumptions set forth herein, we are of the opinion that:</w:t>
      </w:r>
    </w:p>
    <w:p>
      <w:pPr>
        <w:spacing w:after="0" w:line="129" w:lineRule="exact"/>
        <w:rPr>
          <w:sz w:val="20"/>
          <w:szCs w:val="20"/>
          <w:color w:val="auto"/>
        </w:rPr>
      </w:pPr>
    </w:p>
    <w:p>
      <w:pPr>
        <w:ind w:right="60" w:firstLine="436"/>
        <w:spacing w:after="0" w:line="269"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With respect to an offering of shares of Common Stock covered by the Registration Statement, such shares of Common Stock will be validly issued, fully paid and nonassessable, when: (i) the Registration Statement, as finally amended (including any necessary post-effective amendments), shall have become effective under the Securities Act; (ii) a prospectus supplement with respect to the sale of such shares of Common Stock, if any shall be required, shall have been filed with the SEC in compliance with the Securities Act and the rules and regulations thereunder; (iii) the Board or a duly authorized committee thereof shall have duly adopted final resolutions in conformity with the Charter, the Bylaws and the Resolutions authorizing the issuance and sale of such shares of Common Stock; and (iv) certificates representing such shares of Common Stock shall have been duly executed, countersigned and registered and duly delivered in accordance with the applicable definitive purchase, underwriting or similar agreement upon payment of the agreed consideration therefor in an amount not less than the aggregate par value thereof or, if any such shares of Common Stock are to be issued in uncertificated form, the Company’s books shall reflect the issuance of such shares of Common Stock in accordance with the applicable definitive purchase, underwriting or similar agreement upon payment of the agreed consideration therefor in an amount not less than the aggregate par value thereof.</w:t>
      </w:r>
    </w:p>
    <w:p>
      <w:pPr>
        <w:spacing w:after="0" w:line="73" w:lineRule="exact"/>
        <w:rPr>
          <w:rFonts w:ascii="Arial" w:cs="Arial" w:eastAsia="Arial" w:hAnsi="Arial"/>
          <w:sz w:val="17"/>
          <w:szCs w:val="17"/>
          <w:color w:val="auto"/>
        </w:rPr>
      </w:pPr>
    </w:p>
    <w:p>
      <w:pPr>
        <w:ind w:firstLine="436"/>
        <w:spacing w:after="0" w:line="268"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issuance and sale of each series of Preferred Stock covered by the Registration Statement will be duly authorized, and each share of such series of Preferred Stock will be validly issued, fully paid and nonassessable, when: (i) the Registration Statement, as finally amended (including any necessary post-effective amendments), shall have become effective under the Securities Act; (ii) a prospectus supplement with respect to the sale of such series of Preferred Stock shall have been filed with the SEC in compliance with the Securities Act and the rules and regulations thereunder; (iii) the Board or a duly authorized committee thereof shall have duly adopted final resolutions in conformity with the Charter, the Bylaws and the Resolutions establishing the designations, preferences, rights, qualifications, limitations or restrictions of such series of Preferred Stock and authorizing the issuance and sale of such series of Preferred Stock; (iv) the Company shall have filed with the Secretary of State of the State of Delaware a Certificate of Designations with respect to such series of Preferred Stock in accordance with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and in conformity with the Charter and such final resolutions; and (v) certificates representing such series of Preferred Stock shall have been duly executed, countersigned and registered and duly delivered in accordance with the applicable definitive purchase, underwriting or similar agreement to the purchasers thereof against payment of the agreed consideration therefor in an amount not less than the aggregate par value thereof or, if any shares of such series of Preferred Stock are to be issued in uncertificated form, the Company’s books shall reflect the issuance of such shares in accordance with the applicable definitive purchase, underwriting or similar agreement upon payment of the agreed consideration therefor in an amount not less than the aggregate par value thereof.</w:t>
      </w:r>
    </w:p>
    <w:p>
      <w:pPr>
        <w:sectPr>
          <w:pgSz w:w="11900" w:h="16838" w:orient="portrait"/>
          <w:cols w:equalWidth="0" w:num="1">
            <w:col w:w="11000"/>
          </w:cols>
          <w:pgMar w:left="440" w:top="706" w:right="459" w:bottom="1440" w:gutter="0" w:footer="0" w:header="0"/>
        </w:sectPr>
      </w:pPr>
    </w:p>
    <w:bookmarkStart w:id="65" w:name="page66"/>
    <w:bookmarkEnd w:id="6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74320"/>
                    </a:xfrm>
                    <a:prstGeom prst="rect">
                      <a:avLst/>
                    </a:prstGeom>
                    <a:noFill/>
                  </pic:spPr>
                </pic:pic>
              </a:graphicData>
            </a:graphic>
          </wp:anchor>
        </w:drawing>
        <w:t>Biodesix,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24,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right="120" w:firstLine="436"/>
        <w:spacing w:after="0" w:line="291" w:lineRule="auto"/>
        <w:tabs>
          <w:tab w:leader="none" w:pos="624"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issue of Warrants covered by the Registration Statement will constitute valid and binding obligations of the Company when: (i) the Registration Statement, as finally amended (including any necessary post-effective amendments), shall have become effective under the Securities Act;</w:t>
      </w:r>
    </w:p>
    <w:p>
      <w:pPr>
        <w:ind w:left="4" w:right="40" w:hanging="4"/>
        <w:spacing w:after="0" w:line="268" w:lineRule="auto"/>
        <w:tabs>
          <w:tab w:leader="none" w:pos="269"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prospectus supplement with respect to such issue of Warrants and the Common Stock or Preferred Stock issuable upon exercise of such Warrants shall have been filed with the SEC in compliance with the Securities Act and the rules and regulations thereunder; (iii) a Warrant Agreement relating to such issue of Warrants shall have been duly authorized, executed and delivered by the Company and duly executed and delivered by the Warrant Agent named in the Warrant Agreement; (iv) the Board or a duly authorized committee thereof shall have duly adopted final resolutions in conformity with the Charter</w:t>
      </w:r>
      <w:r>
        <w:rPr>
          <w:rFonts w:ascii="Arial" w:cs="Arial" w:eastAsia="Arial" w:hAnsi="Arial"/>
          <w:sz w:val="17"/>
          <w:szCs w:val="17"/>
          <w:b w:val="1"/>
          <w:bCs w:val="1"/>
          <w:color w:val="auto"/>
        </w:rPr>
        <w:t>,</w:t>
      </w:r>
      <w:r>
        <w:rPr>
          <w:rFonts w:ascii="Arial" w:cs="Arial" w:eastAsia="Arial" w:hAnsi="Arial"/>
          <w:sz w:val="17"/>
          <w:szCs w:val="17"/>
          <w:color w:val="auto"/>
        </w:rPr>
        <w:t xml:space="preserve"> the Bylaws and the Resolutions authorizing the execution and delivery of the Warrant Agreement and the issuance and sale of such issue of Warrants; (v) if such Warrants are exercisable for Common Stock, the actions described in paragraph 1 above shall have been taken; (vi) if such Warrants are exercisable for Preferred Stock, the actions described in paragraph 2 above shall have been taken; and (vii) certificates representing such issue of Warrants shall have been duly executed, countersigned and issued in accordance with such Warrant Agreement and shall have been duly delivered in accordance with the applicable definitive purchase, underwriting or similar agreement to the purchasers thereof against payment of the agreed consideration therefor.</w:t>
      </w:r>
    </w:p>
    <w:p>
      <w:pPr>
        <w:spacing w:after="0" w:line="70" w:lineRule="exact"/>
        <w:rPr>
          <w:rFonts w:ascii="Arial" w:cs="Arial" w:eastAsia="Arial" w:hAnsi="Arial"/>
          <w:sz w:val="17"/>
          <w:szCs w:val="17"/>
          <w:color w:val="auto"/>
        </w:rPr>
      </w:pPr>
    </w:p>
    <w:p>
      <w:pPr>
        <w:ind w:left="4" w:right="40" w:firstLine="436"/>
        <w:spacing w:after="0" w:line="286" w:lineRule="auto"/>
        <w:tabs>
          <w:tab w:leader="none" w:pos="624" w:val="left"/>
        </w:tabs>
        <w:numPr>
          <w:ilvl w:val="1"/>
          <w:numId w:val="38"/>
        </w:numPr>
        <w:rPr>
          <w:rFonts w:ascii="Arial" w:cs="Arial" w:eastAsia="Arial" w:hAnsi="Arial"/>
          <w:sz w:val="16"/>
          <w:szCs w:val="16"/>
          <w:color w:val="auto"/>
        </w:rPr>
      </w:pPr>
      <w:r>
        <w:rPr>
          <w:rFonts w:ascii="Arial" w:cs="Arial" w:eastAsia="Arial" w:hAnsi="Arial"/>
          <w:sz w:val="16"/>
          <w:szCs w:val="16"/>
          <w:color w:val="auto"/>
        </w:rPr>
        <w:t>With respect to an offering of Rights covered by the Registration Statement, such Rights will constitute valid and binding obligations of the Company when: (i) the Registration Statement, as finally amended (including any necessary post-effective amendments), shall have become effective under the Securities Act; (ii) a prospectus supplement with respect to such Rights and the Common Stock, Preferred Stock or Units, as the case may be, issuable upon exercise of such Rights shall have been filed with the SEC in compliance with the Securities Act and the rules and regulations thereunder;</w:t>
      </w:r>
    </w:p>
    <w:p>
      <w:pPr>
        <w:spacing w:after="0" w:line="1" w:lineRule="exact"/>
        <w:rPr>
          <w:rFonts w:ascii="Arial" w:cs="Arial" w:eastAsia="Arial" w:hAnsi="Arial"/>
          <w:sz w:val="16"/>
          <w:szCs w:val="16"/>
          <w:color w:val="auto"/>
        </w:rPr>
      </w:pPr>
    </w:p>
    <w:p>
      <w:pPr>
        <w:ind w:left="4" w:hanging="4"/>
        <w:spacing w:after="0" w:line="251" w:lineRule="auto"/>
        <w:tabs>
          <w:tab w:leader="none" w:pos="3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Rights Agreement relating to such Rights shall have been duly authorized, executed and delivered by the Company and duly executed and delivered by the Rights Agent named in the Rights Agreement; (iv) the Board or a duly authorized committee thereof shall have duly adopted final resolutions in conformity with the Charter, the Bylaws and the Resolutions authorizing the execution and delivery of the Rights Agreement and the execution, delivery, issuance and sale of such Rights; (v) if such Rights relate to the issuance and sale of Common Stock, the actions described in paragraph 1 above shall have been taken; (vi) if such Rights relate to the issuance and sale of Preferred Stock, the actions described in paragraph 2 above shall have been taken; and (vii) certificates representing such Rights shall have been duly executed, countersigned and registered in accordance with the Rights Agreement and shall have been duly delivered to the purchasers thereof in accordance with the Rights Agreement against payment of the agreed consideration therefor.</w:t>
      </w:r>
    </w:p>
    <w:p>
      <w:pPr>
        <w:spacing w:after="0" w:line="89" w:lineRule="exact"/>
        <w:rPr>
          <w:rFonts w:ascii="Arial" w:cs="Arial" w:eastAsia="Arial" w:hAnsi="Arial"/>
          <w:sz w:val="18"/>
          <w:szCs w:val="18"/>
          <w:color w:val="auto"/>
        </w:rPr>
      </w:pPr>
    </w:p>
    <w:p>
      <w:pPr>
        <w:ind w:left="4" w:right="60" w:firstLine="436"/>
        <w:spacing w:after="0" w:line="283" w:lineRule="auto"/>
        <w:tabs>
          <w:tab w:leader="none" w:pos="624" w:val="left"/>
        </w:tabs>
        <w:numPr>
          <w:ilvl w:val="1"/>
          <w:numId w:val="39"/>
        </w:numPr>
        <w:rPr>
          <w:rFonts w:ascii="Arial" w:cs="Arial" w:eastAsia="Arial" w:hAnsi="Arial"/>
          <w:sz w:val="16"/>
          <w:szCs w:val="16"/>
          <w:color w:val="auto"/>
        </w:rPr>
      </w:pPr>
      <w:r>
        <w:rPr>
          <w:rFonts w:ascii="Arial" w:cs="Arial" w:eastAsia="Arial" w:hAnsi="Arial"/>
          <w:sz w:val="16"/>
          <w:szCs w:val="16"/>
          <w:color w:val="auto"/>
        </w:rPr>
        <w:t>With respect to an offering of Units covered by the Registration Statement, such Units will constitute valid and binding obligations of the Company when: (i) the Registration Statement, as finally amended (including any necessary post-effective amendments), shall have become effective under the Securities Act; (ii) a prospectus supplement with respect to such Units and the Common Stock, Preferred Stock, Warrants or Rights, as the case may be, included as a component of such Units shall have been filed with the SEC in compliance with the Securities Act and the rules and regulations thereunder; (iii) a Unit Agreement relating to such issue of Units shall have been duly authorized, executed and delivered by the Company and duly executed and delivered by the Unit Agent named in the Unit Agreement, (iv) the Board or a duly authorized committee thereof shall have duly adopted final resolutions in conformity with the Charter, the Bylaws and the Resolutions authorizing the execution and delivery of the Units Agreement and the execution, delivery, issuance and sale of such Units; (v) if such Units relate to the issuance and sale of Common Stock, the actions described in paragraph 1 above shall have been taken; (vi) if such Units relate to the issuance and sale of Preferred Stock, the actions described in paragraph 2 above shall have been taken; (vii) if such Units relate to the issuance and sale of Warrants, the actions described in paragraph 3 above shall have been taken;</w:t>
      </w:r>
    </w:p>
    <w:p>
      <w:pPr>
        <w:spacing w:after="0" w:line="4" w:lineRule="exact"/>
        <w:rPr>
          <w:rFonts w:ascii="Arial" w:cs="Arial" w:eastAsia="Arial" w:hAnsi="Arial"/>
          <w:sz w:val="16"/>
          <w:szCs w:val="16"/>
          <w:color w:val="auto"/>
        </w:rPr>
      </w:pPr>
    </w:p>
    <w:p>
      <w:pPr>
        <w:ind w:left="4" w:right="400" w:hanging="4"/>
        <w:spacing w:after="0" w:line="302" w:lineRule="auto"/>
        <w:tabs>
          <w:tab w:leader="none" w:pos="409"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such Units relate to the issuance and sale of Rights, the actions described in paragraph 4 above shall have been taken; and (ix) certificates representing such Units shall have been duly executed, countersigned and registered and shall have been duly delivered to the purchasers thereof in accordance with the applicable definitive purchase, underwriting or similar agreement against payment of the agreed consideration therefor.</w:t>
      </w:r>
    </w:p>
    <w:p>
      <w:pPr>
        <w:sectPr>
          <w:pgSz w:w="11900" w:h="16838" w:orient="portrait"/>
          <w:cols w:equalWidth="0" w:num="1">
            <w:col w:w="11004"/>
          </w:cols>
          <w:pgMar w:left="436" w:top="706"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74320"/>
                    </a:xfrm>
                    <a:prstGeom prst="rect">
                      <a:avLst/>
                    </a:prstGeom>
                    <a:noFill/>
                  </pic:spPr>
                </pic:pic>
              </a:graphicData>
            </a:graphic>
          </wp:anchor>
        </w:drawing>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Our opinions are subject to bankruptcy, insolvency, reorganization, moratorium, fraudulent conveyance, fraudulent transfer and other similar laws relating to or affecting creditors’ rights generally and to general equitable principles (regardless of whether considered in a proceeding in equity or at law), including concepts of commercial reasonableness, good faith and fair dealing and the possible unavailability of specific performance or injunctive relief. Our opinion is also subject to (i) provisions of law which may require that a judgment for money damages rendered by a court in the United States of America be expressed only in United States dollars, (ii) requirements that a claim with respect to any obligations that are denominated or payable other than in United States dollars (or a judgment denominated or payable other than in United States dollars in respect of such claim) be converted into United States dollars at a rate of exchange prevailing on a date determined pursuant to applicable law and (iii) governmental authority to limit, delay or prohibit the making of payments outside of the United States of America or in a foreign currency.</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this letter, we have assumed that, at the time of the issuance, sale and delivery of any of the Securities:</w:t>
      </w:r>
    </w:p>
    <w:p>
      <w:pPr>
        <w:spacing w:after="0" w:line="117" w:lineRule="exact"/>
        <w:rPr>
          <w:sz w:val="20"/>
          <w:szCs w:val="20"/>
          <w:color w:val="auto"/>
        </w:rPr>
      </w:pPr>
    </w:p>
    <w:p>
      <w:pPr>
        <w:ind w:left="660" w:hanging="224"/>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Securities being offered will be issued and sold as contemplated in the Registration Statement and the prospectus supplement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2" w:lineRule="exact"/>
        <w:rPr>
          <w:rFonts w:ascii="Arial" w:cs="Arial" w:eastAsia="Arial" w:hAnsi="Arial"/>
          <w:sz w:val="16"/>
          <w:szCs w:val="16"/>
          <w:color w:val="auto"/>
        </w:rPr>
      </w:pPr>
    </w:p>
    <w:p>
      <w:pPr>
        <w:ind w:right="100" w:firstLine="436"/>
        <w:spacing w:after="0" w:line="273" w:lineRule="auto"/>
        <w:tabs>
          <w:tab w:leader="none" w:pos="7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execution, delivery and performance by the Company of each Warrant Agreement, each Rights Agreement and each Unit Agreement, as applicable, and the issuance sale and delivery of the Securities will not (A) contravene or violate the Charter or Bylaws, (B) violate any law, rule or regulation applicable to the Company, (C) result in a default under or breach of any agreement or instrument binding upon the Company or any order, judgment or decree of any court or governmental authority applicable to the Company, or (D) require any authorization, approval or other action by, or notice to or filing with, any court or governmental authority (other than such authorizations, approvals, actions, notices or filings which shall have been obtained or made, as the case may be, and which shall be in full force and effect);</w:t>
      </w:r>
    </w:p>
    <w:p>
      <w:pPr>
        <w:spacing w:after="0" w:line="69" w:lineRule="exact"/>
        <w:rPr>
          <w:rFonts w:ascii="Arial" w:cs="Arial" w:eastAsia="Arial" w:hAnsi="Arial"/>
          <w:sz w:val="17"/>
          <w:szCs w:val="17"/>
          <w:color w:val="auto"/>
        </w:rPr>
      </w:pPr>
    </w:p>
    <w:p>
      <w:pPr>
        <w:ind w:right="500" w:firstLine="436"/>
        <w:spacing w:after="0" w:line="277" w:lineRule="auto"/>
        <w:tabs>
          <w:tab w:leader="none" w:pos="7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authorization thereof by the Company will not have been modified or rescinded, and there will not have occurred any change in law affecting the validity, legally binding character or enforceability thereof; and</w:t>
      </w:r>
    </w:p>
    <w:p>
      <w:pPr>
        <w:spacing w:after="0" w:line="62" w:lineRule="exact"/>
        <w:rPr>
          <w:rFonts w:ascii="Arial" w:cs="Arial" w:eastAsia="Arial" w:hAnsi="Arial"/>
          <w:sz w:val="18"/>
          <w:szCs w:val="18"/>
          <w:color w:val="auto"/>
        </w:rPr>
      </w:pPr>
    </w:p>
    <w:p>
      <w:pPr>
        <w:ind w:left="740" w:hanging="304"/>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Charter and the Bylaws, each as currently in effect, will not have been modified or amended and will be in full force and effect.</w:t>
      </w:r>
    </w:p>
    <w:p>
      <w:pPr>
        <w:spacing w:after="0" w:line="1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We have further assumed that each Warrant Agreement, each Rights Agreement, each Unit Agreement, each Warrant, each Right and each Unit will be governed by the laws of the State of New York.</w:t>
      </w:r>
    </w:p>
    <w:p>
      <w:pPr>
        <w:spacing w:after="0" w:line="62"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With respect to each instrument or agreement referred to in or otherwise relevant to the opinions set forth herein (each, an “</w:t>
      </w:r>
      <w:r>
        <w:rPr>
          <w:rFonts w:ascii="Arial" w:cs="Arial" w:eastAsia="Arial" w:hAnsi="Arial"/>
          <w:sz w:val="16"/>
          <w:szCs w:val="16"/>
          <w:u w:val="single" w:color="auto"/>
          <w:color w:val="auto"/>
        </w:rPr>
        <w:t>Instrument</w:t>
      </w:r>
      <w:r>
        <w:rPr>
          <w:rFonts w:ascii="Arial" w:cs="Arial" w:eastAsia="Arial" w:hAnsi="Arial"/>
          <w:sz w:val="16"/>
          <w:szCs w:val="16"/>
          <w:color w:val="auto"/>
        </w:rPr>
        <w:t>”), we have assumed, to the extent relevant to the opinions set forth herein, that (i) each party to such Instrument (if not a natural person) was duly organized or formed, as the case may be, and was at all relevant times and is validly existing and in good standing under the laws of its jurisdiction of organization or formation, as the case may be, and had at all relevant times and has full right, power and authority to execute, deliver and perform its obligations under such Instrument; (ii) such Instrument has been duly authorized, executed and delivered by each party thereto; and (iii) such Instrument was at all relevant times and is a valid, binding and enforceable agreement or obligation, as the case may be, of, each party thereto.</w:t>
      </w:r>
    </w:p>
    <w:p>
      <w:pPr>
        <w:spacing w:after="0" w:line="56"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This opinion letter is limited to the DGCL and the laws of the State of New York (excluding the securities laws of the State of New York). We express no opinion as to the laws, rules or regulations of any other jurisdiction, including, without limitation, the federal laws of the United States of America or any state securities or blue sky laws.</w:t>
      </w:r>
    </w:p>
    <w:p>
      <w:pPr>
        <w:sectPr>
          <w:pgSz w:w="11900" w:h="16838" w:orient="portrait"/>
          <w:cols w:equalWidth="0" w:num="1">
            <w:col w:w="11000"/>
          </w:cols>
          <w:pgMar w:left="440" w:top="706"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74320"/>
                    </a:xfrm>
                    <a:prstGeom prst="rect">
                      <a:avLst/>
                    </a:prstGeom>
                    <a:noFill/>
                  </pic:spPr>
                </pic:pic>
              </a:graphicData>
            </a:graphic>
          </wp:anchor>
        </w:drawing>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11"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Sidley Austin LLP</w:t>
      </w:r>
    </w:p>
    <w:p>
      <w:pPr>
        <w:sectPr>
          <w:pgSz w:w="11900" w:h="16838" w:orient="portrait"/>
          <w:cols w:equalWidth="0" w:num="1">
            <w:col w:w="10720"/>
          </w:cols>
          <w:pgMar w:left="440" w:top="706" w:right="7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consent to the use of our report dated March 16, 2021, with respect to the financial statements of Biodesix, Inc., incorporated herein by reference and to the reference to our firm under the heading “Experts” in the prospectus.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8">
    <w:nsid w:val="5577F8E1"/>
    <w:multiLevelType w:val="hybridMultilevel"/>
    <w:lvl w:ilvl="0">
      <w:lvlJc w:val="left"/>
      <w:lvlText w:val="(%1)"/>
      <w:numFmt w:val="lowerRoman"/>
      <w:start w:val="2"/>
    </w:lvl>
  </w:abstractNum>
  <w:abstractNum w:abstractNumId="29">
    <w:nsid w:val="440BADFC"/>
    <w:multiLevelType w:val="hybridMultilevel"/>
    <w:lvl w:ilvl="0">
      <w:lvlJc w:val="left"/>
      <w:lvlText w:val="(%1)"/>
      <w:numFmt w:val="decimal"/>
      <w:start w:val="2"/>
    </w:lvl>
    <w:lvl w:ilvl="1">
      <w:lvlJc w:val="left"/>
      <w:lvlText w:val="(%2)"/>
      <w:numFmt w:val="lowerRoman"/>
      <w:start w:val="1"/>
    </w:lvl>
  </w:abstractNum>
  <w:abstractNum w:abstractNumId="30">
    <w:nsid w:val="5072367"/>
    <w:multiLevelType w:val="hybridMultilevel"/>
    <w:lvl w:ilvl="0">
      <w:lvlJc w:val="left"/>
      <w:lvlText w:val="(%1)"/>
      <w:numFmt w:val="decimal"/>
      <w:start w:val="5"/>
    </w:lvl>
  </w:abstractNum>
  <w:abstractNum w:abstractNumId="31">
    <w:nsid w:val="3804823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
    <w:nsid w:val="77465F0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Roman"/>
      <w:start w:val="1"/>
    </w:lvl>
    <w:lvl w:ilvl="1">
      <w:lvlJc w:val="left"/>
      <w:lvlText w:val="%2."/>
      <w:numFmt w:val="decimal"/>
      <w:start w:val="3"/>
    </w:lvl>
  </w:abstractNum>
  <w:abstractNum w:abstractNumId="37">
    <w:nsid w:val="51EAD36B"/>
    <w:multiLevelType w:val="hybridMultilevel"/>
    <w:lvl w:ilvl="0">
      <w:lvlJc w:val="left"/>
      <w:lvlText w:val="(%1)"/>
      <w:numFmt w:val="lowerRoman"/>
      <w:start w:val="2"/>
    </w:lvl>
    <w:lvl w:ilvl="1">
      <w:lvlJc w:val="left"/>
      <w:lvlText w:val="%2."/>
      <w:numFmt w:val="decimal"/>
      <w:start w:val="4"/>
    </w:lvl>
  </w:abstractNum>
  <w:abstractNum w:abstractNumId="38">
    <w:nsid w:val="2D517796"/>
    <w:multiLevelType w:val="hybridMultilevel"/>
    <w:lvl w:ilvl="0">
      <w:lvlJc w:val="left"/>
      <w:lvlText w:val="%1"/>
      <w:numFmt w:val="lowerRoman"/>
      <w:start w:val="1"/>
    </w:lvl>
    <w:lvl w:ilvl="1">
      <w:lvlJc w:val="left"/>
      <w:lvlText w:val="%2."/>
      <w:numFmt w:val="decimal"/>
      <w:start w:val="5"/>
    </w:lvl>
  </w:abstractNum>
  <w:abstractNum w:abstractNumId="39">
    <w:nsid w:val="580BD78F"/>
    <w:multiLevelType w:val="hybridMultilevel"/>
    <w:lvl w:ilvl="0">
      <w:lvlJc w:val="left"/>
      <w:lvlText w:val="(%1)"/>
      <w:numFmt w:val="lowerRoman"/>
      <w:start w:val="8"/>
    </w:lvl>
    <w:lvl w:ilvl="1">
      <w:lvlJc w:val="left"/>
      <w:lvlText w:val="%2"/>
      <w:numFmt w:val="decimal"/>
      <w:start w:val="1"/>
    </w:lvl>
  </w:abstractNum>
  <w:abstractNum w:abstractNumId="40">
    <w:nsid w:val="153EA43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jpe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jpe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jpe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jpeg"/><Relationship Id="rId122" Type="http://schemas.openxmlformats.org/officeDocument/2006/relationships/image" Target="media/image99.png"/><Relationship Id="rId123" Type="http://schemas.openxmlformats.org/officeDocument/2006/relationships/image" Target="media/image100.jpeg"/><Relationship Id="rId124" Type="http://schemas.openxmlformats.org/officeDocument/2006/relationships/image" Target="media/image101.png"/><Relationship Id="rId125" Type="http://schemas.openxmlformats.org/officeDocument/2006/relationships/image" Target="media/image102.jpeg"/><Relationship Id="rId126" Type="http://schemas.openxmlformats.org/officeDocument/2006/relationships/image" Target="media/image103.png"/><Relationship Id="rId127" Type="http://schemas.openxmlformats.org/officeDocument/2006/relationships/image" Target="media/image104.jpeg"/><Relationship Id="rId128" Type="http://schemas.openxmlformats.org/officeDocument/2006/relationships/image" Target="media/image105.png"/><Relationship Id="rId129" Type="http://schemas.openxmlformats.org/officeDocument/2006/relationships/image" Target="media/image106.jpeg"/><Relationship Id="rId48" Type="http://schemas.openxmlformats.org/officeDocument/2006/relationships/hyperlink" Target="http://www.sec.gov/ix?doc=/Archives/edgar/data/1439725/000156459021013512/bdsx-10k_20201231.htm" TargetMode="External"/><Relationship Id="rId49" Type="http://schemas.openxmlformats.org/officeDocument/2006/relationships/hyperlink" Target="http://www.sec.gov/ix?doc=/Archives/edgar/data/1439725/000156459021026558/bdsx-10q_20210331.htm" TargetMode="External"/><Relationship Id="rId50" Type="http://schemas.openxmlformats.org/officeDocument/2006/relationships/hyperlink" Target="http://www.sec.gov/ix?doc=/Archives/edgar/data/1439725/000156459021043081/bdsx-10q_20210630.htm" TargetMode="External"/><Relationship Id="rId51" Type="http://schemas.openxmlformats.org/officeDocument/2006/relationships/hyperlink" Target="http://www.sec.gov/ix?doc=/Archives/edgar/data/1439725/000156459021056811/bdsx-10q_20210930.htm" TargetMode="External"/><Relationship Id="rId52" Type="http://schemas.openxmlformats.org/officeDocument/2006/relationships/hyperlink" Target="http://www.sec.gov/ix?doc=/Archives/edgar/data/1439725/000156459021000191/bdsx-8k_20201231.htm" TargetMode="External"/><Relationship Id="rId53" Type="http://schemas.openxmlformats.org/officeDocument/2006/relationships/hyperlink" Target="http://www.sec.gov/ix?doc=/Archives/edgar/data/1439725/000156459021014880/bdsx-8k_20210319.htm" TargetMode="External"/><Relationship Id="rId54" Type="http://schemas.openxmlformats.org/officeDocument/2006/relationships/hyperlink" Target="http://www.sec.gov/ix?doc=/Archives/edgar/data/1439725/000119312521175320/d190549d8k.htm" TargetMode="External"/><Relationship Id="rId55" Type="http://schemas.openxmlformats.org/officeDocument/2006/relationships/hyperlink" Target="http://www.sec.gov/Archives/edgar/data/1439725/000119312521140545/d142163ddef14a.htm" TargetMode="External"/><Relationship Id="rId56" Type="http://schemas.openxmlformats.org/officeDocument/2006/relationships/hyperlink" Target="http://www.sec.gov/Archives/edgar/data/1439725/000119312520275716/d94177d8a12b.htm" TargetMode="External"/><Relationship Id="rId107" Type="http://schemas.openxmlformats.org/officeDocument/2006/relationships/hyperlink" Target="http://www.sec.gov/Archives/edgar/data/1439725/000119312521330437/d213737dex12.htm" TargetMode="External"/><Relationship Id="rId108" Type="http://schemas.openxmlformats.org/officeDocument/2006/relationships/hyperlink" Target="http://www.sec.gov/Archives/edgar/data/1439725/000156459020056735/bdsx-ex31_716.htm" TargetMode="External"/><Relationship Id="rId109" Type="http://schemas.openxmlformats.org/officeDocument/2006/relationships/hyperlink" Target="http://www.sec.gov/Archives/edgar/data/1439725/000156459020056735/bdsx-ex32_717.htm" TargetMode="External"/><Relationship Id="rId110" Type="http://schemas.openxmlformats.org/officeDocument/2006/relationships/hyperlink" Target="http://www.sec.gov/Archives/edgar/data/1439725/000119312520273369/d937421dex41.htm" TargetMode="External"/><Relationship Id="rId111" Type="http://schemas.openxmlformats.org/officeDocument/2006/relationships/hyperlink" Target="http://www.sec.gov/Archives/edgar/data/1439725/000119312520262422/d937421dex42.htm" TargetMode="External"/><Relationship Id="rId112" Type="http://schemas.openxmlformats.org/officeDocument/2006/relationships/hyperlink" Target="http://www.sec.gov/Archives/edgar/data/1439725/000119312521330437/d213737dex52.htm" TargetMode="External"/><Relationship Id="rId113" Type="http://schemas.openxmlformats.org/officeDocument/2006/relationships/hyperlink" Target="http://www.sec.gov/Archives/edgar/data/1439725/000119312521330437/d213737ds3.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2021-11-24T15:16:19Z</dcterms:created>
  <dcterms:modified xsi:type="dcterms:W3CDTF">2021-11-24T15:16:19Z</dcterms:modified>
</cp:coreProperties>
</file>