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 2020</w:t>
      </w:r>
    </w:p>
    <w:p>
      <w:pPr>
        <w:spacing w:after="0" w:line="31"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107315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280" w:type="dxa"/>
            <w:vAlign w:val="bottom"/>
          </w:tcPr>
          <w:p>
            <w:pPr>
              <w:jc w:val="center"/>
              <w:ind w:right="17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20-3986492</w:t>
            </w:r>
          </w:p>
        </w:tc>
        <w:tc>
          <w:tcPr>
            <w:tcW w:w="0" w:type="dxa"/>
            <w:vAlign w:val="bottom"/>
          </w:tcPr>
          <w:p>
            <w:pPr>
              <w:spacing w:after="0"/>
              <w:rPr>
                <w:sz w:val="1"/>
                <w:szCs w:val="1"/>
                <w:color w:val="auto"/>
              </w:rPr>
            </w:pPr>
          </w:p>
        </w:tc>
      </w:tr>
      <w:tr>
        <w:trPr>
          <w:trHeight w:val="148"/>
        </w:trPr>
        <w:tc>
          <w:tcPr>
            <w:tcW w:w="4280" w:type="dxa"/>
            <w:vAlign w:val="bottom"/>
          </w:tcPr>
          <w:p>
            <w:pPr>
              <w:jc w:val="center"/>
              <w:ind w:right="17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172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280" w:type="dxa"/>
            <w:vAlign w:val="bottom"/>
          </w:tcPr>
          <w:p>
            <w:pPr>
              <w:jc w:val="center"/>
              <w:ind w:right="17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172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42"/>
        </w:trPr>
        <w:tc>
          <w:tcPr>
            <w:tcW w:w="4280" w:type="dxa"/>
            <w:vAlign w:val="bottom"/>
          </w:tcPr>
          <w:p>
            <w:pPr>
              <w:jc w:val="center"/>
              <w:ind w:right="1725"/>
              <w:spacing w:after="0"/>
              <w:rPr>
                <w:sz w:val="20"/>
                <w:szCs w:val="20"/>
                <w:color w:val="auto"/>
              </w:rPr>
            </w:pPr>
            <w:r>
              <w:rPr>
                <w:rFonts w:ascii="Times New Roman" w:cs="Times New Roman" w:eastAsia="Times New Roman" w:hAnsi="Times New Roman"/>
                <w:sz w:val="14"/>
                <w:szCs w:val="14"/>
                <w:b w:val="1"/>
                <w:bCs w:val="1"/>
                <w:color w:val="auto"/>
              </w:rPr>
              <w:t>2970 Wilderness Place, Suite 100</w:t>
            </w:r>
          </w:p>
        </w:tc>
        <w:tc>
          <w:tcPr>
            <w:tcW w:w="3240" w:type="dxa"/>
            <w:vAlign w:val="bottom"/>
            <w:vMerge w:val="restart"/>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80301</w:t>
            </w:r>
          </w:p>
        </w:tc>
        <w:tc>
          <w:tcPr>
            <w:tcW w:w="0" w:type="dxa"/>
            <w:vAlign w:val="bottom"/>
          </w:tcPr>
          <w:p>
            <w:pPr>
              <w:spacing w:after="0"/>
              <w:rPr>
                <w:sz w:val="1"/>
                <w:szCs w:val="1"/>
                <w:color w:val="auto"/>
              </w:rPr>
            </w:pPr>
          </w:p>
        </w:tc>
      </w:tr>
      <w:tr>
        <w:trPr>
          <w:trHeight w:val="162"/>
        </w:trPr>
        <w:tc>
          <w:tcPr>
            <w:tcW w:w="4280" w:type="dxa"/>
            <w:vAlign w:val="bottom"/>
          </w:tcPr>
          <w:p>
            <w:pPr>
              <w:jc w:val="center"/>
              <w:ind w:right="1725"/>
              <w:spacing w:after="0"/>
              <w:rPr>
                <w:sz w:val="20"/>
                <w:szCs w:val="20"/>
                <w:color w:val="auto"/>
              </w:rPr>
            </w:pPr>
            <w:r>
              <w:rPr>
                <w:rFonts w:ascii="Times New Roman" w:cs="Times New Roman" w:eastAsia="Times New Roman" w:hAnsi="Times New Roman"/>
                <w:sz w:val="14"/>
                <w:szCs w:val="14"/>
                <w:b w:val="1"/>
                <w:bCs w:val="1"/>
                <w:color w:val="auto"/>
              </w:rPr>
              <w:t>Boulder, Colorado</w:t>
            </w: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80" w:type="dxa"/>
            <w:vAlign w:val="bottom"/>
          </w:tcPr>
          <w:p>
            <w:pPr>
              <w:jc w:val="center"/>
              <w:ind w:right="174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72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center"/>
        <w:ind w:left="480" w:right="2540"/>
        <w:spacing w:after="0" w:line="262" w:lineRule="auto"/>
        <w:rPr>
          <w:sz w:val="20"/>
          <w:szCs w:val="20"/>
          <w:color w:val="auto"/>
        </w:rPr>
      </w:pPr>
      <w:r>
        <w:rPr>
          <w:rFonts w:ascii="Times New Roman" w:cs="Times New Roman" w:eastAsia="Times New Roman" w:hAnsi="Times New Roman"/>
          <w:sz w:val="18"/>
          <w:szCs w:val="18"/>
          <w:b w:val="1"/>
          <w:bCs w:val="1"/>
          <w:color w:val="auto"/>
        </w:rPr>
        <w:t>Biodesix, Inc. 2020 Equity Incentive Plan Biodesix, Inc. 2016 Equity Incentive Plan Amended and Restated 2006 Employee, Director and Consultant Stock Plan Biodesix, Inc. Employee Stock Purchase Plan</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Scott Hutton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Boulder, Colorado 80301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(303) 417-0500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99695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2"/>
                <w:szCs w:val="12"/>
                <w:b w:val="1"/>
                <w:bCs w:val="1"/>
                <w:color w:val="auto"/>
              </w:rPr>
              <w:t>(2)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1,893,395 shares</w:t>
            </w:r>
            <w:r>
              <w:rPr>
                <w:rFonts w:ascii="Times New Roman" w:cs="Times New Roman" w:eastAsia="Times New Roman" w:hAnsi="Times New Roman"/>
                <w:sz w:val="15"/>
                <w:szCs w:val="15"/>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$12.74</w:t>
            </w:r>
            <w:r>
              <w:rPr>
                <w:rFonts w:ascii="Times New Roman" w:cs="Times New Roman" w:eastAsia="Times New Roman" w:hAnsi="Times New Roman"/>
                <w:sz w:val="15"/>
                <w:szCs w:val="15"/>
                <w:color w:val="auto"/>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$24,121,852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2,473,941 shares</w:t>
            </w:r>
            <w:r>
              <w:rPr>
                <w:rFonts w:ascii="Times New Roman" w:cs="Times New Roman" w:eastAsia="Times New Roman" w:hAnsi="Times New Roman"/>
                <w:sz w:val="15"/>
                <w:szCs w:val="15"/>
                <w:color w:val="auto"/>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$2.08</w:t>
            </w:r>
            <w:r>
              <w:rPr>
                <w:rFonts w:ascii="Times New Roman" w:cs="Times New Roman" w:eastAsia="Times New Roman" w:hAnsi="Times New Roman"/>
                <w:sz w:val="15"/>
                <w:szCs w:val="15"/>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$5,145,797</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$561</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249,370 shares</w:t>
            </w:r>
            <w:r>
              <w:rPr>
                <w:rFonts w:ascii="Times New Roman" w:cs="Times New Roman" w:eastAsia="Times New Roman" w:hAnsi="Times New Roman"/>
                <w:sz w:val="15"/>
                <w:szCs w:val="15"/>
                <w:color w:val="auto"/>
                <w:w w:val="98"/>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w:t>
            </w:r>
            <w:r>
              <w:rPr>
                <w:rFonts w:ascii="Times New Roman" w:cs="Times New Roman" w:eastAsia="Times New Roman" w:hAnsi="Times New Roman"/>
                <w:sz w:val="15"/>
                <w:szCs w:val="15"/>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$957,581</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338,106 shares</w:t>
            </w:r>
            <w:r>
              <w:rPr>
                <w:rFonts w:ascii="Times New Roman" w:cs="Times New Roman" w:eastAsia="Times New Roman" w:hAnsi="Times New Roman"/>
                <w:sz w:val="15"/>
                <w:szCs w:val="15"/>
                <w:color w:val="auto"/>
                <w:w w:val="98"/>
              </w:rPr>
              <w:t>(8)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$12.74</w:t>
            </w:r>
            <w:r>
              <w:rPr>
                <w:rFonts w:ascii="Times New Roman" w:cs="Times New Roman" w:eastAsia="Times New Roman" w:hAnsi="Times New Roman"/>
                <w:sz w:val="15"/>
                <w:szCs w:val="15"/>
                <w:color w:val="auto"/>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$4,307,470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0" w:hanging="424"/>
        <w:spacing w:after="0" w:line="25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Inc., a Delaware corporation (the “Registrant”), is registering an aggregate of 1,893,395 shares of common stock, par value $0.001 per share (the “Common Stock”), that may be issued under the Biodesix, Inc. 2020 Equity Incentive Plan (the “2020 Plan”), 2,473,941 shares of Common Stock that may be issued pursuant to the exercise of outstanding stock options, or the settlement of outstanding restricted stock units, in each case under the Biodesix, Inc. 2016 Equity Incentive Plan (the “2016 Plan”), 249,370 shares of Common Stock that may be issued pursuant to the exercise of outstanding stock options under the Amended and Restated 2006 Employee, Director and Consultant Stock Plan (the “2006 Plan”) and 338,106 shares of Common Stock that may be issued under the Biodesix, Inc. Employee Stock Purchase Plan (the “Employee Stock Purchase Plan”). Pursuant to Rule 416 of the Securities Act of 1933, as amended (the “Securities Act”), this Registration Statement also covers such additional and indeterminate number of securities as may become issuable pursuant to the provisions of the plans relating to adjustments for changes resulting from a stock dividend, stock split or similar change.</w:t>
      </w:r>
    </w:p>
    <w:p>
      <w:pPr>
        <w:spacing w:after="0" w:line="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under the Securities Act of 1933, as amended, solely for the purpose of calculating the registration fee.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issued under the 2020 Plan.</w:t>
      </w:r>
    </w:p>
    <w:p>
      <w:pPr>
        <w:spacing w:after="0" w:line="9"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$12.74 per share represents the average high and low sales prices of the Common Stock as quoted on the Nasdaq Global Market on October 30, 2020.</w:t>
      </w:r>
    </w:p>
    <w:p>
      <w:pPr>
        <w:ind w:left="424" w:right="18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$2.08 per share represents the weighted average exercise price per share of outstanding equity awards under the 2016 Plan.</w:t>
      </w:r>
    </w:p>
    <w:p>
      <w:pPr>
        <w:ind w:left="424" w:right="36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issued pursuant to the exercise of outstanding stock options, or the settlement of outstanding restricted stock units, in each case under the 2016 Plan.</w:t>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issued pursuant to the exercise of outstanding stock options under the 2006 Plan.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issued under the Employee Stock Purchase Plan.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Registration Statement shall become effective upon filing in accordance with Rule 462(a)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All information required by Part I to be contained in the prospectus is omitted from this Registration Statement in accordance with the explanatory note to Part I of Form S-8 and Rule 428 under the Securities Act of 1933, as amended (the “Securities Act”). This Registration Statement on Form S-8 is filed by Biodesix, Inc., a Delaware corporation (the “Registrant”), regarding the Biodesix, Inc. 2020 Equity Incentive Plan, the Biodesix, Inc. 2016 Equity Incentive Plan, the Amended and Restated 2006 Employee, Director and Consultant Stock Plan and the Biodesix, Inc. Employee Stock Purchase Plan. Documents containing the information required by Part I of the Registration Statement will be sent or given to plan participants as specified by Rule 428(b)(1)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“Commission”):</w:t>
      </w:r>
    </w:p>
    <w:p>
      <w:pPr>
        <w:spacing w:after="0" w:line="207" w:lineRule="exact"/>
        <w:rPr>
          <w:sz w:val="20"/>
          <w:szCs w:val="20"/>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contained in the Registrant’s Registration Statement on </w:t>
      </w:r>
      <w:hyperlink r:id="rId18">
        <w:r>
          <w:rPr>
            <w:rFonts w:ascii="Times New Roman" w:cs="Times New Roman" w:eastAsia="Times New Roman" w:hAnsi="Times New Roman"/>
            <w:sz w:val="18"/>
            <w:szCs w:val="18"/>
            <w:u w:val="single" w:color="auto"/>
            <w:color w:val="0000EE"/>
          </w:rPr>
          <w:t>Form S-1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333-249260);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1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w:t>
      </w:r>
    </w:p>
    <w:p>
      <w:pPr>
        <w:spacing w:after="0" w:line="27" w:lineRule="exact"/>
        <w:rPr>
          <w:rFonts w:ascii="Times New Roman" w:cs="Times New Roman" w:eastAsia="Times New Roman" w:hAnsi="Times New Roman"/>
          <w:sz w:val="18"/>
          <w:szCs w:val="18"/>
          <w:color w:val="auto"/>
        </w:rPr>
      </w:pPr>
    </w:p>
    <w:p>
      <w:pPr>
        <w:ind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on October 26, 2020, pursuant to Section 12(b) of the Securities Exchange Act of 1934, as amended (the “Exchange Act”), including any amendment or report for the purpose of updating such description.</w:t>
      </w:r>
    </w:p>
    <w:p>
      <w:pPr>
        <w:spacing w:after="0" w:line="181"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2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Section 145(a) of the General Corporation Law of the State of Delaware, as amended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92" w:lineRule="exact"/>
        <w:rPr>
          <w:rFonts w:ascii="Times New Roman" w:cs="Times New Roman" w:eastAsia="Times New Roman" w:hAnsi="Times New Roman"/>
          <w:sz w:val="18"/>
          <w:szCs w:val="18"/>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ectPr>
          <w:pgSz w:w="11900" w:h="16838" w:orient="portrait"/>
          <w:cols w:equalWidth="0" w:num="1">
            <w:col w:w="11020"/>
          </w:cols>
          <w:pgMar w:left="440" w:top="266" w:right="439" w:bottom="1440" w:gutter="0" w:footer="0" w:header="0"/>
        </w:sectPr>
      </w:pPr>
    </w:p>
    <w:bookmarkStart w:id="3" w:name="page4"/>
    <w:bookmarkEnd w:id="3"/>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provides that no director of the Registrant shall be personally liable to the Registrant or its stockholders for monetary damages for any breach of fiduciary duty as a director, except for liability (1) for any breach of the director’s duty of loyalty to the Registrant or its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the Registrant’s amended and restated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w:t>
      </w:r>
    </w:p>
    <w:p>
      <w:pPr>
        <w:spacing w:after="0" w:line="18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further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76"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provides that the Registrant shall indemnify each of its directors and executive officers, and shall have power to indemnify the Registrant’s other officers, employees and agents, to the fullest extent permitted by the DGCL as the same may be amended (except that in the case of an amendment, only to the extent that the amendment permits the Registrant to provide broader indemnification rights than the DGCL permitted the Registrant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the Registrant, or at the Registrant’s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the Registrant and, with respect to any criminal proceeding, had no reasonable cause to believe his or her conduct was unlawful. The Registrant’s amended and restated certificate of incorporation further provides for the advancement of expenses to each of the Registrant’s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9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Registrant’s amended and restated certificate of incorporation provides that the right of each of the Registrant’s directors and officers to indemnification and advancement of expenses shall not be exclusive of any other right now possessed or hereafter acquired under any statute, provision of the charter or bylaws, agreement, vote of stockholders or otherwise. Furthermore, the Registrant’s amended and restated certificate of incorporation authorizes the Registrant to provide insurance for its directors, officers, employees and agents against any liability, whether or not the Registrant would have the power to indemnify such person against such liability under the DGCL or the bylaws.</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These agreements provide that the Registrant will indemnify each of its directors and such officers to the fullest extent permitted by law and the Registrant’s amended and restated certificate of incorporation. The Registrant also maintains a general liability insurance policy which covers certain liabilities of directors and officers of the Registrant arising out of claims based on acts or omissions in their capacities as directors or officers.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0020" w:type="dxa"/>
            <w:vAlign w:val="bottom"/>
            <w:gridSpan w:val="5"/>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100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w w:val="88"/>
              </w:rPr>
              <w:t>4.1</w:t>
            </w:r>
          </w:p>
        </w:tc>
        <w:tc>
          <w:tcPr>
            <w:tcW w:w="500" w:type="dxa"/>
            <w:vAlign w:val="bottom"/>
          </w:tcPr>
          <w:p>
            <w:pPr>
              <w:spacing w:after="0"/>
              <w:rPr>
                <w:sz w:val="23"/>
                <w:szCs w:val="23"/>
                <w:color w:val="auto"/>
              </w:rPr>
            </w:pPr>
          </w:p>
        </w:tc>
        <w:tc>
          <w:tcPr>
            <w:tcW w:w="9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Amended and Restated Certificate of Incorporation of Biodesix, Inc. (incorporated by reference to Exhibit 3.2 of the Registrant’s</w:t>
              </w:r>
            </w:hyperlink>
          </w:p>
        </w:tc>
        <w:tc>
          <w:tcPr>
            <w:tcW w:w="7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Registration Statement on Form S-1 (No. 333-249260), filed with the Commission on October 21, 2020).</w:t>
              </w:r>
            </w:hyperlink>
          </w:p>
        </w:tc>
        <w:tc>
          <w:tcPr>
            <w:tcW w:w="2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w w:val="88"/>
              </w:rPr>
              <w:t>4.2</w:t>
            </w:r>
          </w:p>
        </w:tc>
        <w:tc>
          <w:tcPr>
            <w:tcW w:w="500" w:type="dxa"/>
            <w:vAlign w:val="bottom"/>
          </w:tcPr>
          <w:p>
            <w:pPr>
              <w:spacing w:after="0"/>
              <w:rPr>
                <w:sz w:val="24"/>
                <w:szCs w:val="24"/>
                <w:color w:val="auto"/>
              </w:rPr>
            </w:pPr>
          </w:p>
        </w:tc>
        <w:tc>
          <w:tcPr>
            <w:tcW w:w="9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Bylaws of Biodesix, Inc. (incorporated by reference to Exhibit 3.4 of the Registrant’s Registration Statement 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 S-1 (No. 333-249260), filed with the Commission on October 21, 2020).</w:t>
              </w:r>
            </w:hyperlink>
          </w:p>
        </w:tc>
        <w:tc>
          <w:tcPr>
            <w:tcW w:w="4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0020" w:type="dxa"/>
            <w:vAlign w:val="bottom"/>
            <w:gridSpan w:val="8"/>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1002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23"/>
                <w:szCs w:val="23"/>
                <w:color w:val="auto"/>
              </w:rPr>
            </w:pPr>
          </w:p>
        </w:tc>
        <w:tc>
          <w:tcPr>
            <w:tcW w:w="10020" w:type="dxa"/>
            <w:vAlign w:val="bottom"/>
            <w:gridSpan w:val="8"/>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Biodesix, Inc. Amended and Restated 2006 Employee, Director and Consultant Stock Plan, as amended to date (incorporated by reference</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20" w:type="dxa"/>
            <w:vAlign w:val="bottom"/>
            <w:gridSpan w:val="8"/>
          </w:tcPr>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to Exhibit 10.1 to the Registrant’s Registration Statement on Form S-1 (No. 333-249260), filed with the Commission on October 9, 2020).</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Biodesix, Inc. 2016 Equity Incentive Plan, as amended to date (incorporated by reference to Exhibit 10.3 to the Registrant’s Registration</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Statement on Form S-1 (No. 333-249260), filed with the Commission on October 2, 2020).</w:t>
              </w:r>
            </w:hyperlink>
          </w:p>
        </w:tc>
        <w:tc>
          <w:tcPr>
            <w:tcW w:w="326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Biodesix, Inc. 2020 Equity Incentive Plan (incorporated by reference to Exhibit 10.5 to the Registrant’s Registration Statement on Form</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S-1 (No. 333-249260), filed with the Commission on October 26, 2020).</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Biodesix, Inc. Employee Stock Purchase Plan (incorporated by reference to Exhibit 10.6 to the Registrant’s Registration Statement on</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S-1 (No. 333-249260), filed with the Commission on October 26, 2020).</w:t>
              </w:r>
            </w:hyperlink>
          </w:p>
        </w:tc>
        <w:tc>
          <w:tcPr>
            <w:tcW w:w="3960" w:type="dxa"/>
            <w:vAlign w:val="bottom"/>
            <w:tcBorders>
              <w:top w:val="single" w:sz="8" w:color="0000EE"/>
            </w:tcBorders>
            <w:gridSpan w:val="2"/>
          </w:tcPr>
          <w:p>
            <w:pPr>
              <w:spacing w:after="0"/>
              <w:rPr>
                <w:sz w:val="17"/>
                <w:szCs w:val="17"/>
                <w:color w:val="auto"/>
              </w:rPr>
            </w:pPr>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Opinion of Sidley Austin LLP with respect to validity of issuance of securities.</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Consent of Sidley Austin LLP (included in Exhibit 5.1).</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0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Power of Attorney (included on the signature page of the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Each document marked with an asterisk is filed herewith.</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9.UNDERTAKINGS</w:t>
      </w:r>
    </w:p>
    <w:p>
      <w:pPr>
        <w:spacing w:after="0" w:line="121" w:lineRule="exact"/>
        <w:rPr>
          <w:sz w:val="20"/>
          <w:szCs w:val="20"/>
          <w:color w:val="auto"/>
        </w:rPr>
      </w:pPr>
    </w:p>
    <w:p>
      <w:pPr>
        <w:ind w:left="680" w:hanging="24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17" w:lineRule="exact"/>
        <w:rPr>
          <w:sz w:val="20"/>
          <w:szCs w:val="20"/>
          <w:color w:val="auto"/>
        </w:rPr>
      </w:pPr>
    </w:p>
    <w:p>
      <w:pPr>
        <w:ind w:left="440" w:right="400" w:firstLine="419"/>
        <w:spacing w:after="0" w:line="266" w:lineRule="auto"/>
        <w:tabs>
          <w:tab w:leader="none" w:pos="1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440"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the Registration Statement.</w:t>
      </w:r>
    </w:p>
    <w:p>
      <w:pPr>
        <w:spacing w:after="0" w:line="67" w:lineRule="exact"/>
        <w:rPr>
          <w:sz w:val="20"/>
          <w:szCs w:val="20"/>
          <w:color w:val="auto"/>
        </w:rPr>
      </w:pPr>
    </w:p>
    <w:p>
      <w:pPr>
        <w:ind w:left="440" w:right="100" w:firstLine="419"/>
        <w:spacing w:after="0" w:line="266"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right="80" w:firstLine="436"/>
        <w:spacing w:after="0" w:line="25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20"/>
          </w:cols>
          <w:pgMar w:left="440" w:top="251"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121"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Boulder, Colorado, on the 2nd day of November, 2020.</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Scott Hutton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Patience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Jack Schuler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Jack Schuler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Strobeck,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Watts, M.D.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Watts,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Hany Massarany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Hany Massarany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2880"/>
        <w:spacing w:after="0"/>
        <w:rPr>
          <w:sz w:val="20"/>
          <w:szCs w:val="20"/>
          <w:color w:val="auto"/>
        </w:rPr>
      </w:pPr>
      <w:r>
        <w:rPr>
          <w:rFonts w:ascii="Arial" w:cs="Arial" w:eastAsia="Arial" w:hAnsi="Arial"/>
          <w:sz w:val="13"/>
          <w:szCs w:val="13"/>
          <w:color w:val="auto"/>
        </w:rPr>
        <w:t>SIDLEY AUSTIN LLP</w:t>
      </w:r>
    </w:p>
    <w:p>
      <w:pPr>
        <w:ind w:left="2880"/>
        <w:spacing w:after="0" w:line="219" w:lineRule="auto"/>
        <w:rPr>
          <w:sz w:val="20"/>
          <w:szCs w:val="20"/>
          <w:color w:val="auto"/>
        </w:rPr>
      </w:pPr>
      <w:r>
        <w:rPr>
          <w:rFonts w:ascii="Arial" w:cs="Arial" w:eastAsia="Arial" w:hAnsi="Arial"/>
          <w:sz w:val="13"/>
          <w:szCs w:val="13"/>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1045845" cy="24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045845" cy="248285"/>
                    </a:xfrm>
                    <a:prstGeom prst="rect">
                      <a:avLst/>
                    </a:prstGeom>
                    <a:noFill/>
                  </pic:spPr>
                </pic:pic>
              </a:graphicData>
            </a:graphic>
          </wp:anchor>
        </w:drawing>
      </w:r>
    </w:p>
    <w:p>
      <w:pPr>
        <w:ind w:left="2880"/>
        <w:spacing w:after="0" w:line="216" w:lineRule="auto"/>
        <w:rPr>
          <w:sz w:val="20"/>
          <w:szCs w:val="20"/>
          <w:color w:val="auto"/>
        </w:rPr>
      </w:pPr>
      <w:r>
        <w:rPr>
          <w:rFonts w:ascii="Arial" w:cs="Arial" w:eastAsia="Arial" w:hAnsi="Arial"/>
          <w:sz w:val="13"/>
          <w:szCs w:val="13"/>
          <w:color w:val="auto"/>
        </w:rPr>
        <w:t>SUITE 2000</w:t>
      </w:r>
    </w:p>
    <w:p>
      <w:pPr>
        <w:ind w:left="2880"/>
        <w:spacing w:after="0" w:line="217" w:lineRule="auto"/>
        <w:rPr>
          <w:sz w:val="20"/>
          <w:szCs w:val="20"/>
          <w:color w:val="auto"/>
        </w:rPr>
      </w:pPr>
      <w:r>
        <w:rPr>
          <w:rFonts w:ascii="Arial" w:cs="Arial" w:eastAsia="Arial" w:hAnsi="Arial"/>
          <w:sz w:val="13"/>
          <w:szCs w:val="13"/>
          <w:color w:val="auto"/>
        </w:rPr>
        <w:t>SAN FRANCISCO, CA 94104</w:t>
      </w:r>
    </w:p>
    <w:p>
      <w:pPr>
        <w:ind w:left="2880"/>
        <w:spacing w:after="0" w:line="217" w:lineRule="auto"/>
        <w:rPr>
          <w:sz w:val="20"/>
          <w:szCs w:val="20"/>
          <w:color w:val="auto"/>
        </w:rPr>
      </w:pPr>
      <w:r>
        <w:rPr>
          <w:rFonts w:ascii="Arial" w:cs="Arial" w:eastAsia="Arial" w:hAnsi="Arial"/>
          <w:sz w:val="13"/>
          <w:szCs w:val="13"/>
          <w:color w:val="auto"/>
        </w:rPr>
        <w:t>+1 415 772 1200</w:t>
      </w:r>
    </w:p>
    <w:p>
      <w:pPr>
        <w:ind w:left="2880"/>
        <w:spacing w:after="0"/>
        <w:rPr>
          <w:sz w:val="20"/>
          <w:szCs w:val="20"/>
          <w:color w:val="auto"/>
        </w:rPr>
      </w:pPr>
      <w:r>
        <w:rPr>
          <w:rFonts w:ascii="Arial" w:cs="Arial" w:eastAsia="Arial" w:hAnsi="Arial"/>
          <w:sz w:val="13"/>
          <w:szCs w:val="13"/>
          <w:color w:val="auto"/>
        </w:rPr>
        <w:t>+1 415 772 7400 FAX</w:t>
      </w:r>
    </w:p>
    <w:p>
      <w:pPr>
        <w:spacing w:after="0" w:line="348" w:lineRule="exact"/>
        <w:rPr>
          <w:sz w:val="20"/>
          <w:szCs w:val="20"/>
          <w:color w:val="auto"/>
        </w:rPr>
      </w:pPr>
    </w:p>
    <w:p>
      <w:pPr>
        <w:ind w:left="2880"/>
        <w:spacing w:after="0"/>
        <w:rPr>
          <w:sz w:val="20"/>
          <w:szCs w:val="20"/>
          <w:color w:val="auto"/>
        </w:rPr>
      </w:pPr>
      <w:r>
        <w:rPr>
          <w:rFonts w:ascii="Arial" w:cs="Arial" w:eastAsia="Arial" w:hAnsi="Arial"/>
          <w:sz w:val="13"/>
          <w:szCs w:val="13"/>
          <w:color w:val="auto"/>
        </w:rPr>
        <w:t>AMERICA • ASIA PACIFIC • EUROPE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 80301</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4,954,812 Shares of Common Stock, $0.001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(i) 1,893,395 shares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which may be issued under the Biodesix,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(ii) 2,473,941 shares of Common Stock which may be issued under the Biodesix, Inc. 2016 Equity Incentive Plan (the “</w:t>
      </w:r>
      <w:r>
        <w:rPr>
          <w:rFonts w:ascii="Times New Roman" w:cs="Times New Roman" w:eastAsia="Times New Roman" w:hAnsi="Times New Roman"/>
          <w:sz w:val="18"/>
          <w:szCs w:val="18"/>
          <w:u w:val="single" w:color="auto"/>
          <w:color w:val="auto"/>
        </w:rPr>
        <w:t>2016 Plan</w:t>
      </w:r>
      <w:r>
        <w:rPr>
          <w:rFonts w:ascii="Times New Roman" w:cs="Times New Roman" w:eastAsia="Times New Roman" w:hAnsi="Times New Roman"/>
          <w:sz w:val="18"/>
          <w:szCs w:val="18"/>
          <w:color w:val="auto"/>
        </w:rPr>
        <w:t>”), (iii) 249,370 shares of Common Stock that may be issued under the Amended and Restated 2006 Employee, Director and Consultant Stock Plan (the “2006 Plan”), and (iv) 338,106 shares of Common Stock that may be issued under the Biodesix, Inc. Employee Stock Purchase Plan (together with the 2020 Plan, the 2016 Plan and the 2006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and the aggregate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Plans, the Registration Statement, the Amended and Restated Certificate of Incorporation of the Company, the Amended and Restated Bylaws of the Company, the resolutions of the Company’s Board of Directors authorizing the Plans and the issuance of the Registered Shares thereunder and the resolutions of the Company’s stockholders authorizing the Plans.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Sidley Austin LLP is a limited liability partnership practicing in affiliation with other Sidley Austin partnerships.</w:t>
      </w:r>
    </w:p>
    <w:p>
      <w:pPr>
        <w:sectPr>
          <w:pgSz w:w="11900" w:h="16838" w:orient="portrait"/>
          <w:cols w:equalWidth="0" w:num="1">
            <w:col w:w="11020"/>
          </w:cols>
          <w:pgMar w:left="440" w:top="117" w:right="439" w:bottom="1440" w:gutter="0" w:footer="0" w:header="0"/>
        </w:sectPr>
      </w:pPr>
    </w:p>
    <w:bookmarkStart w:id="7" w:name="page8"/>
    <w:bookmarkEnd w:id="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on the foregoing, we are of the opinion that each Registered Share that is newly issued pursuant to each Plan will be validly issued, fully paid and non-assessable when: (i) the Registration Statement, as finally amended, shall have become effective under the Securities Act; (ii) such Registered Share shall have been duly issued and delivered in accordance with the applicable Plan;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applicable Plan.</w:t>
      </w:r>
    </w:p>
    <w:p>
      <w:pPr>
        <w:spacing w:after="0" w:line="189"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960"/>
          </w:cols>
          <w:pgMar w:left="440" w:top="270"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9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May 27, 2020, except for earnings per share and Note 1(aa), as to which the date is August 12, 2020 and Note 14, as to which the date is October 20, 2020, incorporated by reference herein.</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jpeg"/><Relationship Id="rId32" Type="http://schemas.openxmlformats.org/officeDocument/2006/relationships/image" Target="media/image17.png"/><Relationship Id="rId18" Type="http://schemas.openxmlformats.org/officeDocument/2006/relationships/hyperlink" Target="http://www.sec.gov/Archives/edgar/data/1439725/000119312520262422/d937421ds1.htm" TargetMode="External"/><Relationship Id="rId19" Type="http://schemas.openxmlformats.org/officeDocument/2006/relationships/hyperlink" Target="http://www.sec.gov/Archives/edgar/data/1439725/000119312520275716/d94177d8a12b.htm" TargetMode="External"/><Relationship Id="rId21" Type="http://schemas.openxmlformats.org/officeDocument/2006/relationships/hyperlink" Target="http://www.sec.gov/Archives/edgar/data/1439725/000119312520273369/d937421dex32.htm" TargetMode="External"/><Relationship Id="rId22" Type="http://schemas.openxmlformats.org/officeDocument/2006/relationships/hyperlink" Target="http://www.sec.gov/Archives/edgar/data/1439725/000119312520273369/d937421dex34.htm" TargetMode="External"/><Relationship Id="rId24" Type="http://schemas.openxmlformats.org/officeDocument/2006/relationships/hyperlink" Target="http://www.sec.gov/Archives/edgar/data/1439725/000119312520266992/d937421dex101.htm" TargetMode="External"/><Relationship Id="rId25" Type="http://schemas.openxmlformats.org/officeDocument/2006/relationships/hyperlink" Target="http://www.sec.gov/Archives/edgar/data/1439725/000119312520262422/d937421dex103.htm" TargetMode="External"/><Relationship Id="rId26" Type="http://schemas.openxmlformats.org/officeDocument/2006/relationships/hyperlink" Target="http://www.sec.gov/Archives/edgar/data/1439725/000119312520275630/d937421dex105.htm" TargetMode="External"/><Relationship Id="rId27" Type="http://schemas.openxmlformats.org/officeDocument/2006/relationships/hyperlink" Target="http://www.sec.gov/Archives/edgar/data/1439725/000119312520275630/d937421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2020-11-02T16:25:55Z</dcterms:created>
  <dcterms:modified xsi:type="dcterms:W3CDTF">2020-11-02T16:25:55Z</dcterms:modified>
</cp:coreProperties>
</file>