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40331.htm"/>
      <w:bookmarkStart w:id="1" w:name="ksbdsx2024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9874" w:type="dxa"/>
            <w:tcBorders/>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001-39659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B</w:t>
      </w:r>
      <w:r>
        <w:rPr>
          <w:rFonts w:ascii="Times New Roman" w:hAnsi="Times New Roman"/>
          <w:b/>
          <w:color w:val="000000"/>
          <w:sz w:val="28"/>
        </w:rPr>
        <w:t>IODESIX</w:t>
      </w:r>
      <w:r>
        <w:rPr>
          <w:rFonts w:ascii="Times New Roman" w:hAnsi="Times New Roman"/>
          <w:b/>
          <w:color w:val="000000"/>
          <w:sz w:val="36"/>
        </w:rPr>
        <w:t>, I</w:t>
      </w:r>
      <w:r>
        <w:rPr>
          <w:rFonts w:ascii="Times New Roman" w:hAnsi="Times New Roman"/>
          <w:b/>
          <w:color w:val="000000"/>
          <w:sz w:val="28"/>
        </w:rPr>
        <w:t>NC</w:t>
      </w:r>
      <w:r>
        <w:rPr>
          <w:rFonts w:ascii="Times New Roman" w:hAnsi="Times New Roman"/>
          <w:b/>
          <w:color w:val="000000"/>
          <w:sz w:val="36"/>
        </w:rPr>
        <w: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20-3986492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rPr>
            </w:pPr>
            <w:r>
              <w:rPr>
                <w:rFonts w:ascii="Times New Roman" w:hAnsi="Times New Roman"/>
                <w:b/>
                <w:color w:val="000000"/>
                <w:sz w:val="16"/>
              </w:rPr>
              <w:t>919 West Dillon Rd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Louisville, Colorado</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(303) 417-0500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vAlign w:val="center"/>
          </w:tcPr>
          <w:p>
            <w:pPr>
              <w:pStyle w:val="TableContents"/>
              <w:bidi w:val="0"/>
              <w:spacing w:before="20" w:after="283"/>
              <w:jc w:val="center"/>
              <w:rPr/>
            </w:pPr>
            <w:r>
              <w:rPr/>
              <w:t> </w:t>
            </w:r>
          </w:p>
        </w:tc>
        <w:tc>
          <w:tcPr>
            <w:tcW w:w="826" w:type="dxa"/>
            <w:tcBorders/>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BDSX</w:t>
            </w:r>
          </w:p>
        </w:tc>
        <w:tc>
          <w:tcPr>
            <w:tcW w:w="146" w:type="dxa"/>
            <w:tcBorders/>
            <w:vAlign w:val="center"/>
          </w:tcPr>
          <w:p>
            <w:pPr>
              <w:pStyle w:val="TableContents"/>
              <w:bidi w:val="0"/>
              <w:spacing w:before="20" w:after="283"/>
              <w:jc w:val="center"/>
              <w:rPr/>
            </w:pPr>
            <w:r>
              <w:rPr/>
              <w:t> </w:t>
            </w:r>
          </w:p>
        </w:tc>
        <w:tc>
          <w:tcPr>
            <w:tcW w:w="3316" w:type="dxa"/>
            <w:tcBorders/>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7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120" w:after="283"/>
        <w:jc w:val="both"/>
        <w:rPr>
          <w:rFonts w:ascii="Times New Roman" w:hAnsi="Times New Roman"/>
          <w:sz w:val="20"/>
        </w:rPr>
      </w:pPr>
      <w:r>
        <w:rPr>
          <w:rFonts w:ascii="Times New Roman" w:hAnsi="Times New Roman"/>
          <w:color w:val="000000"/>
          <w:sz w:val="18"/>
        </w:rPr>
        <w:t>As of May 1, 2024, the Registrant had 114,685,783</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4"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3"/>
        <w:gridCol w:w="8810"/>
        <w:gridCol w:w="512"/>
      </w:tblGrid>
      <w:tr>
        <w:trPr/>
        <w:tc>
          <w:tcPr>
            <w:tcW w:w="883" w:type="dxa"/>
            <w:tcBorders/>
            <w:vAlign w:val="center"/>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_unaudited">
              <w:r>
                <w:rPr>
                  <w:rStyle w:val="InternetLink"/>
                  <w:rFonts w:ascii="Times New Roman" w:hAnsi="Times New Roman"/>
                  <w:color w:val="0000FF"/>
                  <w:sz w:val="20"/>
                  <w:u w:val="single"/>
                </w:rPr>
                <w:t>Condensed Balance Sheets as of March 31, 2024 and December 31, 2023</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for the Three Months Ended March 31, 2024 and 2023</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hanges_in_converti">
              <w:r>
                <w:rPr>
                  <w:rStyle w:val="InternetLink"/>
                  <w:rFonts w:ascii="Times New Roman" w:hAnsi="Times New Roman"/>
                  <w:color w:val="0000FF"/>
                  <w:sz w:val="20"/>
                  <w:u w:val="single"/>
                </w:rPr>
                <w:t>Condensed Statements Stockholders' (Deficit) Equity for the Three Months Ended March 31, 2024 and 2023</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_unaudite">
              <w:r>
                <w:rPr>
                  <w:rStyle w:val="InternetLink"/>
                  <w:rFonts w:ascii="Times New Roman" w:hAnsi="Times New Roman"/>
                  <w:color w:val="0000FF"/>
                  <w:sz w:val="20"/>
                  <w:u w:val="single"/>
                </w:rPr>
                <w:t>Condensed Statements of Cash Flows for the Three Months Ended March 31, 2024 and 2023</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Financial Statements</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2023, which was filed on March 1, 2024.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2023, regarding,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unaudited financial statements include a statement that there is a substantial doubt about our ability to continue as a going concern, and a continuation of negative financial trends could result in our inability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attain significant market acceptance among payers, providers, clinics, patients, and biopharmaceutical companies for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managing our growth, which could disrupt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retain sales and marketing personnel, and failure to increase our sales and marketing capabilities or develop broad awareness of our diagnostic tests to generate revenue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maintain our current relationships, or enter into new relationships, with biopharmaceutical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fluctuation in our operating results, causing our operating results to fall below expectations or any guidance we provide;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performance and reliability to maintain and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suppliers, including courier services, contract manufacturers and single source suppliers, making us vulnerable to supply problems and price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 pandemic, epidemic, or outbreak of an infectious disease in the United States (U.S.) or worldwide, including the COVID-19 pandemic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man-made disasters and other similar events negatively impacting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offer high-quality support for our diagnostic tests, which may adversely affect our relationships with providers and negatively impact our reputation among patients and providers;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continue to innovate and improve our diagnostic tests and services we offer;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security or data privacy breaches or other unauthorized or improper access;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disruptions in our information technology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incurrence of substantial liabilities and limiting or halting the marketing and sale of our diagnostic tests due to product liability lawsuits;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compete successfully with competition from many sources, including larger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issues, service interruptions or price increases by our shipping carriers;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cost-containment efforts of our customers, purchasing groups and integrated delivery networks having a material adverse effect on our sales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effects of litigation and other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and financial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 and future debt financing placing restrictions on our operating and financial flexibility;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raise additional capital to fund our existing operations, develop our platform, commercialize new diagnostic tests, or expand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acquisition of other businesses, which could require significant management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uncertainty of the insurance coverage and reimbursement status of newly approved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healthcare reform measures that could hinder or prevent the commercial success of our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anti-corruption, anti-bribery, anti-money laundering and similar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healthcare fraud and abuse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proceedings initiated by third parties alleging that we are infringing, misappropriating, or otherwise violating their intellectual property rights, the outcome of which would be uncertain;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inaccurate estimates or judgments relating to our critical accounting policies, which could cause our operating results to fall below the expectations of securities analysts and investors;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uncertainties and factors, including those set forth under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4" w:name="condensed_balance_sheets_unaudited"/>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98"/>
        <w:gridCol w:w="146"/>
        <w:gridCol w:w="281"/>
        <w:gridCol w:w="1119"/>
        <w:gridCol w:w="166"/>
        <w:gridCol w:w="146"/>
        <w:gridCol w:w="332"/>
        <w:gridCol w:w="1324"/>
        <w:gridCol w:w="593"/>
      </w:tblGrid>
      <w:tr>
        <w:trPr/>
        <w:tc>
          <w:tcPr>
            <w:tcW w:w="6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0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8" w:type="dxa"/>
            <w:gridSpan w:val="6"/>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60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2" w:type="dxa"/>
            <w:gridSpan w:val="8"/>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3" w:type="dxa"/>
            <w:tcBorders/>
            <w:shd w:fill="CFF0FC" w:val="clear"/>
            <w:vAlign w:val="center"/>
          </w:tcPr>
          <w:p>
            <w:pPr>
              <w:pStyle w:val="TableContents"/>
              <w:bidi w:val="0"/>
              <w:spacing w:before="0" w:after="283"/>
              <w:jc w:val="center"/>
              <w:rPr/>
            </w:pPr>
            <w:r>
              <w:rPr/>
              <w:t> </w:t>
            </w:r>
          </w:p>
        </w:tc>
      </w:tr>
      <w:tr>
        <w:trPr/>
        <w:tc>
          <w:tcPr>
            <w:tcW w:w="60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both"/>
              <w:rPr/>
            </w:pPr>
            <w:r>
              <w:rPr/>
              <w:t> </w:t>
            </w:r>
          </w:p>
        </w:tc>
        <w:tc>
          <w:tcPr>
            <w:tcW w:w="1656"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26,284</w:t>
            </w:r>
          </w:p>
        </w:tc>
        <w:tc>
          <w:tcPr>
            <w:tcW w:w="593" w:type="dxa"/>
            <w:tcBorders/>
            <w:shd w:fill="CCEEFF" w:val="clear"/>
            <w:vAlign w:val="center"/>
          </w:tcPr>
          <w:p>
            <w:pPr>
              <w:pStyle w:val="TableContents"/>
              <w:bidi w:val="0"/>
              <w:spacing w:before="0" w:after="283"/>
              <w:ind w:left="0" w:right="0" w:firstLine="200"/>
              <w:jc w:val="lef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$161 and $65</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39,683</w:t>
            </w:r>
          </w:p>
        </w:tc>
        <w:tc>
          <w:tcPr>
            <w:tcW w:w="593" w:type="dxa"/>
            <w:tcBorders/>
            <w:shd w:fill="FFFFFF" w:val="clear"/>
            <w:vAlign w:val="center"/>
          </w:tcPr>
          <w:p>
            <w:pPr>
              <w:pStyle w:val="TableContents"/>
              <w:bidi w:val="0"/>
              <w:spacing w:before="0" w:after="283"/>
              <w:jc w:val="left"/>
              <w:rPr/>
            </w:pPr>
            <w:r>
              <w:rPr/>
              <w:t> </w:t>
            </w:r>
          </w:p>
        </w:tc>
      </w:tr>
      <w:tr>
        <w:trPr/>
        <w:tc>
          <w:tcPr>
            <w:tcW w:w="60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vAlign w:val="center"/>
          </w:tcPr>
          <w:p>
            <w:pPr>
              <w:pStyle w:val="TableContents"/>
              <w:bidi w:val="0"/>
              <w:spacing w:before="0" w:after="283"/>
              <w:jc w:val="left"/>
              <w:rPr/>
            </w:pPr>
            <w:r>
              <w:rPr/>
              <w:t> </w:t>
            </w:r>
          </w:p>
        </w:tc>
        <w:tc>
          <w:tcPr>
            <w:tcW w:w="14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56"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593" w:type="dxa"/>
            <w:tcBorders/>
            <w:shd w:fill="CCEEFF" w:val="clear"/>
            <w:vAlign w:val="center"/>
          </w:tcPr>
          <w:p>
            <w:pPr>
              <w:pStyle w:val="TableContents"/>
              <w:bidi w:val="0"/>
              <w:spacing w:before="0" w:after="283"/>
              <w:ind w:left="0" w:right="0" w:firstLine="200"/>
              <w:jc w:val="lef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3" w:type="dxa"/>
            <w:tcBorders/>
            <w:shd w:fill="CCEEFF" w:val="clear"/>
            <w:vAlign w:val="center"/>
          </w:tcPr>
          <w:p>
            <w:pPr>
              <w:pStyle w:val="TableContents"/>
              <w:bidi w:val="0"/>
              <w:spacing w:before="0" w:after="283"/>
              <w:ind w:left="0" w:right="0" w:firstLine="200"/>
              <w:jc w:val="lef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59,413</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0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6" w:type="dxa"/>
            <w:gridSpan w:val="2"/>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left"/>
              <w:rPr/>
            </w:pPr>
            <w:r>
              <w:rPr/>
              <w:t> </w:t>
            </w:r>
          </w:p>
        </w:tc>
      </w:tr>
      <w:tr>
        <w:trPr/>
        <w:tc>
          <w:tcPr>
            <w:tcW w:w="9612" w:type="dxa"/>
            <w:gridSpan w:val="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 Equity</w:t>
            </w:r>
          </w:p>
        </w:tc>
        <w:tc>
          <w:tcPr>
            <w:tcW w:w="593" w:type="dxa"/>
            <w:tcBorders/>
            <w:shd w:fill="FFFFFF" w:val="clear"/>
            <w:vAlign w:val="center"/>
          </w:tcPr>
          <w:p>
            <w:pPr>
              <w:pStyle w:val="TableContents"/>
              <w:bidi w:val="0"/>
              <w:spacing w:before="0" w:after="283"/>
              <w:jc w:val="center"/>
              <w:rPr/>
            </w:pPr>
            <w:r>
              <w:rPr/>
              <w:t> </w:t>
            </w:r>
          </w:p>
        </w:tc>
      </w:tr>
      <w:tr>
        <w:trPr/>
        <w:tc>
          <w:tcPr>
            <w:tcW w:w="60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4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656"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593" w:type="dxa"/>
            <w:tcBorders/>
            <w:shd w:fill="CCEEFF" w:val="clear"/>
            <w:vAlign w:val="center"/>
          </w:tcPr>
          <w:p>
            <w:pPr>
              <w:pStyle w:val="TableContents"/>
              <w:bidi w:val="0"/>
              <w:spacing w:before="0" w:after="283"/>
              <w:ind w:left="0" w:right="0" w:firstLine="200"/>
              <w:jc w:val="lef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593" w:type="dxa"/>
            <w:tcBorders/>
            <w:shd w:fill="CCEEFF" w:val="clear"/>
            <w:vAlign w:val="center"/>
          </w:tcPr>
          <w:p>
            <w:pPr>
              <w:pStyle w:val="TableContents"/>
              <w:bidi w:val="0"/>
              <w:spacing w:before="0" w:after="283"/>
              <w:ind w:left="0" w:right="0" w:firstLine="200"/>
              <w:jc w:val="lef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contingent consideration</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93" w:type="dxa"/>
            <w:tcBorders/>
            <w:shd w:fill="CCEEFF" w:val="clear"/>
            <w:vAlign w:val="center"/>
          </w:tcPr>
          <w:p>
            <w:pPr>
              <w:pStyle w:val="TableContents"/>
              <w:bidi w:val="0"/>
              <w:spacing w:before="0" w:after="283"/>
              <w:ind w:left="0" w:right="0" w:firstLine="200"/>
              <w:jc w:val="lef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33,416</w:t>
            </w:r>
          </w:p>
        </w:tc>
        <w:tc>
          <w:tcPr>
            <w:tcW w:w="593" w:type="dxa"/>
            <w:tcBorders/>
            <w:shd w:fill="CCEEFF" w:val="clear"/>
            <w:vAlign w:val="center"/>
          </w:tcPr>
          <w:p>
            <w:pPr>
              <w:pStyle w:val="TableContents"/>
              <w:bidi w:val="0"/>
              <w:spacing w:before="0" w:after="283"/>
              <w:jc w:val="left"/>
              <w:rPr/>
            </w:pPr>
            <w:r>
              <w:rPr/>
              <w:t> </w:t>
            </w:r>
          </w:p>
        </w:tc>
      </w:tr>
      <w:tr>
        <w:trPr/>
        <w:tc>
          <w:tcPr>
            <w:tcW w:w="60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FFFFFF" w:val="clear"/>
            <w:vAlign w:val="center"/>
          </w:tcPr>
          <w:p>
            <w:pPr>
              <w:pStyle w:val="TableContents"/>
              <w:bidi w:val="0"/>
              <w:spacing w:before="0" w:after="283"/>
              <w:jc w:val="left"/>
              <w:rPr/>
            </w:pPr>
            <w:r>
              <w:rPr/>
              <w:t> </w:t>
            </w:r>
          </w:p>
        </w:tc>
        <w:tc>
          <w:tcPr>
            <w:tcW w:w="14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56"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w:t>
            </w:r>
          </w:p>
        </w:tc>
        <w:tc>
          <w:tcPr>
            <w:tcW w:w="593" w:type="dxa"/>
            <w:tcBorders/>
            <w:shd w:fill="CCEEFF" w:val="clear"/>
            <w:vAlign w:val="center"/>
          </w:tcPr>
          <w:p>
            <w:pPr>
              <w:pStyle w:val="TableContents"/>
              <w:bidi w:val="0"/>
              <w:spacing w:before="0" w:after="283"/>
              <w:ind w:left="0" w:right="0" w:firstLine="200"/>
              <w:jc w:val="lef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25,163</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94,516</w:t>
            </w:r>
          </w:p>
        </w:tc>
        <w:tc>
          <w:tcPr>
            <w:tcW w:w="593" w:type="dxa"/>
            <w:tcBorders/>
            <w:shd w:fill="CCEEFF" w:val="clear"/>
            <w:vAlign w:val="center"/>
          </w:tcPr>
          <w:p>
            <w:pPr>
              <w:pStyle w:val="TableContents"/>
              <w:bidi w:val="0"/>
              <w:spacing w:before="0" w:after="283"/>
              <w:jc w:val="left"/>
              <w:rPr/>
            </w:pPr>
            <w:r>
              <w:rPr/>
              <w:t> </w:t>
            </w:r>
          </w:p>
        </w:tc>
      </w:tr>
      <w:tr>
        <w:trPr/>
        <w:tc>
          <w:tcPr>
            <w:tcW w:w="60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4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56"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60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400"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56" w:type="dxa"/>
            <w:gridSpan w:val="2"/>
            <w:tcBorders/>
            <w:shd w:fill="CCEEFF" w:val="clear"/>
            <w:vAlign w:val="center"/>
          </w:tcPr>
          <w:p>
            <w:pPr>
              <w:pStyle w:val="TableContents"/>
              <w:bidi w:val="0"/>
              <w:spacing w:before="0" w:after="283"/>
              <w:jc w:val="right"/>
              <w:rPr/>
            </w:pPr>
            <w:r>
              <w:rPr/>
              <w:t> </w:t>
            </w:r>
          </w:p>
        </w:tc>
        <w:tc>
          <w:tcPr>
            <w:tcW w:w="593" w:type="dxa"/>
            <w:tcBorders/>
            <w:shd w:fill="CCEEFF" w:val="clear"/>
            <w:vAlign w:val="center"/>
          </w:tcPr>
          <w:p>
            <w:pPr>
              <w:pStyle w:val="TableContents"/>
              <w:bidi w:val="0"/>
              <w:spacing w:before="0" w:after="283"/>
              <w:ind w:left="0" w:right="0" w:firstLine="200"/>
              <w:jc w:val="righ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(2024 and 2023) issued and outstanding</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$0.001 par value, 200,000,000 authorized; </w:t>
              <w:br/>
              <w:t>    97,159,448 (2024) and 96,235,883 (2023) shares issued and outstanding</w:t>
            </w:r>
          </w:p>
        </w:tc>
        <w:tc>
          <w:tcPr>
            <w:tcW w:w="146" w:type="dxa"/>
            <w:tcBorders/>
            <w:shd w:fill="CFF0FC"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93" w:type="dxa"/>
            <w:tcBorders/>
            <w:shd w:fill="CCEEFF" w:val="clear"/>
            <w:vAlign w:val="center"/>
          </w:tcPr>
          <w:p>
            <w:pPr>
              <w:pStyle w:val="TableContents"/>
              <w:bidi w:val="0"/>
              <w:spacing w:before="0" w:after="283"/>
              <w:ind w:left="0" w:right="0" w:firstLine="200"/>
              <w:jc w:val="left"/>
              <w:rPr/>
            </w:pPr>
            <w:r>
              <w:rPr/>
              <w:t> </w:t>
            </w:r>
          </w:p>
        </w:tc>
      </w:tr>
      <w:tr>
        <w:trPr/>
        <w:tc>
          <w:tcPr>
            <w:tcW w:w="609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w:t>
              <w:noBreakHyphen/>
              <w:t>in capital</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424,050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0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(433,180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(419,566</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99,096</w:t>
            </w:r>
          </w:p>
        </w:tc>
        <w:tc>
          <w:tcPr>
            <w:tcW w:w="5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7996" w:type="dxa"/>
        <w:jc w:val="left"/>
        <w:tblInd w:w="0" w:type="dxa"/>
        <w:tblLayout w:type="fixed"/>
        <w:tblCellMar>
          <w:top w:w="28" w:type="dxa"/>
          <w:left w:w="28" w:type="dxa"/>
          <w:bottom w:w="28" w:type="dxa"/>
          <w:right w:w="28" w:type="dxa"/>
        </w:tblCellMar>
      </w:tblPr>
      <w:tblGrid>
        <w:gridCol w:w="4651"/>
        <w:gridCol w:w="146"/>
        <w:gridCol w:w="266"/>
        <w:gridCol w:w="931"/>
        <w:gridCol w:w="210"/>
        <w:gridCol w:w="184"/>
        <w:gridCol w:w="266"/>
        <w:gridCol w:w="931"/>
        <w:gridCol w:w="4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210"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4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97"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9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210"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21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20,556</w:t>
            </w:r>
          </w:p>
        </w:tc>
        <w:tc>
          <w:tcPr>
            <w:tcW w:w="210"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25,839</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w:t>
            </w:r>
          </w:p>
        </w:tc>
        <w:tc>
          <w:tcPr>
            <w:tcW w:w="2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(16,373</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vAlign w:val="center"/>
          </w:tcPr>
          <w:p>
            <w:pPr>
              <w:pStyle w:val="TableContents"/>
              <w:bidi w:val="0"/>
              <w:spacing w:before="0" w:after="283"/>
              <w:jc w:val="left"/>
              <w:rPr/>
            </w:pPr>
            <w:r>
              <w:rPr/>
              <w:t> </w:t>
            </w:r>
          </w:p>
        </w:tc>
        <w:tc>
          <w:tcPr>
            <w:tcW w:w="1197" w:type="dxa"/>
            <w:gridSpan w:val="2"/>
            <w:tcBorders/>
            <w:shd w:fill="CFF0FC" w:val="clear"/>
            <w:vAlign w:val="center"/>
          </w:tcPr>
          <w:p>
            <w:pPr>
              <w:pStyle w:val="TableContents"/>
              <w:bidi w:val="0"/>
              <w:spacing w:before="0" w:after="283"/>
              <w:jc w:val="left"/>
              <w:rPr>
                <w:sz w:val="4"/>
                <w:szCs w:val="4"/>
              </w:rPr>
            </w:pPr>
            <w:r>
              <w:rPr>
                <w:sz w:val="4"/>
                <w:szCs w:val="4"/>
              </w:rPr>
            </w:r>
          </w:p>
        </w:tc>
        <w:tc>
          <w:tcPr>
            <w:tcW w:w="210"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1197" w:type="dxa"/>
            <w:gridSpan w:val="2"/>
            <w:tcBorders/>
            <w:shd w:fill="CFF0FC" w:val="clear"/>
            <w:vAlign w:val="center"/>
          </w:tcPr>
          <w:p>
            <w:pPr>
              <w:pStyle w:val="TableContents"/>
              <w:bidi w:val="0"/>
              <w:spacing w:before="0" w:after="283"/>
              <w:jc w:val="left"/>
              <w:rPr>
                <w:sz w:val="4"/>
                <w:szCs w:val="4"/>
              </w:rPr>
            </w:pPr>
            <w:r>
              <w:rPr>
                <w:sz w:val="4"/>
                <w:szCs w:val="4"/>
              </w:rPr>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2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color w:val="000000"/>
              </w:rPr>
            </w:pPr>
            <w:r>
              <w:rPr>
                <w:color w:val="000000"/>
              </w:rPr>
              <w:t>—</w:t>
            </w:r>
          </w:p>
        </w:tc>
        <w:tc>
          <w:tcPr>
            <w:tcW w:w="210" w:type="dxa"/>
            <w:tcBorders/>
            <w:shd w:fill="CCEEFF"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CCEEFF" w:val="clear"/>
            <w:vAlign w:val="center"/>
          </w:tcPr>
          <w:p>
            <w:pPr>
              <w:pStyle w:val="TableContents"/>
              <w:bidi w:val="0"/>
              <w:spacing w:before="0" w:after="283"/>
              <w:ind w:left="0" w:right="0" w:firstLine="200"/>
              <w:jc w:val="left"/>
              <w:rPr/>
            </w:pPr>
            <w:r>
              <w:rPr/>
              <w:t> </w:t>
            </w:r>
          </w:p>
        </w:tc>
      </w:tr>
      <w:tr>
        <w:trPr/>
        <w:tc>
          <w:tcPr>
            <w:tcW w:w="4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w:t>
            </w:r>
          </w:p>
        </w:tc>
        <w:tc>
          <w:tcPr>
            <w:tcW w:w="210"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77,765</w:t>
            </w:r>
          </w:p>
        </w:tc>
        <w:tc>
          <w:tcPr>
            <w:tcW w:w="4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6" w:name="condensed_statements_changes_in_converti"/>
      <w:bookmarkEnd w:id="6"/>
      <w:r>
        <w:rPr>
          <w:rFonts w:ascii="Times New Roman" w:hAnsi="Times New Roman"/>
          <w:b/>
          <w:color w:val="000000"/>
          <w:sz w:val="20"/>
        </w:rPr>
        <w:t>Condensed Statements of Stockholders' (Deficit)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0"/>
        <w:gridCol w:w="146"/>
        <w:gridCol w:w="146"/>
        <w:gridCol w:w="676"/>
        <w:gridCol w:w="146"/>
        <w:gridCol w:w="146"/>
        <w:gridCol w:w="295"/>
        <w:gridCol w:w="486"/>
        <w:gridCol w:w="146"/>
        <w:gridCol w:w="146"/>
        <w:gridCol w:w="277"/>
        <w:gridCol w:w="1034"/>
        <w:gridCol w:w="146"/>
        <w:gridCol w:w="146"/>
        <w:gridCol w:w="243"/>
        <w:gridCol w:w="973"/>
        <w:gridCol w:w="166"/>
        <w:gridCol w:w="146"/>
        <w:gridCol w:w="324"/>
        <w:gridCol w:w="1134"/>
        <w:gridCol w:w="213"/>
      </w:tblGrid>
      <w:tr>
        <w:trPr/>
        <w:tc>
          <w:tcPr>
            <w:tcW w:w="3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30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0"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(419,566</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w:t>
            </w:r>
          </w:p>
        </w:tc>
        <w:tc>
          <w:tcPr>
            <w:tcW w:w="213" w:type="dxa"/>
            <w:tcBorders/>
            <w:shd w:fill="CCEEFF" w:val="clear"/>
            <w:vAlign w:val="center"/>
          </w:tcPr>
          <w:p>
            <w:pPr>
              <w:pStyle w:val="TableContents"/>
              <w:bidi w:val="0"/>
              <w:spacing w:before="0" w:after="283"/>
              <w:jc w:val="left"/>
              <w:rPr/>
            </w:pPr>
            <w:r>
              <w:rPr/>
              <w:t> </w:t>
            </w:r>
          </w:p>
        </w:tc>
      </w:tr>
      <w:tr>
        <w:trPr/>
        <w:tc>
          <w:tcPr>
            <w:tcW w:w="30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13" w:type="dxa"/>
            <w:tcBorders/>
            <w:shd w:fill="FFFFFF" w:val="clear"/>
            <w:vAlign w:val="center"/>
          </w:tcPr>
          <w:p>
            <w:pPr>
              <w:pStyle w:val="TableContents"/>
              <w:bidi w:val="0"/>
              <w:spacing w:before="0" w:after="283"/>
              <w:jc w:val="left"/>
              <w:rPr/>
            </w:pPr>
            <w:r>
              <w:rPr/>
              <w:t> </w:t>
            </w:r>
          </w:p>
        </w:tc>
      </w:tr>
      <w:tr>
        <w:trPr/>
        <w:tc>
          <w:tcPr>
            <w:tcW w:w="307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7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2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3" w:type="dxa"/>
            <w:tcBorders/>
            <w:shd w:fill="CCEEFF" w:val="clear"/>
            <w:vAlign w:val="center"/>
          </w:tcPr>
          <w:p>
            <w:pPr>
              <w:pStyle w:val="TableContents"/>
              <w:bidi w:val="0"/>
              <w:spacing w:before="0" w:after="283"/>
              <w:jc w:val="left"/>
              <w:rPr/>
            </w:pPr>
            <w:r>
              <w:rPr/>
              <w:t> </w:t>
            </w:r>
          </w:p>
        </w:tc>
      </w:tr>
      <w:tr>
        <w:trPr/>
        <w:tc>
          <w:tcPr>
            <w:tcW w:w="30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3" w:type="dxa"/>
            <w:tcBorders/>
            <w:shd w:fill="FFFFFF" w:val="clear"/>
            <w:vAlign w:val="center"/>
          </w:tcPr>
          <w:p>
            <w:pPr>
              <w:pStyle w:val="TableContents"/>
              <w:bidi w:val="0"/>
              <w:spacing w:before="0" w:after="283"/>
              <w:jc w:val="left"/>
              <w:rPr/>
            </w:pPr>
            <w:r>
              <w:rPr/>
              <w:t> </w:t>
            </w:r>
          </w:p>
        </w:tc>
      </w:tr>
      <w:tr>
        <w:trPr/>
        <w:tc>
          <w:tcPr>
            <w:tcW w:w="307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7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2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color w:val="000000"/>
              </w:rPr>
            </w:pPr>
            <w:r>
              <w:rPr>
                <w:color w:val="000000"/>
              </w:rPr>
              <w:t>—</w:t>
            </w:r>
          </w:p>
        </w:tc>
        <w:tc>
          <w:tcPr>
            <w:tcW w:w="213" w:type="dxa"/>
            <w:tcBorders/>
            <w:shd w:fill="CCEEFF" w:val="clear"/>
            <w:vAlign w:val="center"/>
          </w:tcPr>
          <w:p>
            <w:pPr>
              <w:pStyle w:val="TableContents"/>
              <w:bidi w:val="0"/>
              <w:spacing w:before="0" w:after="283"/>
              <w:jc w:val="left"/>
              <w:rPr/>
            </w:pPr>
            <w:r>
              <w:rPr/>
              <w:t> </w:t>
            </w:r>
          </w:p>
        </w:tc>
      </w:tr>
      <w:tr>
        <w:trPr/>
        <w:tc>
          <w:tcPr>
            <w:tcW w:w="30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13" w:type="dxa"/>
            <w:tcBorders/>
            <w:shd w:fill="FFFFFF" w:val="clear"/>
            <w:vAlign w:val="center"/>
          </w:tcPr>
          <w:p>
            <w:pPr>
              <w:pStyle w:val="TableContents"/>
              <w:bidi w:val="0"/>
              <w:spacing w:before="0" w:after="283"/>
              <w:jc w:val="left"/>
              <w:rPr/>
            </w:pPr>
            <w:r>
              <w:rPr/>
              <w:t> </w:t>
            </w:r>
          </w:p>
        </w:tc>
      </w:tr>
      <w:tr>
        <w:trPr/>
        <w:tc>
          <w:tcPr>
            <w:tcW w:w="307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3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5"/>
        <w:gridCol w:w="146"/>
        <w:gridCol w:w="146"/>
        <w:gridCol w:w="676"/>
        <w:gridCol w:w="146"/>
        <w:gridCol w:w="146"/>
        <w:gridCol w:w="295"/>
        <w:gridCol w:w="486"/>
        <w:gridCol w:w="146"/>
        <w:gridCol w:w="146"/>
        <w:gridCol w:w="276"/>
        <w:gridCol w:w="1032"/>
        <w:gridCol w:w="166"/>
        <w:gridCol w:w="146"/>
        <w:gridCol w:w="243"/>
        <w:gridCol w:w="973"/>
        <w:gridCol w:w="166"/>
        <w:gridCol w:w="146"/>
        <w:gridCol w:w="323"/>
        <w:gridCol w:w="1133"/>
        <w:gridCol w:w="213"/>
      </w:tblGrid>
      <w:tr>
        <w:trPr/>
        <w:tc>
          <w:tcPr>
            <w:tcW w:w="3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30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5"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387,948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(367,420</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20,606</w:t>
            </w:r>
          </w:p>
        </w:tc>
        <w:tc>
          <w:tcPr>
            <w:tcW w:w="213" w:type="dxa"/>
            <w:tcBorders/>
            <w:shd w:fill="CCEEFF" w:val="clear"/>
            <w:vAlign w:val="center"/>
          </w:tcPr>
          <w:p>
            <w:pPr>
              <w:pStyle w:val="TableContents"/>
              <w:bidi w:val="0"/>
              <w:spacing w:before="0" w:after="283"/>
              <w:jc w:val="left"/>
              <w:rPr/>
            </w:pPr>
            <w:r>
              <w:rPr/>
              <w:t> </w:t>
            </w:r>
          </w:p>
        </w:tc>
      </w:tr>
      <w:tr>
        <w:trPr/>
        <w:tc>
          <w:tcPr>
            <w:tcW w:w="30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13" w:type="dxa"/>
            <w:tcBorders/>
            <w:shd w:fill="CCEEFF" w:val="clear"/>
            <w:vAlign w:val="center"/>
          </w:tcPr>
          <w:p>
            <w:pPr>
              <w:pStyle w:val="TableContents"/>
              <w:bidi w:val="0"/>
              <w:spacing w:before="0" w:after="283"/>
              <w:jc w:val="left"/>
              <w:rPr/>
            </w:pPr>
            <w:r>
              <w:rPr/>
              <w:t> </w:t>
            </w:r>
          </w:p>
        </w:tc>
      </w:tr>
      <w:tr>
        <w:trPr/>
        <w:tc>
          <w:tcPr>
            <w:tcW w:w="30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3" w:type="dxa"/>
            <w:tcBorders/>
            <w:shd w:fill="FFFFFF" w:val="clear"/>
            <w:vAlign w:val="center"/>
          </w:tcPr>
          <w:p>
            <w:pPr>
              <w:pStyle w:val="TableContents"/>
              <w:bidi w:val="0"/>
              <w:spacing w:before="0" w:after="283"/>
              <w:jc w:val="left"/>
              <w:rPr/>
            </w:pPr>
            <w:r>
              <w:rPr/>
              <w:t> </w:t>
            </w:r>
          </w:p>
        </w:tc>
      </w:tr>
      <w:tr>
        <w:trPr/>
        <w:tc>
          <w:tcPr>
            <w:tcW w:w="305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color w:val="000000"/>
              </w:rPr>
            </w:pPr>
            <w:r>
              <w:rPr>
                <w:color w:val="000000"/>
              </w:rPr>
              <w:t>—</w:t>
            </w:r>
          </w:p>
        </w:tc>
        <w:tc>
          <w:tcPr>
            <w:tcW w:w="213" w:type="dxa"/>
            <w:tcBorders/>
            <w:shd w:fill="CCEEFF" w:val="clear"/>
            <w:vAlign w:val="center"/>
          </w:tcPr>
          <w:p>
            <w:pPr>
              <w:pStyle w:val="TableContents"/>
              <w:bidi w:val="0"/>
              <w:spacing w:before="0" w:after="283"/>
              <w:jc w:val="left"/>
              <w:rPr/>
            </w:pPr>
            <w:r>
              <w:rPr/>
              <w:t> </w:t>
            </w:r>
          </w:p>
        </w:tc>
      </w:tr>
      <w:tr>
        <w:trPr/>
        <w:tc>
          <w:tcPr>
            <w:tcW w:w="30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213" w:type="dxa"/>
            <w:tcBorders/>
            <w:shd w:fill="FFFFFF" w:val="clear"/>
            <w:vAlign w:val="center"/>
          </w:tcPr>
          <w:p>
            <w:pPr>
              <w:pStyle w:val="TableContents"/>
              <w:bidi w:val="0"/>
              <w:spacing w:before="0" w:after="283"/>
              <w:jc w:val="left"/>
              <w:rPr/>
            </w:pPr>
            <w:r>
              <w:rPr/>
              <w:t> </w:t>
            </w:r>
          </w:p>
        </w:tc>
      </w:tr>
      <w:tr>
        <w:trPr/>
        <w:tc>
          <w:tcPr>
            <w:tcW w:w="305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7" w:name="condensed_statements_cash_flows_unaudite"/>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736"/>
        <w:gridCol w:w="146"/>
        <w:gridCol w:w="258"/>
        <w:gridCol w:w="905"/>
        <w:gridCol w:w="204"/>
        <w:gridCol w:w="179"/>
        <w:gridCol w:w="258"/>
        <w:gridCol w:w="905"/>
        <w:gridCol w:w="614"/>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CEEFF" w:val="clear"/>
            <w:vAlign w:val="center"/>
          </w:tcPr>
          <w:p>
            <w:pPr>
              <w:pStyle w:val="TableContents"/>
              <w:bidi w:val="0"/>
              <w:spacing w:before="0" w:after="283"/>
              <w:jc w:val="left"/>
              <w:rPr/>
            </w:pPr>
            <w:r>
              <w:rPr/>
              <w:t> </w:t>
            </w:r>
          </w:p>
        </w:tc>
        <w:tc>
          <w:tcPr>
            <w:tcW w:w="1163" w:type="dxa"/>
            <w:gridSpan w:val="2"/>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163" w:type="dxa"/>
            <w:gridSpan w:val="2"/>
            <w:tcBorders/>
            <w:shd w:fill="CCEEFF" w:val="clear"/>
            <w:vAlign w:val="center"/>
          </w:tcPr>
          <w:p>
            <w:pPr>
              <w:pStyle w:val="TableContents"/>
              <w:bidi w:val="0"/>
              <w:spacing w:before="0" w:after="283"/>
              <w:jc w:val="right"/>
              <w:rPr/>
            </w:pPr>
            <w:r>
              <w:rPr/>
              <w:t> </w:t>
            </w:r>
          </w:p>
        </w:tc>
        <w:tc>
          <w:tcPr>
            <w:tcW w:w="614" w:type="dxa"/>
            <w:tcBorders/>
            <w:shd w:fill="CCEEFF" w:val="clear"/>
            <w:vAlign w:val="center"/>
          </w:tcPr>
          <w:p>
            <w:pPr>
              <w:pStyle w:val="TableContents"/>
              <w:bidi w:val="0"/>
              <w:spacing w:before="0" w:after="283"/>
              <w:ind w:left="0" w:right="0" w:firstLine="200"/>
              <w:jc w:val="righ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cash equivalents, and restricted</w:t>
              <w:br/>
              <w:t>   cash used in operating activities</w:t>
            </w:r>
          </w:p>
        </w:tc>
        <w:tc>
          <w:tcPr>
            <w:tcW w:w="146" w:type="dxa"/>
            <w:tcBorders/>
            <w:shd w:fill="CCEEFF" w:val="clear"/>
            <w:vAlign w:val="center"/>
          </w:tcPr>
          <w:p>
            <w:pPr>
              <w:pStyle w:val="TableContents"/>
              <w:bidi w:val="0"/>
              <w:spacing w:before="0" w:after="283"/>
              <w:jc w:val="left"/>
              <w:rPr/>
            </w:pPr>
            <w:r>
              <w:rPr/>
              <w:t> </w:t>
            </w:r>
          </w:p>
        </w:tc>
        <w:tc>
          <w:tcPr>
            <w:tcW w:w="1163" w:type="dxa"/>
            <w:gridSpan w:val="2"/>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163" w:type="dxa"/>
            <w:gridSpan w:val="2"/>
            <w:tcBorders/>
            <w:shd w:fill="CCEEFF" w:val="clear"/>
            <w:vAlign w:val="center"/>
          </w:tcPr>
          <w:p>
            <w:pPr>
              <w:pStyle w:val="TableContents"/>
              <w:bidi w:val="0"/>
              <w:spacing w:before="0" w:after="283"/>
              <w:jc w:val="right"/>
              <w:rPr/>
            </w:pPr>
            <w:r>
              <w:rPr/>
              <w:t> </w:t>
            </w:r>
          </w:p>
        </w:tc>
        <w:tc>
          <w:tcPr>
            <w:tcW w:w="614" w:type="dxa"/>
            <w:tcBorders/>
            <w:shd w:fill="CCEEFF" w:val="clear"/>
            <w:vAlign w:val="center"/>
          </w:tcPr>
          <w:p>
            <w:pPr>
              <w:pStyle w:val="TableContents"/>
              <w:bidi w:val="0"/>
              <w:spacing w:before="0" w:after="283"/>
              <w:ind w:left="0" w:right="0" w:firstLine="400"/>
              <w:jc w:val="right"/>
              <w:rPr/>
            </w:pPr>
            <w:r>
              <w:rPr/>
              <w:t> </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736" w:type="dxa"/>
            <w:tcBorders/>
            <w:shd w:fill="CCEE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(Accretion) amortization of lease right-of-use assets</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0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614" w:type="dxa"/>
            <w:tcBorders/>
            <w:shd w:fill="CCEEFF" w:val="clear"/>
            <w:vAlign w:val="center"/>
          </w:tcPr>
          <w:p>
            <w:pPr>
              <w:pStyle w:val="TableContents"/>
              <w:bidi w:val="0"/>
              <w:spacing w:before="0" w:after="283"/>
              <w:ind w:left="0" w:right="0" w:firstLine="400"/>
              <w:jc w:val="left"/>
              <w:rPr/>
            </w:pPr>
            <w:r>
              <w:rPr/>
              <w:t> </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w:t>
              <w:noBreakHyphen/>
              <w:t>based compensation expense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736" w:type="dxa"/>
            <w:tcBorders/>
            <w:shd w:fill="CCEE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olor w:val="000000"/>
              </w:rPr>
            </w:pPr>
            <w:r>
              <w:rPr>
                <w:color w:val="000000"/>
              </w:rPr>
              <w:t>—</w:t>
            </w:r>
          </w:p>
        </w:tc>
        <w:tc>
          <w:tcPr>
            <w:tcW w:w="20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14" w:type="dxa"/>
            <w:tcBorders/>
            <w:shd w:fill="CCEE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doubtful accounts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736" w:type="dxa"/>
            <w:tcBorders/>
            <w:shd w:fill="CCEE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interest, amortization of debt issuance costs and other</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20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614" w:type="dxa"/>
            <w:tcBorders/>
            <w:shd w:fill="CCEEFF" w:val="clear"/>
            <w:vAlign w:val="center"/>
          </w:tcPr>
          <w:p>
            <w:pPr>
              <w:pStyle w:val="TableContents"/>
              <w:bidi w:val="0"/>
              <w:spacing w:before="0" w:after="283"/>
              <w:ind w:left="0" w:right="0" w:firstLine="400"/>
              <w:jc w:val="left"/>
              <w:rPr/>
            </w:pPr>
            <w:r>
              <w:rPr/>
              <w:t> </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Inventory excess and obsolescence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736" w:type="dxa"/>
            <w:tcBorders/>
            <w:shd w:fill="CCEE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0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4" w:type="dxa"/>
            <w:tcBorders/>
            <w:shd w:fill="CCEEFF"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400"/>
              <w:jc w:val="right"/>
              <w:rPr/>
            </w:pPr>
            <w:r>
              <w:rPr/>
              <w:t> </w:t>
            </w:r>
          </w:p>
        </w:tc>
      </w:tr>
      <w:tr>
        <w:trPr/>
        <w:tc>
          <w:tcPr>
            <w:tcW w:w="6736" w:type="dxa"/>
            <w:tcBorders/>
            <w:shd w:fill="CCEE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20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4" w:type="dxa"/>
            <w:tcBorders/>
            <w:shd w:fill="CCEE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736" w:type="dxa"/>
            <w:tcBorders/>
            <w:shd w:fill="CCEE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0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4" w:type="dxa"/>
            <w:tcBorders/>
            <w:shd w:fill="CCEE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0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614" w:type="dxa"/>
            <w:tcBorders/>
            <w:shd w:fill="CCEEFF" w:val="clear"/>
            <w:vAlign w:val="center"/>
          </w:tcPr>
          <w:p>
            <w:pPr>
              <w:pStyle w:val="TableContents"/>
              <w:bidi w:val="0"/>
              <w:spacing w:before="0" w:after="283"/>
              <w:ind w:left="0" w:right="0" w:firstLine="400"/>
              <w:jc w:val="left"/>
              <w:rPr/>
            </w:pPr>
            <w:r>
              <w:rPr/>
              <w:t> </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736" w:type="dxa"/>
            <w:tcBorders/>
            <w:shd w:fill="CCEE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Tenant improvement allowances received</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olor w:val="000000"/>
              </w:rPr>
            </w:pPr>
            <w:r>
              <w:rPr>
                <w:color w:val="000000"/>
              </w:rPr>
              <w:t>—</w:t>
            </w:r>
          </w:p>
        </w:tc>
        <w:tc>
          <w:tcPr>
            <w:tcW w:w="20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614" w:type="dxa"/>
            <w:tcBorders/>
            <w:shd w:fill="CCEEFF" w:val="clear"/>
            <w:vAlign w:val="center"/>
          </w:tcPr>
          <w:p>
            <w:pPr>
              <w:pStyle w:val="TableContents"/>
              <w:bidi w:val="0"/>
              <w:spacing w:before="0" w:after="283"/>
              <w:ind w:left="0" w:right="0" w:firstLine="400"/>
              <w:jc w:val="left"/>
              <w:rPr/>
            </w:pPr>
            <w:r>
              <w:rPr/>
              <w:t> </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Current and 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and restricted cash used in operating activities</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w:t>
            </w:r>
          </w:p>
        </w:tc>
        <w:tc>
          <w:tcPr>
            <w:tcW w:w="20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614" w:type="dxa"/>
            <w:tcBorders/>
            <w:shd w:fill="CCEE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73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CEEFF" w:val="clear"/>
            <w:vAlign w:val="center"/>
          </w:tcPr>
          <w:p>
            <w:pPr>
              <w:pStyle w:val="TableContents"/>
              <w:bidi w:val="0"/>
              <w:spacing w:before="0" w:after="283"/>
              <w:jc w:val="left"/>
              <w:rPr/>
            </w:pPr>
            <w:r>
              <w:rPr/>
              <w:t> </w:t>
            </w:r>
          </w:p>
        </w:tc>
        <w:tc>
          <w:tcPr>
            <w:tcW w:w="1163" w:type="dxa"/>
            <w:gridSpan w:val="2"/>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163" w:type="dxa"/>
            <w:gridSpan w:val="2"/>
            <w:tcBorders/>
            <w:shd w:fill="CCEEFF" w:val="clear"/>
            <w:vAlign w:val="center"/>
          </w:tcPr>
          <w:p>
            <w:pPr>
              <w:pStyle w:val="TableContents"/>
              <w:bidi w:val="0"/>
              <w:spacing w:before="0" w:after="283"/>
              <w:jc w:val="right"/>
              <w:rPr/>
            </w:pPr>
            <w:r>
              <w:rPr/>
              <w:t> </w:t>
            </w:r>
          </w:p>
        </w:tc>
        <w:tc>
          <w:tcPr>
            <w:tcW w:w="614" w:type="dxa"/>
            <w:tcBorders/>
            <w:shd w:fill="CCEEFF" w:val="clear"/>
            <w:vAlign w:val="center"/>
          </w:tcPr>
          <w:p>
            <w:pPr>
              <w:pStyle w:val="TableContents"/>
              <w:bidi w:val="0"/>
              <w:spacing w:before="0" w:after="283"/>
              <w:ind w:left="0" w:right="0" w:firstLine="200"/>
              <w:jc w:val="righ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Patent costs and intangible asset acquisition, net</w:t>
            </w:r>
          </w:p>
        </w:tc>
        <w:tc>
          <w:tcPr>
            <w:tcW w:w="146" w:type="dxa"/>
            <w:tcBorders/>
            <w:shd w:fill="CCEEFF" w:val="cle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and restricted cash used in investing activities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1163" w:type="dxa"/>
            <w:gridSpan w:val="2"/>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163" w:type="dxa"/>
            <w:gridSpan w:val="2"/>
            <w:tcBorders/>
            <w:shd w:fill="CCEEFF" w:val="clear"/>
            <w:vAlign w:val="center"/>
          </w:tcPr>
          <w:p>
            <w:pPr>
              <w:pStyle w:val="TableContents"/>
              <w:bidi w:val="0"/>
              <w:spacing w:before="0" w:after="283"/>
              <w:jc w:val="right"/>
              <w:rPr/>
            </w:pPr>
            <w:r>
              <w:rPr/>
              <w:t> </w:t>
            </w:r>
          </w:p>
        </w:tc>
        <w:tc>
          <w:tcPr>
            <w:tcW w:w="614" w:type="dxa"/>
            <w:tcBorders/>
            <w:shd w:fill="CCEEFF" w:val="clear"/>
            <w:vAlign w:val="center"/>
          </w:tcPr>
          <w:p>
            <w:pPr>
              <w:pStyle w:val="TableContents"/>
              <w:bidi w:val="0"/>
              <w:spacing w:before="0" w:after="283"/>
              <w:jc w:val="righ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163"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73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issuance of common stock</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0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olor w:val="000000"/>
              </w:rPr>
            </w:pPr>
            <w:r>
              <w:rPr>
                <w:color w:val="000000"/>
              </w:rPr>
              <w:t>—</w:t>
            </w:r>
          </w:p>
        </w:tc>
        <w:tc>
          <w:tcPr>
            <w:tcW w:w="614" w:type="dxa"/>
            <w:tcBorders/>
            <w:shd w:fill="CCEEFF"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4"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CCEEFF"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contingent consideration</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term loan and notes payable</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0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4"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financing costs</w:t>
            </w:r>
          </w:p>
        </w:tc>
        <w:tc>
          <w:tcPr>
            <w:tcW w:w="14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0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olor w:val="000000"/>
              </w:rPr>
            </w:pPr>
            <w:r>
              <w:rPr>
                <w:color w:val="000000"/>
              </w:rPr>
              <w:t>—</w:t>
            </w:r>
          </w:p>
        </w:tc>
        <w:tc>
          <w:tcPr>
            <w:tcW w:w="614" w:type="dxa"/>
            <w:tcBorders/>
            <w:shd w:fill="CCEEFF"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and restricted cash provided by (used in) financing activities</w:t>
            </w:r>
          </w:p>
        </w:tc>
        <w:tc>
          <w:tcPr>
            <w:tcW w:w="146" w:type="dxa"/>
            <w:tcBorders/>
            <w:shd w:fill="CCEEFF" w:val="cle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6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w:t>
            </w:r>
          </w:p>
        </w:tc>
        <w:tc>
          <w:tcPr>
            <w:tcW w:w="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(17,813</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beginning of period</w:t>
            </w:r>
          </w:p>
        </w:tc>
        <w:tc>
          <w:tcPr>
            <w:tcW w:w="146" w:type="dxa"/>
            <w:tcBorders/>
            <w:shd w:fill="CCEEFF" w:val="cle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26,371</w:t>
            </w:r>
          </w:p>
        </w:tc>
        <w:tc>
          <w:tcPr>
            <w:tcW w:w="2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43,174</w:t>
            </w:r>
          </w:p>
        </w:tc>
        <w:tc>
          <w:tcPr>
            <w:tcW w:w="6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end of period</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11,578</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25,361</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from the previous page)</w:t>
      </w:r>
    </w:p>
    <w:p>
      <w:pPr>
        <w:pStyle w:val="TextBody"/>
        <w:bidi w:val="0"/>
        <w:spacing w:before="240" w:after="283"/>
        <w:jc w:val="left"/>
        <w:rPr>
          <w:rFonts w:ascii="Times New Roman" w:hAnsi="Times New Roman"/>
          <w:sz w:val="20"/>
        </w:rPr>
      </w:pPr>
      <w:r>
        <w:rPr>
          <w:rFonts w:ascii="Times New Roman" w:hAnsi="Times New Roman"/>
          <w:b/>
          <w:color w:val="000000"/>
          <w:sz w:val="20"/>
        </w:rPr>
        <w:t>Supplemental cash flow information</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7103"/>
        <w:gridCol w:w="146"/>
        <w:gridCol w:w="233"/>
        <w:gridCol w:w="914"/>
        <w:gridCol w:w="233"/>
        <w:gridCol w:w="233"/>
        <w:gridCol w:w="233"/>
        <w:gridCol w:w="914"/>
        <w:gridCol w:w="196"/>
      </w:tblGrid>
      <w:tr>
        <w:trPr/>
        <w:tc>
          <w:tcPr>
            <w:tcW w:w="7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1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included in accounts payable and other accrued liabilities</w:t>
            </w:r>
          </w:p>
        </w:tc>
        <w:tc>
          <w:tcPr>
            <w:tcW w:w="14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color w:val="000000"/>
              </w:rPr>
            </w:pPr>
            <w:r>
              <w:rPr>
                <w:color w:val="000000"/>
              </w:rPr>
              <w:t>—</w:t>
            </w:r>
          </w:p>
        </w:tc>
        <w:tc>
          <w:tcPr>
            <w:tcW w:w="196" w:type="dxa"/>
            <w:tcBorders/>
            <w:shd w:fill="CCEEFF" w:val="clear"/>
            <w:vAlign w:val="center"/>
          </w:tcPr>
          <w:p>
            <w:pPr>
              <w:pStyle w:val="TableContents"/>
              <w:bidi w:val="0"/>
              <w:spacing w:before="0" w:after="283"/>
              <w:jc w:val="left"/>
              <w:rPr/>
            </w:pPr>
            <w:r>
              <w:rPr/>
              <w:t> </w:t>
            </w:r>
          </w:p>
        </w:tc>
      </w:tr>
      <w:tr>
        <w:trPr/>
        <w:tc>
          <w:tcPr>
            <w:tcW w:w="7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financing costs included in accounts payable and other accrued liabilities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6" w:type="dxa"/>
            <w:tcBorders/>
            <w:shd w:fill="FFFFFF" w:val="clear"/>
            <w:vAlign w:val="center"/>
          </w:tcPr>
          <w:p>
            <w:pPr>
              <w:pStyle w:val="TableContents"/>
              <w:bidi w:val="0"/>
              <w:spacing w:before="0" w:after="283"/>
              <w:jc w:val="left"/>
              <w:rPr/>
            </w:pPr>
            <w:r>
              <w:rPr/>
              <w:t> </w:t>
            </w:r>
          </w:p>
        </w:tc>
      </w:tr>
      <w:tr>
        <w:trPr/>
        <w:tc>
          <w:tcPr>
            <w:tcW w:w="710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lease liabilities</w:t>
            </w:r>
          </w:p>
        </w:tc>
        <w:tc>
          <w:tcPr>
            <w:tcW w:w="14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6" w:type="dxa"/>
            <w:tcBorders/>
            <w:shd w:fill="CCEEFF" w:val="clear"/>
            <w:vAlign w:val="center"/>
          </w:tcPr>
          <w:p>
            <w:pPr>
              <w:pStyle w:val="TableContents"/>
              <w:bidi w:val="0"/>
              <w:spacing w:before="0" w:after="283"/>
              <w:jc w:val="left"/>
              <w:rPr/>
            </w:pPr>
            <w:r>
              <w:rPr/>
              <w:t> </w:t>
            </w:r>
          </w:p>
        </w:tc>
      </w:tr>
      <w:tr>
        <w:trPr/>
        <w:tc>
          <w:tcPr>
            <w:tcW w:w="7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obtained in exchange for lease liabilities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6" w:type="dxa"/>
            <w:tcBorders/>
            <w:shd w:fill="FFFFFF" w:val="clear"/>
            <w:vAlign w:val="center"/>
          </w:tcPr>
          <w:p>
            <w:pPr>
              <w:pStyle w:val="TableContents"/>
              <w:bidi w:val="0"/>
              <w:spacing w:before="0" w:after="283"/>
              <w:jc w:val="left"/>
              <w:rPr/>
            </w:pPr>
            <w:r>
              <w:rPr/>
              <w:t> </w:t>
            </w:r>
          </w:p>
        </w:tc>
      </w:tr>
      <w:tr>
        <w:trPr/>
        <w:tc>
          <w:tcPr>
            <w:tcW w:w="710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96" w:type="dxa"/>
            <w:tcBorders/>
            <w:shd w:fill="CCEEFF" w:val="clear"/>
            <w:vAlign w:val="center"/>
          </w:tcPr>
          <w:p>
            <w:pPr>
              <w:pStyle w:val="TableContents"/>
              <w:bidi w:val="0"/>
              <w:spacing w:before="0" w:after="283"/>
              <w:jc w:val="left"/>
              <w:rPr/>
            </w:pPr>
            <w:r>
              <w:rPr/>
              <w:t> </w:t>
            </w:r>
          </w:p>
        </w:tc>
      </w:tr>
      <w:tr>
        <w:trPr/>
        <w:tc>
          <w:tcPr>
            <w:tcW w:w="7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&amp; equipment included in 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 – Organization and 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(the “Company”, “Biodesix”, “we” “us” and “our”), formerly Elston Technologies, Inc., was incorporated in Delaware in 2005. The Company’s headquarters are in Colorado and the Company performs its blood-based diagnostic tests in its laboratory facilities which are located in Louisville, Colorado and De Soto Kansas. The Company conducts all of its operations within a single legal entity. Biodesix is a leading diagnostic solutions company with a focus in lung disease. The Company develops diagnostic tests addressing important clinical questions by combining multi-omics through the use of artificial intelligence enabled informatics. We derive our revenue from two sources: (i) providing diagnostic testing services associated with blood-based lung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 Biodesix offers five Medicare-covered tests for patients with lung diseases which includes our blood-based Nodify Lung® Nodule Risk Assessment testing, consisting of the Nodify XL2® and the Nodify CDT® tests. These tests evaluate the risk of malignancy in pulmonary nodules, enabling physicians to better triage patients to the most appropriate course of action. Additionally, our blood-based IQLung testing strategy for lung cancer patients integrates the GeneStrat® ddPCR test, the GeneStrat NGS® test and the VeriStrat® test to support treatment decisions across all stages of lung cancer.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Blood-Based Lung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offers five blood-based lung cancer tests across the lung cancer continuum of care:</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Nodify CDT </w:t>
      </w:r>
      <w:r>
        <w:rPr>
          <w:rFonts w:ascii="Times New Roman" w:hAnsi="Times New Roman"/>
          <w:color w:val="000000"/>
          <w:sz w:val="20"/>
        </w:rPr>
        <w:t xml:space="preserve">and </w:t>
      </w:r>
      <w:r>
        <w:rPr>
          <w:rFonts w:ascii="Times New Roman" w:hAnsi="Times New Roman"/>
          <w:i/>
          <w:color w:val="000000"/>
          <w:sz w:val="20"/>
        </w:rPr>
        <w:t>Nodify XL2</w:t>
      </w:r>
      <w:r>
        <w:rPr>
          <w:rFonts w:ascii="Times New Roman" w:hAnsi="Times New Roman"/>
          <w:color w:val="000000"/>
          <w:sz w:val="20"/>
        </w:rPr>
        <w:t xml:space="preserve"> tests, marketed as Nodify Lung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GeneStrat 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 xml:space="preserve"> 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established an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developing the Company's products, the Company has built or gained access to regulatory approvals, product development know-how, biorepositories, proprietary and patented technologies, specimen collection kit manufacturing capabilities, and bioinformatics methods that it believes are important to the development of new targeted therapies, determining clinical trial eligibility and guiding treatment selection. The Company’s testing services are made available through its clinical laboratories.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Form 10-K for the year ended December 31, 2023.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2023 was derived from the audited financial statements.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of March 31, 2024, we maintained cash and cash equivalents of $11.5 million and we have $40.0 million in outstanding aggregate principal amount on our Perceptive Term Loan Facility (see Note 6 – </w:t>
      </w:r>
      <w:r>
        <w:rPr>
          <w:rFonts w:ascii="Times New Roman" w:hAnsi="Times New Roman"/>
          <w:i/>
          <w:color w:val="000000"/>
          <w:sz w:val="20"/>
        </w:rPr>
        <w:t>Debt</w:t>
      </w:r>
      <w:r>
        <w:rPr>
          <w:rFonts w:ascii="Times New Roman" w:hAnsi="Times New Roman"/>
          <w:color w:val="000000"/>
          <w:sz w:val="20"/>
        </w:rPr>
        <w:t xml:space="preserv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(ii) providing biopharmaceutical companies with development and testing services and licensing our technologies. In accordance with Accounting Standards Update 2014-15 (ASC Topic 205-40), </w:t>
      </w:r>
      <w:r>
        <w:rPr>
          <w:rFonts w:ascii="Times New Roman" w:hAnsi="Times New Roman"/>
          <w:i/>
          <w:color w:val="000000"/>
          <w:sz w:val="20"/>
        </w:rPr>
        <w:t>Presentation of Financial Statements - Going Concern: Disclosure of Uncertainties about an Entity’s Ability to Continue as a Going Concern</w:t>
      </w:r>
      <w:r>
        <w:rPr>
          <w:rFonts w:ascii="Times New Roman" w:hAnsi="Times New Roman"/>
          <w:color w:val="000000"/>
          <w:sz w:val="20"/>
        </w:rPr>
        <w:t>,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our ability to execute our current operating plan, current financial condition, sources of liquidity and debt obligations for at least one year from the date of issuance of this Form 10-Q in considering whether it has the ability to meet its obligations.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ability to meet our obligations as they come due may be impacted by our ability to remain compliant with financial covenants in our Perceptive Term Loan Facility (see Note 6 – </w:t>
      </w:r>
      <w:r>
        <w:rPr>
          <w:rFonts w:ascii="Times New Roman" w:hAnsi="Times New Roman"/>
          <w:i/>
          <w:color w:val="000000"/>
          <w:sz w:val="20"/>
        </w:rPr>
        <w:t>Debt</w:t>
      </w:r>
      <w:r>
        <w:rPr>
          <w:rFonts w:ascii="Times New Roman" w:hAnsi="Times New Roman"/>
          <w:color w:val="000000"/>
          <w:sz w:val="20"/>
        </w:rPr>
        <w:t>) or to obtain waivers or amendments that impact the related covenants. As of March 31, 2024, the Company was in compliance with all restrictive and financial covenants associated with its borrowings.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ability to maintain our financial covenants under our Perceptive Term Loan Facility during the next twelve months is, in part, dependent upon executing our current operating plan. If we do not execute our current operating plan and maintain our financial covenants, this could result in an Event of Default (as defined in the Perceptive Term Loan Facility), causing an acceleration and repayment of the outstanding balances. The Perceptive Term Loan Facility requires the Company to meet certain minimum net revenue threshold amounts agreed to between the Company and Perceptive as of the last day of each fiscal quarter, which commenced with the fiscal quarter ending March 31, 2023. During 2023, the Company entered into various amendments to the Perceptive Term Loan Facility to reduce the relevant Minimum Net Revenue thresholds. On February 29, 2024, the Company entered into a third amendment to the Perceptive Term Loan Facility, whereby, subject to the terms and conditions of the third amendment, the Minimum Net Revenue Covenant was amended to reduce the relevant threshold through the fiscal quarter ended December 31, 2025 (see Note 6 – </w:t>
      </w:r>
      <w:r>
        <w:rPr>
          <w:rFonts w:ascii="Times New Roman" w:hAnsi="Times New Roman"/>
          <w:i/>
          <w:color w:val="000000"/>
          <w:sz w:val="20"/>
        </w:rPr>
        <w:t>Debt</w:t>
      </w:r>
      <w:r>
        <w:rPr>
          <w:rFonts w:ascii="Times New Roman" w:hAnsi="Times New Roman"/>
          <w:color w:val="000000"/>
          <w:sz w:val="20"/>
        </w:rPr>
        <w:t xml:space="preserve">). Subsequent to March 31, 2024, the Company closed an underwritten offering of common stock and a concurrent private placement (the April 2024 Offering). Collectively, the Company raised net proceeds of approximately $51.5 million (see Note 14 – </w:t>
      </w:r>
      <w:r>
        <w:rPr>
          <w:rFonts w:ascii="Times New Roman" w:hAnsi="Times New Roman"/>
          <w:i/>
          <w:color w:val="000000"/>
          <w:sz w:val="20"/>
        </w:rPr>
        <w:t>Subsequent Events</w:t>
      </w:r>
      <w:r>
        <w:rPr>
          <w:rFonts w:ascii="Times New Roman" w:hAnsi="Times New Roman"/>
          <w:color w:val="000000"/>
          <w:sz w:val="20"/>
        </w:rPr>
        <w:t>). We have taken steps to improve our liquidity through raising debt and equity capital and have also undertaken several proactive measures including, among other things, the reduction of planned capital expenditures and certain operating expenses as previously disclosed. If we do not execute our current operating plan, we may need to consider further measures to reduce our operating expenses. These measures would limit or reduce our operations and could include a hiring freeze, reductions in our workforce, reduction in cash compensation, deferring capital expenditures, and reducing other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execute our current operating plan we may need to continue to raise additional funds from external sources, such as through the issuance of debt or equity securities. We may also raise additional capital to restructure our existing debt or for general working capital purposes, or both. If we raise additional capital through debt financing, we may be subject to covenants limiting or restricting our ability to take specific actions, such as incurring additional debt, making capital expenditures or declaring dividends. If we do raise additional capital through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operating losses in the near term while we make investments to support our anticipated growth. Our ability to maintain our financial covenants is, in part, dependent upon executing our current operating plan and, along with the items noted above, raises substantial doubt about the Company’s ability to continue as a going concern within one year after the date the financial statements are issued. Our unaudited financial statements have been prepared assuming we will continue as a going concern and do not include any adjustments that might be necessary should we be unable to continue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Concentrations of Credit Risk and Other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credit risk concentration of accounts receivable as of March 31, 2024 and December 31, 2023,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consists of deposits related to the Company’s corporate credit card. As of March 31, 2024 and December 31, 2023, the Company had $0.1 million restricted cash, respectively, which was included in ‘Other current assets’ in the accompanying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primarily of material supplies, which are consumed in the performance of testing services and charged to ‘Direct costs and expenses’. Inventory is stated at cost and reported within ‘Other current assets’ in the condensed balance sheets and was $1.4 million for both periods ended March 31, 2024 and December 31, 2023, respectively. The Company recorded a reserve for excess inventory of $0.1 million for both periods ended March 31, 2024 and December 31, 2023, respectively. During the three months ended March 31, 2024 and 2023, the Company recorded an insignificant amount, respectively, to the condensed statement of operations for excess and obsolete inventory.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has a $5.0 million cash refundable deposit to secure the performance of the Company’s obligations associated with the operating lease agreement with Centennial Valley Properties I, LLC and subsequently assigned to CVP I Owner LLC (see Note 7 – </w:t>
      </w:r>
      <w:r>
        <w:rPr>
          <w:rFonts w:ascii="Times New Roman" w:hAnsi="Times New Roman"/>
          <w:i/>
          <w:color w:val="000000"/>
          <w:sz w:val="20"/>
        </w:rPr>
        <w:t>Leases</w:t>
      </w:r>
      <w:r>
        <w:rPr>
          <w:rFonts w:ascii="Times New Roman" w:hAnsi="Times New Roman"/>
          <w:color w:val="000000"/>
          <w:sz w:val="20"/>
        </w:rPr>
        <w:t>). As of March 31, 2024 and December 31, 2023, the $5.0 million refundable deposit is reported within 'Other long-term assets' in the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Inputs</w:t>
            </w:r>
          </w:p>
        </w:tc>
      </w:tr>
      <w:tr>
        <w:trPr/>
        <w:tc>
          <w:tcPr>
            <w:tcW w:w="6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8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identical assets and liabilities.</w:t>
            </w:r>
          </w:p>
        </w:tc>
      </w:tr>
      <w:tr>
        <w:trPr/>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vAlign w:val="center"/>
          </w:tcPr>
          <w:p>
            <w:pPr>
              <w:pStyle w:val="TableContents"/>
              <w:bidi w:val="0"/>
              <w:spacing w:before="0" w:after="283"/>
              <w:jc w:val="left"/>
              <w:rPr/>
            </w:pPr>
            <w:r>
              <w:rPr/>
              <w:t> </w:t>
            </w:r>
          </w:p>
        </w:tc>
        <w:tc>
          <w:tcPr>
            <w:tcW w:w="8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similar assets and liabilities;</w:t>
            </w:r>
          </w:p>
        </w:tc>
      </w:tr>
      <w:tr>
        <w:trPr/>
        <w:tc>
          <w:tcPr>
            <w:tcW w:w="6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for identical or similar assets or liabilities in markets that are not active; or</w:t>
            </w:r>
          </w:p>
        </w:tc>
      </w:tr>
      <w:tr>
        <w:trPr/>
        <w:tc>
          <w:tcPr>
            <w:tcW w:w="6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other than quoted prices that are observable for the asset or liability.</w:t>
            </w:r>
          </w:p>
        </w:tc>
      </w:tr>
      <w:tr>
        <w:trPr/>
        <w:tc>
          <w:tcPr>
            <w:tcW w:w="6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8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for the asset or liability.</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4 — </w:t>
      </w:r>
      <w:r>
        <w:rPr>
          <w:rFonts w:ascii="Times New Roman" w:hAnsi="Times New Roman"/>
          <w:i/>
          <w:color w:val="000000"/>
          <w:sz w:val="20"/>
        </w:rPr>
        <w:t xml:space="preserve">Fair Value </w:t>
      </w:r>
      <w:r>
        <w:rPr>
          <w:rFonts w:ascii="Times New Roman" w:hAnsi="Times New Roman"/>
          <w:color w:val="000000"/>
          <w:sz w:val="20"/>
        </w:rPr>
        <w:t>for further discussion related to estimated fair value measurements.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 Recent Issued Accounting Standards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Standards being evaluated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 xml:space="preserve">Segment Reporting: Improvements to Reportable Segment Disclosures </w:t>
      </w:r>
      <w:r>
        <w:rPr>
          <w:rFonts w:ascii="Times New Roman" w:hAnsi="Times New Roman"/>
          <w:color w:val="000000"/>
          <w:sz w:val="20"/>
        </w:rPr>
        <w:t>(ASC Topic 280). This ASU requires all public entities to provide additional disclosures about the entity's reportable segments and more detailed information about a reportable segment's expenses. This guidance became effective for the Company beginning January 1, 2024. The Company is currently evaluating this guidance and assessing the overall impact on its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improves the transparency of income tax disclosures by requiring consistent categories and greater disaggregation of information in the rate reconciliation and income taxes paid by jurisdiction. This guidance will become effective for the Company beginning January 1, 2025, with early adoption permitted. The Company is currently evaluating this guidance and assessing the overall impact on its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Note 4 -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Recurring Fair Value Measurements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Our borrowing instruments are recorded at their carrying values in the condensed balance sheets, which may differ from their respective fair values. The fair value of borrowings as of March 31, 2024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difference between the carrying value and fair value of outstanding borrowings as of March 31, 2024 is due to an increase in the fair value of debt as a result of improved credit markets. The carrying value of outstanding borrowings approximates the fair value as of December 31, 2023. 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2" w:type="dxa"/>
            <w:gridSpan w:val="2"/>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35,506</w:t>
            </w:r>
          </w:p>
        </w:tc>
        <w:tc>
          <w:tcPr>
            <w:tcW w:w="191" w:type="dxa"/>
            <w:tcBorders/>
            <w:shd w:fill="CCEE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financial liabilities that are measured and recorded at estimated fair value on a recurring basis consist of our contingent consideration associated with our previous acquisition of Indi and the warrant liabilities granted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which were accounted for as liabilities and remeasured through our condensed statements of operations.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table below presents the reported fair values of contingent consideration and warrant liabilities, which are classified as Level 3 in the fair value hierarchy, as of the dates indicated (in thousands):</w:t>
      </w:r>
    </w:p>
    <w:tbl>
      <w:tblPr>
        <w:tblW w:w="7470" w:type="dxa"/>
        <w:jc w:val="left"/>
        <w:tblInd w:w="0" w:type="dxa"/>
        <w:tblLayout w:type="fixed"/>
        <w:tblCellMar>
          <w:top w:w="28" w:type="dxa"/>
          <w:left w:w="28" w:type="dxa"/>
          <w:bottom w:w="28" w:type="dxa"/>
          <w:right w:w="28" w:type="dxa"/>
        </w:tblCellMar>
      </w:tblPr>
      <w:tblGrid>
        <w:gridCol w:w="3676"/>
        <w:gridCol w:w="146"/>
        <w:gridCol w:w="342"/>
        <w:gridCol w:w="1098"/>
        <w:gridCol w:w="146"/>
        <w:gridCol w:w="146"/>
        <w:gridCol w:w="409"/>
        <w:gridCol w:w="1316"/>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contingent consideration</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40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191" w:type="dxa"/>
            <w:tcBorders/>
            <w:shd w:fill="CCEEFF"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the changes in contingent consideration and warrant liabilities for the dates indicated (in thousands):</w:t>
      </w:r>
    </w:p>
    <w:tbl>
      <w:tblPr>
        <w:tblW w:w="7153" w:type="dxa"/>
        <w:jc w:val="left"/>
        <w:tblInd w:w="0" w:type="dxa"/>
        <w:tblLayout w:type="fixed"/>
        <w:tblCellMar>
          <w:top w:w="28" w:type="dxa"/>
          <w:left w:w="28" w:type="dxa"/>
          <w:bottom w:w="28" w:type="dxa"/>
          <w:right w:w="28" w:type="dxa"/>
        </w:tblCellMar>
      </w:tblPr>
      <w:tblGrid>
        <w:gridCol w:w="2341"/>
        <w:gridCol w:w="146"/>
        <w:gridCol w:w="541"/>
        <w:gridCol w:w="1739"/>
        <w:gridCol w:w="226"/>
        <w:gridCol w:w="199"/>
        <w:gridCol w:w="669"/>
        <w:gridCol w:w="1101"/>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b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 Consideration</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January 1, 2024</w:t>
            </w:r>
          </w:p>
        </w:tc>
        <w:tc>
          <w:tcPr>
            <w:tcW w:w="146"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22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vAlign w:val="center"/>
          </w:tcPr>
          <w:p>
            <w:pPr>
              <w:pStyle w:val="TableContents"/>
              <w:bidi w:val="0"/>
              <w:spacing w:before="0" w:after="283"/>
              <w:jc w:val="right"/>
              <w:rPr/>
            </w:pPr>
            <w:r>
              <w:rPr/>
              <w:t> </w:t>
            </w:r>
          </w:p>
        </w:tc>
        <w:tc>
          <w:tcPr>
            <w:tcW w:w="541"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color w:val="000000"/>
              </w:rPr>
            </w:pPr>
            <w:r>
              <w:rPr>
                <w:color w:val="000000"/>
              </w:rPr>
              <w:t>—</w:t>
            </w:r>
          </w:p>
        </w:tc>
        <w:tc>
          <w:tcPr>
            <w:tcW w:w="22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173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2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2024</w:t>
            </w:r>
          </w:p>
        </w:tc>
        <w:tc>
          <w:tcPr>
            <w:tcW w:w="146" w:type="dxa"/>
            <w:tcBorders/>
            <w:shd w:fill="CCEEFF" w:val="clear"/>
            <w:vAlign w:val="center"/>
          </w:tcPr>
          <w:p>
            <w:pPr>
              <w:pStyle w:val="TableContents"/>
              <w:bidi w:val="0"/>
              <w:spacing w:before="0" w:after="283"/>
              <w:jc w:val="left"/>
              <w:rPr/>
            </w:pPr>
            <w:r>
              <w:rPr/>
              <w:t> </w:t>
            </w:r>
          </w:p>
        </w:tc>
        <w:tc>
          <w:tcPr>
            <w:tcW w:w="5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19,195</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jc w:val="both"/>
        <w:rPr/>
      </w:pPr>
      <w:r>
        <w:rPr/>
        <w:t> </w:t>
      </w:r>
    </w:p>
    <w:tbl>
      <w:tblPr>
        <w:tblW w:w="8127" w:type="dxa"/>
        <w:jc w:val="left"/>
        <w:tblInd w:w="0" w:type="dxa"/>
        <w:tblLayout w:type="fixed"/>
        <w:tblCellMar>
          <w:top w:w="28" w:type="dxa"/>
          <w:left w:w="28" w:type="dxa"/>
          <w:bottom w:w="28" w:type="dxa"/>
          <w:right w:w="28" w:type="dxa"/>
        </w:tblCellMar>
      </w:tblPr>
      <w:tblGrid>
        <w:gridCol w:w="3301"/>
        <w:gridCol w:w="146"/>
        <w:gridCol w:w="541"/>
        <w:gridCol w:w="1739"/>
        <w:gridCol w:w="223"/>
        <w:gridCol w:w="196"/>
        <w:gridCol w:w="635"/>
        <w:gridCol w:w="1135"/>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br/>
              <w:t>March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 Consideration</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Beginning balances - January 1, 2023</w:t>
            </w:r>
          </w:p>
        </w:tc>
        <w:tc>
          <w:tcPr>
            <w:tcW w:w="146"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28,986</w:t>
            </w:r>
          </w:p>
        </w:tc>
        <w:tc>
          <w:tcPr>
            <w:tcW w:w="22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CCEEFF"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vAlign w:val="center"/>
          </w:tcPr>
          <w:p>
            <w:pPr>
              <w:pStyle w:val="TableContents"/>
              <w:bidi w:val="0"/>
              <w:spacing w:before="0" w:after="283"/>
              <w:jc w:val="right"/>
              <w:rPr/>
            </w:pPr>
            <w:r>
              <w:rPr/>
              <w:t> </w:t>
            </w:r>
          </w:p>
        </w:tc>
        <w:tc>
          <w:tcPr>
            <w:tcW w:w="541"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color w:val="000000"/>
              </w:rPr>
            </w:pPr>
            <w:r>
              <w:rPr>
                <w:color w:val="000000"/>
              </w:rPr>
              <w:t>—</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vAlign w:val="center"/>
          </w:tcPr>
          <w:p>
            <w:pPr>
              <w:pStyle w:val="TableContents"/>
              <w:bidi w:val="0"/>
              <w:spacing w:before="0" w:after="283"/>
              <w:jc w:val="right"/>
              <w:rPr/>
            </w:pPr>
            <w:r>
              <w:rPr/>
              <w:t> </w:t>
            </w:r>
          </w:p>
        </w:tc>
        <w:tc>
          <w:tcPr>
            <w:tcW w:w="541" w:type="dxa"/>
            <w:tcBorders/>
            <w:shd w:fill="CCEEFF" w:val="clear"/>
            <w:vAlign w:val="center"/>
          </w:tcPr>
          <w:p>
            <w:pPr>
              <w:pStyle w:val="TableContents"/>
              <w:bidi w:val="0"/>
              <w:spacing w:before="0" w:after="283"/>
              <w:jc w:val="left"/>
              <w:rPr/>
            </w:pPr>
            <w:r>
              <w:rPr/>
              <w:t> </w:t>
            </w:r>
          </w:p>
        </w:tc>
        <w:tc>
          <w:tcPr>
            <w:tcW w:w="173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22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color w:val="000000"/>
              </w:rPr>
            </w:pPr>
            <w:r>
              <w:rPr>
                <w:color w:val="000000"/>
              </w:rPr>
              <w:t>—</w:t>
            </w:r>
          </w:p>
        </w:tc>
        <w:tc>
          <w:tcPr>
            <w:tcW w:w="211" w:type="dxa"/>
            <w:tcBorders/>
            <w:shd w:fill="CCEEFF"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balances - March 31, 2023</w:t>
            </w:r>
          </w:p>
        </w:tc>
        <w:tc>
          <w:tcPr>
            <w:tcW w:w="146" w:type="dxa"/>
            <w:tcBorders/>
            <w:shd w:fill="CCEEFF" w:val="clear"/>
            <w:vAlign w:val="center"/>
          </w:tcPr>
          <w:p>
            <w:pPr>
              <w:pStyle w:val="TableContents"/>
              <w:bidi w:val="0"/>
              <w:spacing w:before="0" w:after="283"/>
              <w:jc w:val="left"/>
              <w:rPr/>
            </w:pPr>
            <w:r>
              <w:rPr/>
              <w:t> </w:t>
            </w:r>
          </w:p>
        </w:tc>
        <w:tc>
          <w:tcPr>
            <w:tcW w:w="5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28,080</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will make one installment of $5.0 million in April 2024, and will make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Facility. We obtained consent from Perceptive and subsequently paid the contractual Milestone Payment due April 1, 2024 (see Note 6 - </w:t>
      </w:r>
      <w:r>
        <w:rPr>
          <w:rFonts w:ascii="Times New Roman" w:hAnsi="Times New Roman"/>
          <w:i/>
          <w:color w:val="000000"/>
          <w:sz w:val="20"/>
        </w:rPr>
        <w:t>Debt</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Subsequent changes to the contingent consideration following the achievement of the gross margin target are recorded as ‘Interest expense’ in the condensed statements of operations resulting from the passage of time and fixed payment schedule. Significant increases or decreases in the discount rate could result in a significantly higher or lower fair value measurement.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2024 and 2023, the Company recorded $0.7 million and $1.1 million, respectively, in interest expense due to the passage of time and fixed payment schedule.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ASC 230, </w:t>
      </w:r>
      <w:r>
        <w:rPr>
          <w:rFonts w:ascii="Times New Roman" w:hAnsi="Times New Roman"/>
          <w:i/>
          <w:color w:val="000000"/>
          <w:sz w:val="20"/>
        </w:rPr>
        <w:t>Statement of Cash Flows</w:t>
      </w:r>
      <w:r>
        <w:rPr>
          <w:rFonts w:ascii="Times New Roman" w:hAnsi="Times New Roman"/>
          <w:color w:val="000000"/>
          <w:sz w:val="20"/>
        </w:rPr>
        <w:t>, cash paid to settle the contingent consideration liability recognized at fair value as of the acquisition date (including measurement-period adjustments) should be reflected as a cash outflow for financing activities while the remaining portion of the amount paid should be reflected as a cash outflow from operating activities in the statement of cash flows. All 2024 Milestone Payments are classified as cash outflows from operating activities in the Company's statements of cash flows.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xml:space="preserve">), the Company issued Perceptive a warrant to purchase up to 5,000,000 shares of the Company's common stock (the Perceptive Warrant), including Initial Warrants (as defined in Note 8 - </w:t>
      </w:r>
      <w:r>
        <w:rPr>
          <w:rFonts w:ascii="Times New Roman" w:hAnsi="Times New Roman"/>
          <w:i/>
          <w:color w:val="000000"/>
          <w:sz w:val="20"/>
        </w:rPr>
        <w:t xml:space="preserve">Equity </w:t>
      </w:r>
      <w:r>
        <w:rPr>
          <w:rFonts w:ascii="Times New Roman" w:hAnsi="Times New Roman"/>
          <w:color w:val="000000"/>
          <w:sz w:val="20"/>
        </w:rPr>
        <w:t xml:space="preserve">below) and Tranche B and C Warrants. The Initial Warrants are equity classified (see Note 8 - </w:t>
      </w:r>
      <w:r>
        <w:rPr>
          <w:rFonts w:ascii="Times New Roman" w:hAnsi="Times New Roman"/>
          <w:i/>
          <w:color w:val="000000"/>
          <w:sz w:val="20"/>
        </w:rPr>
        <w:t>Equity</w:t>
      </w:r>
      <w:r>
        <w:rPr>
          <w:rFonts w:ascii="Times New Roman" w:hAnsi="Times New Roman"/>
          <w:color w:val="000000"/>
          <w:sz w:val="20"/>
        </w:rPr>
        <w:t xml:space="preserve">) while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Tranche B and C Warrants were initially classified as liabilities and recognized at fair value. 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xml:space="preserve">). In connection with the Tranche B draw, the Company remeasured the Tranche B Warrants through the Tranche B Borrowing Date and recorded the change in fair value through the statement of operations and, subsequently,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 The fair value of the Tranche C Warrants is determined using a Black-Scholes model and subject to certain unobservable inputs. The significant unobservable inputs used in the measurement of the fair value include the fair value of the Company's common stock, risk-free rate, the volatility of common stock, and the probability of the expected borrowing. Significant increases or decreases in the unobservable inputs could result in a significantly higher or lower fair value measurement. During the three months ended March 31, 2024 and 2023, the Company recorded zero and a $0.1 million gain as a change in fair value through the condensed statement of operations due to changes in unobservable inputs. This is a result of changes in the probability of our ability to draw on the Tranche C loan.</w:t>
      </w:r>
    </w:p>
    <w:p>
      <w:pPr>
        <w:pStyle w:val="TextBody"/>
        <w:bidi w:val="0"/>
        <w:spacing w:before="240" w:after="283"/>
        <w:jc w:val="both"/>
        <w:rPr>
          <w:rFonts w:ascii="Times New Roman" w:hAnsi="Times New Roman"/>
          <w:sz w:val="20"/>
        </w:rPr>
      </w:pPr>
      <w:r>
        <w:rPr>
          <w:rFonts w:ascii="Times New Roman" w:hAnsi="Times New Roman"/>
          <w:b/>
          <w:color w:val="000000"/>
          <w:sz w:val="20"/>
        </w:rPr>
        <w:t>Note 5 – Supplementary Balance Sheet Information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6910" w:type="dxa"/>
        <w:jc w:val="left"/>
        <w:tblInd w:w="0" w:type="dxa"/>
        <w:tblLayout w:type="fixed"/>
        <w:tblCellMar>
          <w:top w:w="28" w:type="dxa"/>
          <w:left w:w="28" w:type="dxa"/>
          <w:bottom w:w="28" w:type="dxa"/>
          <w:right w:w="28" w:type="dxa"/>
        </w:tblCellMar>
      </w:tblPr>
      <w:tblGrid>
        <w:gridCol w:w="3076"/>
        <w:gridCol w:w="146"/>
        <w:gridCol w:w="342"/>
        <w:gridCol w:w="1098"/>
        <w:gridCol w:w="166"/>
        <w:gridCol w:w="146"/>
        <w:gridCol w:w="409"/>
        <w:gridCol w:w="131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211" w:type="dxa"/>
            <w:tcBorders/>
            <w:shd w:fill="CCEE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24,713</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211" w:type="dxa"/>
            <w:tcBorders/>
            <w:shd w:fill="CCEE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shd w:fill="CCEE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CEEFF" w:val="cle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33,479</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expense for the three months ended March 31, 2024 and 2023 was $0.9 million and $0.3 million, respectively.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277"/>
        <w:gridCol w:w="969"/>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5"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17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1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394" w:type="dxa"/>
            <w:tcBorders/>
            <w:shd w:fill="CFF0FC" w:val="clear"/>
            <w:vAlign w:val="center"/>
          </w:tcPr>
          <w:p>
            <w:pPr>
              <w:pStyle w:val="TableContents"/>
              <w:bidi w:val="0"/>
              <w:spacing w:before="0" w:after="283"/>
              <w:jc w:val="left"/>
              <w:rPr/>
            </w:pPr>
            <w:r>
              <w:rPr/>
              <w:t> </w:t>
            </w:r>
          </w:p>
        </w:tc>
      </w:tr>
      <w:tr>
        <w:trPr/>
        <w:tc>
          <w:tcPr>
            <w:tcW w:w="17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not subject to</w:t>
              <w:br/>
              <w:t>    amortization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17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expense related to definite-lived intangible assets was $0.5 million for both the three months ended March 31,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estimated amortization expense of intangible assets is (in thousands):</w:t>
      </w:r>
    </w:p>
    <w:tbl>
      <w:tblPr>
        <w:tblW w:w="3673" w:type="dxa"/>
        <w:jc w:val="left"/>
        <w:tblInd w:w="0" w:type="dxa"/>
        <w:tblLayout w:type="fixed"/>
        <w:tblCellMar>
          <w:top w:w="28" w:type="dxa"/>
          <w:left w:w="28" w:type="dxa"/>
          <w:bottom w:w="28" w:type="dxa"/>
          <w:right w:w="28" w:type="dxa"/>
        </w:tblCellMar>
      </w:tblPr>
      <w:tblGrid>
        <w:gridCol w:w="1696"/>
        <w:gridCol w:w="146"/>
        <w:gridCol w:w="388"/>
        <w:gridCol w:w="1052"/>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391" w:type="dxa"/>
            <w:tcBorders/>
            <w:shd w:fill="CCEE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391" w:type="dxa"/>
            <w:tcBorders/>
            <w:shd w:fill="FFFFFF" w:val="clear"/>
            <w:vAlign w:val="center"/>
          </w:tcPr>
          <w:p>
            <w:pPr>
              <w:pStyle w:val="TableContents"/>
              <w:bidi w:val="0"/>
              <w:spacing w:before="0" w:after="283"/>
              <w:jc w:val="left"/>
              <w:rPr/>
            </w:pPr>
            <w:r>
              <w:rPr/>
              <w:t> </w:t>
            </w:r>
          </w:p>
        </w:tc>
      </w:tr>
      <w:tr>
        <w:trPr/>
        <w:tc>
          <w:tcPr>
            <w:tcW w:w="16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391" w:type="dxa"/>
            <w:tcBorders/>
            <w:shd w:fill="CCEE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91" w:type="dxa"/>
            <w:tcBorders/>
            <w:shd w:fill="FFFFFF" w:val="clear"/>
            <w:vAlign w:val="center"/>
          </w:tcPr>
          <w:p>
            <w:pPr>
              <w:pStyle w:val="TableContents"/>
              <w:bidi w:val="0"/>
              <w:spacing w:before="0" w:after="283"/>
              <w:jc w:val="left"/>
              <w:rPr/>
            </w:pPr>
            <w:r>
              <w:rPr/>
              <w:t> </w:t>
            </w:r>
          </w:p>
        </w:tc>
      </w:tr>
      <w:tr>
        <w:trPr/>
        <w:tc>
          <w:tcPr>
            <w:tcW w:w="16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CEE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3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Accrued liabilities consist of the following (in thousands):</w:t>
      </w:r>
    </w:p>
    <w:tbl>
      <w:tblPr>
        <w:tblW w:w="6405" w:type="dxa"/>
        <w:jc w:val="left"/>
        <w:tblInd w:w="0" w:type="dxa"/>
        <w:tblLayout w:type="fixed"/>
        <w:tblCellMar>
          <w:top w:w="28" w:type="dxa"/>
          <w:left w:w="28" w:type="dxa"/>
          <w:bottom w:w="28" w:type="dxa"/>
          <w:right w:w="28" w:type="dxa"/>
        </w:tblCellMar>
      </w:tblPr>
      <w:tblGrid>
        <w:gridCol w:w="2611"/>
        <w:gridCol w:w="146"/>
        <w:gridCol w:w="388"/>
        <w:gridCol w:w="1052"/>
        <w:gridCol w:w="146"/>
        <w:gridCol w:w="146"/>
        <w:gridCol w:w="465"/>
        <w:gridCol w:w="1260"/>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related accruals</w:t>
            </w:r>
          </w:p>
        </w:tc>
        <w:tc>
          <w:tcPr>
            <w:tcW w:w="146"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w:t>
            </w:r>
          </w:p>
        </w:tc>
        <w:tc>
          <w:tcPr>
            <w:tcW w:w="191" w:type="dxa"/>
            <w:tcBorders/>
            <w:shd w:fill="CCEE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expense</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91" w:type="dxa"/>
            <w:tcBorders/>
            <w:shd w:fill="FFFFFF" w:val="clear"/>
            <w:vAlign w:val="center"/>
          </w:tcPr>
          <w:p>
            <w:pPr>
              <w:pStyle w:val="TableContents"/>
              <w:bidi w:val="0"/>
              <w:spacing w:before="0" w:after="283"/>
              <w:jc w:val="left"/>
              <w:rPr/>
            </w:pPr>
            <w:r>
              <w:rPr/>
              <w:t> </w:t>
            </w:r>
          </w:p>
        </w:tc>
      </w:tr>
      <w:tr>
        <w:trPr/>
        <w:tc>
          <w:tcPr>
            <w:tcW w:w="26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CEEFF" w:val="clear"/>
            <w:vAlign w:val="center"/>
          </w:tcPr>
          <w:p>
            <w:pPr>
              <w:pStyle w:val="TableContents"/>
              <w:bidi w:val="0"/>
              <w:spacing w:before="0" w:after="283"/>
              <w:jc w:val="left"/>
              <w:rPr/>
            </w:pPr>
            <w:r>
              <w:rPr/>
              <w:t> </w:t>
            </w:r>
          </w:p>
        </w:tc>
        <w:tc>
          <w:tcPr>
            <w:tcW w:w="3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6 – Debt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long-term debt primarily consists of notes payable associated with our Perceptive Term Loan Facility which is described in further detail below. Long-term notes payable were as follows (in thousands):</w:t>
      </w:r>
    </w:p>
    <w:tbl>
      <w:tblPr>
        <w:tblW w:w="8095" w:type="dxa"/>
        <w:jc w:val="left"/>
        <w:tblInd w:w="0" w:type="dxa"/>
        <w:tblLayout w:type="fixed"/>
        <w:tblCellMar>
          <w:top w:w="28" w:type="dxa"/>
          <w:left w:w="28" w:type="dxa"/>
          <w:bottom w:w="28" w:type="dxa"/>
          <w:right w:w="28" w:type="dxa"/>
        </w:tblCellMar>
      </w:tblPr>
      <w:tblGrid>
        <w:gridCol w:w="4261"/>
        <w:gridCol w:w="146"/>
        <w:gridCol w:w="342"/>
        <w:gridCol w:w="1098"/>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Term Loan Facility</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CCEEFF"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CEEFF" w:val="cle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CEEFF" w:val="cle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payable</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212529"/>
          <w:sz w:val="20"/>
        </w:rPr>
      </w:pPr>
      <w:r>
        <w:rPr>
          <w:rFonts w:ascii="Times New Roman" w:hAnsi="Times New Roman"/>
          <w:b/>
          <w:i/>
          <w:color w:val="212529"/>
          <w:sz w:val="20"/>
        </w:rPr>
        <w:t>Perceptive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in an aggregate principal amount of up to $50.0 million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includes an additional Tranche B Loan, in an aggregate amount of up to $10.0 million, and an additional Tranche C Loan, in an aggregate amount of up to $10.0 million, which are accessible by the Company so long as the Company satisfies certain customary conditions precedent, including revenue milestones. On December 15, 2023, the Company exercised its ability to draw the Tranche B loan for $10.0 million. The Tranche C loan has a loan commitment date through September 30, 2024. The Perceptive Term Loan Facility has a maturity date of November 21, 2027 (the Maturity Date) and provides for an interest-only period during the term of the loan with principal due at the Maturity Date.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Perceptive Term Loan Facility will accrue interest at an annual rate equal to the greater of (a) forward-looking one-month term SOFR as posted by CME Group Inc. and (b) 3.0% per annum, plus an applicable margin of 9.0%. As of March 31, 2024, the stated interest rate was approximately 14.3%.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Amortization and Prepayment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Security Instruments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Credit Agreement, the Company has issued, on the Funding Date, the Perceptive Warrant of up to 5,000,000 shares of the Company's common stock, including the Initial Warrants which are equity classified at a per share exercise price equal to $1.0648 which is equal to the 10-day volume weighted average price (VWAP) of the Company’s common stock, on the business day immediately prior to the Closing Date of the Tranche A Loan. In connection with the Tranche B borrowing, additional warrants became exercisable into 1,000,000 shares of common stock with a per share exercise price equal to $1.0648, which is equal to the Initial Warrant exercise price and expire on December 15, 2033 (the Tranche B 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to the Initial and Tranche B Warrants, additional warrants will become exercisable into 1,000,000 shares of common stock concurrently with the borrowing date of the Tranche C Loan (the Tranche C Warrants). The per share exercise price for the Tranche C Warrants will be equal to the lower of (A) the Initial Warrant exercise price or (B) the 10-day VWAP ending on the business day immediately preceding the funding date of the Tranche C loan. Each warrant will be exercisable, in whole or in part, until the 10th anniversary of the date of issuance. If the Tranche C loan is not drawn by the loan commitment date, the associated Tranche C Warrants expire and will not become exercisable. The Company accounts for the Tranche C Warrants as liabilities as the Tranche C Warrants do not meet the criteria for equity treatment (see Note 4 – </w:t>
      </w:r>
      <w:r>
        <w:rPr>
          <w:rFonts w:ascii="Times New Roman" w:hAnsi="Times New Roman"/>
          <w:i/>
          <w:color w:val="000000"/>
          <w:sz w:val="20"/>
        </w:rPr>
        <w:t>Fair Value</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Representations, Warranties, Covenants, and Events of Default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ending March 31, 2023, meet certain minimum net revenue threshold amounts agreed to between the Company and Perceptive.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 shares of the Company’s common stock (the First Amendment Warrants) which are equity classified at a per share exercise price equal to $1.6254 (see Note 8 -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terms of the Second Amendment, the conditions precedent for drawing on the Tranche B Loan were amended to (i) reduce the trailing-twelve month revenue milestone and (ii) add the receipt of aggregate cash proceeds of at least $27.5 million from an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offering of the Company's common stock. During the three months ended December 31, 2023, the amended conditions precedent were met and on December 15, 2023, the Company exercised its ability to draw the Tranche B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March 31, 2024,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the recognized as a discount on the Perceptive Term Loan Facility. The Company recorded the debt discount as a reduction to the principal amount of the debt and is amortized as interest expense over the life of the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Scheduled principal repayments (maturities) of long-term obligations were as follows (in thousands): </w:t>
      </w:r>
    </w:p>
    <w:tbl>
      <w:tblPr>
        <w:tblW w:w="3673" w:type="dxa"/>
        <w:jc w:val="left"/>
        <w:tblInd w:w="0" w:type="dxa"/>
        <w:tblLayout w:type="fixed"/>
        <w:tblCellMar>
          <w:top w:w="28" w:type="dxa"/>
          <w:left w:w="28" w:type="dxa"/>
          <w:bottom w:w="28" w:type="dxa"/>
          <w:right w:w="28" w:type="dxa"/>
        </w:tblCellMar>
      </w:tblPr>
      <w:tblGrid>
        <w:gridCol w:w="1696"/>
        <w:gridCol w:w="146"/>
        <w:gridCol w:w="342"/>
        <w:gridCol w:w="1098"/>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CEE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FFFFFF" w:val="clear"/>
            <w:vAlign w:val="center"/>
          </w:tcPr>
          <w:p>
            <w:pPr>
              <w:pStyle w:val="TableContents"/>
              <w:bidi w:val="0"/>
              <w:spacing w:before="0" w:after="283"/>
              <w:jc w:val="left"/>
              <w:rPr/>
            </w:pPr>
            <w:r>
              <w:rPr/>
              <w:t> </w:t>
            </w:r>
          </w:p>
        </w:tc>
      </w:tr>
      <w:tr>
        <w:trPr/>
        <w:tc>
          <w:tcPr>
            <w:tcW w:w="16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CEE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and thereafter</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69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40,065</w:t>
            </w:r>
          </w:p>
        </w:tc>
        <w:tc>
          <w:tcPr>
            <w:tcW w:w="3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acts as a lessee under all its lease agreements. In January 2024 the Company relocated its corporate headquarters and laboratory facilities to Louisville, Colorado. The Company also leases laboratory and office space in De Soto, Kansas, under a non-cancelable lease agreement for approximately 9,066 square feet that is set to expire in October 2026. The Company also holds various copier and equipment leases under non-cancelable lease agreements that expire in the next one to three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Centennial Valley Properties I, LLC Lease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Company has two renewal options to extend the term of the Lease for an additional seven- or ten-year terms for each renewal.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Lease, the Company will lease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 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 million toward the cost of construction and improvements for the Leased Premises and the Company exercised its option for an additional tenant improvement allowance of $2.0 million (the Extra Allowance Amount). The Company will repay the Extra Allowance Amount actually funded by the Landlord in equal monthly payments with an interest rate of 6% per year over the Initial Term excluding any part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$25.5 million by March 2025. The Company utilized the total $20.8 million in tenant improvement allowances for capital expenditures for leasehold improvements throughout the year ended December 31,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condensed balance sheet as of March 31,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lease expense for all operating leases was $0.6 million and $1.1 million for the three months ended March 31, 2024 and 2023, respectively. As of March 31, 2024, the weighted-average remaining lease term and discount rate associated with our operating leases were 10.8 years and 11.4%, respectively.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minimum lease payments associated with our operating leases were as follows (in thousands):</w:t>
      </w:r>
    </w:p>
    <w:tbl>
      <w:tblPr>
        <w:tblW w:w="5378" w:type="dxa"/>
        <w:jc w:val="left"/>
        <w:tblInd w:w="0" w:type="dxa"/>
        <w:tblLayout w:type="fixed"/>
        <w:tblCellMar>
          <w:top w:w="28" w:type="dxa"/>
          <w:left w:w="28" w:type="dxa"/>
          <w:bottom w:w="28" w:type="dxa"/>
          <w:right w:w="28" w:type="dxa"/>
        </w:tblCellMar>
      </w:tblPr>
      <w:tblGrid>
        <w:gridCol w:w="3381"/>
        <w:gridCol w:w="146"/>
        <w:gridCol w:w="321"/>
        <w:gridCol w:w="1119"/>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411" w:type="dxa"/>
            <w:tcBorders/>
            <w:shd w:fill="CCEEFF"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411" w:type="dxa"/>
            <w:tcBorders/>
            <w:shd w:fill="FFFFFF" w:val="clear"/>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411" w:type="dxa"/>
            <w:tcBorders/>
            <w:shd w:fill="CCEEFF"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411" w:type="dxa"/>
            <w:tcBorders/>
            <w:shd w:fill="FFFFFF" w:val="clear"/>
            <w:vAlign w:val="center"/>
          </w:tcPr>
          <w:p>
            <w:pPr>
              <w:pStyle w:val="TableContents"/>
              <w:bidi w:val="0"/>
              <w:spacing w:before="0" w:after="283"/>
              <w:jc w:val="left"/>
              <w:rPr/>
            </w:pPr>
            <w:r>
              <w:rPr/>
              <w:t> </w:t>
            </w:r>
          </w:p>
        </w:tc>
      </w:tr>
      <w:tr>
        <w:trPr/>
        <w:tc>
          <w:tcPr>
            <w:tcW w:w="33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411" w:type="dxa"/>
            <w:tcBorders/>
            <w:shd w:fill="CCEEFF"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46,361</w:t>
            </w:r>
          </w:p>
        </w:tc>
        <w:tc>
          <w:tcPr>
            <w:tcW w:w="411" w:type="dxa"/>
            <w:tcBorders/>
            <w:shd w:fill="CCEEFF"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25,619</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Financing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maintains two facilities that enable equity financing on an ongoing basis at the Company’s sole discretion, our at-the-market (ATM) offering and our common stock purchase agreement with Lincoln Park Capital Fund, LLC (Lincoln Park).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2021, the Company entered into a sales agreement with a financial institution, pursuant to which the Company may issue and sell, from time to time, shares of its common stock having an aggregate offering price of up to $50.0 million (the ATM Shares), subject to terms and conditions. The Shares will be offered and sold by the Company pursuant to its previously filed and currently effective registration statement on Form S-3, and sales of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7, 2022 (the LPC Effective Date), the Company entered into a purchase agreement with Lincoln Park Capital Fund, LLC (the Purchase Agreement), pursuant to which Lincoln Park has committed to purchase up to $50.0 million of the Company's common stock (the LPC Facility).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LPC Effective Date. 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LPC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 Additional Commitment Shares and together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the Initial Commitment Shares, collectively, the Commitment Shares). The Initial Commitment Shares issued were valued at $0.6 million and, together with due diligence expenses and legal fees of $0.1 million, reflect deferred offering costs of $0.7 million, which are included on the condensed balance sheet in 'Other long-term assets'. The deferred offering costs will be charged against 'Additional paid-in capital' upon future proceeds from the sale of common stock under the Purchase Agreement. During the three months ended March 31, 2024, there were no deferred offering costs charged against 'Additional paid-in capital' and the Company expensed approximately $0.1 million of deferred offering costs to 'Other (expense) income, net' in the condensed statement of operations as a result of changes in the probability of our ability to fully utilize the LPC Facility prior to the termination date. As of March 31, 2024, $0.6 million of deferred offering costs remain.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During the three months ended March 31, 2024, the Company raised approximately $0.6 million ($0.6 million after deducting underwriting discounts and commissions and offering expenses payable), in gross proceeds from the sale of 313,928 common shares at a weighted average price per share of $1.99 under the ATM facility. As of March 31, 2024, the Company had remaining available capacity for share issuances of approximately $28.2 million under the ATM facility and up to $46.9 million under the LPC facility, each subject to the restrictions and limitations of the underlying facilities, as well as volume limitations under applicable SEC rules and regulations that limit their availability as sources of funding. On April 5, 2024, the Company filed Supplement No. 1 to the ATM Prospectus Supplement dated December 22, 2021. To comply with volume limitations under applicable SEC rules and regulations, Supplement No. 1 reduced the aggregate offering price to up to $100,000 of shares in order to maximize the amount the Company could offer under the April 2024 Offering (see Note 14 - </w:t>
      </w:r>
      <w:r>
        <w:rPr>
          <w:rFonts w:ascii="Times New Roman" w:hAnsi="Times New Roman"/>
          <w:i/>
          <w:color w:val="000000"/>
          <w:sz w:val="20"/>
        </w:rPr>
        <w:t>Subsequent Events)</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March 31, 2024.</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the Company issued the Perceptive Warrant to purchase up to 5,000,000 shares of the Company's common stock, including the Initial Warrants. The per share exercise price for the Initial Warrants is equal to $1.0648, which is equal to the lower of (A) the 10-day VWAP of the Company’s common stock on the business day immediately prior to the Closing Date of the Tranche A Loan or (B) the public offering price per share of common stock of $1.15.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March 31, 2024.</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as consideration for the First Amendment (see Note 6 – </w:t>
      </w:r>
      <w:r>
        <w:rPr>
          <w:rFonts w:ascii="Times New Roman" w:hAnsi="Times New Roman"/>
          <w:i/>
          <w:color w:val="000000"/>
          <w:sz w:val="20"/>
        </w:rPr>
        <w:t>Debt</w:t>
      </w:r>
      <w:r>
        <w:rPr>
          <w:rFonts w:ascii="Times New Roman" w:hAnsi="Times New Roman"/>
          <w:color w:val="000000"/>
          <w:sz w:val="20"/>
        </w:rPr>
        <w:t>), the Company agreed to issue to Perceptive a warrant to purchase up to 500,000 shares of the Company’s common stock (the First Amendment Warrants) at a per share exercise price equal to $1.6254, which is equal to the 10-day VWAP of the Company’s common stock ending on the business day immediately prior to the First Amendment Effective Date.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March 31, 2024.</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December 15, 2023 (the Tranche B Borrowing Date), the Company exercised its ability to draw the Tranche B loan (see Note 8 – </w:t>
      </w:r>
      <w:r>
        <w:rPr>
          <w:rFonts w:ascii="Times New Roman" w:hAnsi="Times New Roman"/>
          <w:i/>
          <w:color w:val="000000"/>
          <w:sz w:val="20"/>
        </w:rPr>
        <w:t>Debt</w:t>
      </w:r>
      <w:r>
        <w:rPr>
          <w:rFonts w:ascii="Times New Roman" w:hAnsi="Times New Roman"/>
          <w:color w:val="000000"/>
          <w:sz w:val="20"/>
        </w:rPr>
        <w:t>). In connection with the Tranche B draw, the Company remeasured the Tranche B Warrants through the Tranche B Borrowing Date and recorded the change in fair value through the statement of operations and, subsequently, reclassified the fair value to additional paid-in capital.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March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Revenue and Accounts Receivable Credit Concentration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derive our revenue from two primary sources: (i) providing diagnostic testing in the clinical setting (Diagnostic Tests); and (ii) providing biopharmaceutical companies with services that include diagnostic research, clinical research, clinical trial testing,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and testing services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 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Revenues consisted of the following (in thousands):</w:t>
      </w:r>
    </w:p>
    <w:tbl>
      <w:tblPr>
        <w:tblW w:w="6521" w:type="dxa"/>
        <w:jc w:val="left"/>
        <w:tblInd w:w="0" w:type="dxa"/>
        <w:tblLayout w:type="fixed"/>
        <w:tblCellMar>
          <w:top w:w="28" w:type="dxa"/>
          <w:left w:w="28" w:type="dxa"/>
          <w:bottom w:w="28" w:type="dxa"/>
          <w:right w:w="28" w:type="dxa"/>
        </w:tblCellMar>
      </w:tblPr>
      <w:tblGrid>
        <w:gridCol w:w="3196"/>
        <w:gridCol w:w="146"/>
        <w:gridCol w:w="300"/>
        <w:gridCol w:w="962"/>
        <w:gridCol w:w="207"/>
        <w:gridCol w:w="207"/>
        <w:gridCol w:w="300"/>
        <w:gridCol w:w="812"/>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13,796</w:t>
            </w:r>
          </w:p>
        </w:tc>
        <w:tc>
          <w:tcPr>
            <w:tcW w:w="20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w:t>
            </w:r>
          </w:p>
        </w:tc>
        <w:tc>
          <w:tcPr>
            <w:tcW w:w="391" w:type="dxa"/>
            <w:tcBorders/>
            <w:shd w:fill="CCEEFF"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Biopharmaceutical Services and other</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2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consists of cash payments from customers received in advance of delivery. As test results are delivered, the Company recognizes the deferred revenue in ‘Revenues’ in the condensed statements of operations. Of the $0.3 million in ‘Deferred revenue’ recorded in the condensed balance sheet as of December 31, 2023, $0.2 million was recognized in revenues during the three months ended March 31, 2024 and $0.2 million was added to ‘Deferred revenue’ for up-front cash payments received for which the revenue recognition criteria have not been met. The ‘Deferred revenue’ of $0.3 million recorded in the condensed balance sheet as of March 31, 2024 is expected to be recognized in revenues over the next twelve months as test results are delivered and services are performed. As of March 31, 2024 and December 31, 2023, the Company had $0.3 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customers in excess of 10% of total revenue and their related revenue as a percentage of total revenue were as follows:</w:t>
      </w:r>
    </w:p>
    <w:tbl>
      <w:tblPr>
        <w:tblW w:w="4840" w:type="dxa"/>
        <w:jc w:val="left"/>
        <w:tblInd w:w="0" w:type="dxa"/>
        <w:tblLayout w:type="fixed"/>
        <w:tblCellMar>
          <w:top w:w="28" w:type="dxa"/>
          <w:left w:w="28" w:type="dxa"/>
          <w:bottom w:w="28" w:type="dxa"/>
          <w:right w:w="28" w:type="dxa"/>
        </w:tblCellMar>
      </w:tblPr>
      <w:tblGrid>
        <w:gridCol w:w="1591"/>
        <w:gridCol w:w="146"/>
        <w:gridCol w:w="303"/>
        <w:gridCol w:w="657"/>
        <w:gridCol w:w="564"/>
        <w:gridCol w:w="303"/>
        <w:gridCol w:w="303"/>
        <w:gridCol w:w="657"/>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Healthcare</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6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In addition to the above table, we collect reimbursement on behalf of customers covered by Medicare, which accounted for 40% and 46% of the Company’s total revenue for the three months ended March 31, 2024 and 2023, respectively.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4930" w:type="dxa"/>
        <w:jc w:val="left"/>
        <w:tblInd w:w="0" w:type="dxa"/>
        <w:tblLayout w:type="fixed"/>
        <w:tblCellMar>
          <w:top w:w="28" w:type="dxa"/>
          <w:left w:w="28" w:type="dxa"/>
          <w:bottom w:w="28" w:type="dxa"/>
          <w:right w:w="28" w:type="dxa"/>
        </w:tblCellMar>
      </w:tblPr>
      <w:tblGrid>
        <w:gridCol w:w="886"/>
        <w:gridCol w:w="146"/>
        <w:gridCol w:w="454"/>
        <w:gridCol w:w="986"/>
        <w:gridCol w:w="271"/>
        <w:gridCol w:w="146"/>
        <w:gridCol w:w="544"/>
        <w:gridCol w:w="1181"/>
        <w:gridCol w:w="316"/>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10 –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March 31, 2024, 1,568,206 shares of common stock remained available for future issuance under the 2020 Plan.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Share-based compensation expense reported in the Company’s condensed statements of operations was (in thousands):</w:t>
      </w:r>
    </w:p>
    <w:tbl>
      <w:tblPr>
        <w:tblW w:w="7031" w:type="dxa"/>
        <w:jc w:val="left"/>
        <w:tblInd w:w="0" w:type="dxa"/>
        <w:tblLayout w:type="fixed"/>
        <w:tblCellMar>
          <w:top w:w="28" w:type="dxa"/>
          <w:left w:w="28" w:type="dxa"/>
          <w:bottom w:w="28" w:type="dxa"/>
          <w:right w:w="28" w:type="dxa"/>
        </w:tblCellMar>
      </w:tblPr>
      <w:tblGrid>
        <w:gridCol w:w="3706"/>
        <w:gridCol w:w="146"/>
        <w:gridCol w:w="317"/>
        <w:gridCol w:w="858"/>
        <w:gridCol w:w="219"/>
        <w:gridCol w:w="219"/>
        <w:gridCol w:w="317"/>
        <w:gridCol w:w="858"/>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CEEFF" w:val="clear"/>
            <w:vAlign w:val="center"/>
          </w:tcPr>
          <w:p>
            <w:pPr>
              <w:pStyle w:val="TableContents"/>
              <w:bidi w:val="0"/>
              <w:spacing w:before="0" w:after="283"/>
              <w:jc w:val="left"/>
              <w:rPr/>
            </w:pPr>
            <w:r>
              <w:rPr/>
              <w:t> </w:t>
            </w:r>
          </w:p>
        </w:tc>
      </w:tr>
      <w:tr>
        <w:trPr/>
        <w:tc>
          <w:tcPr>
            <w:tcW w:w="3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1" w:type="dxa"/>
            <w:tcBorders/>
            <w:shd w:fill="FFFFFF" w:val="clear"/>
            <w:vAlign w:val="center"/>
          </w:tcPr>
          <w:p>
            <w:pPr>
              <w:pStyle w:val="TableContents"/>
              <w:bidi w:val="0"/>
              <w:spacing w:before="0" w:after="283"/>
              <w:jc w:val="left"/>
              <w:rPr/>
            </w:pPr>
            <w:r>
              <w:rPr/>
              <w:t> </w:t>
            </w:r>
          </w:p>
        </w:tc>
      </w:tr>
      <w:tr>
        <w:trPr/>
        <w:tc>
          <w:tcPr>
            <w:tcW w:w="370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unrecognized remaining share-based compensation expense for options and RSUs was approximately $7.3 million as of March 31, 2024 and is expected to be amortized to expense over the next 2.7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 option activity during the three months ended March 31, 2024, excluding the Bonus Option Program described below, was (in thousands, except weighted average exercise price and weighted average contractual life):</w:t>
      </w:r>
    </w:p>
    <w:tbl>
      <w:tblPr>
        <w:tblW w:w="9475" w:type="dxa"/>
        <w:jc w:val="left"/>
        <w:tblInd w:w="0" w:type="dxa"/>
        <w:tblLayout w:type="fixed"/>
        <w:tblCellMar>
          <w:top w:w="28" w:type="dxa"/>
          <w:left w:w="28" w:type="dxa"/>
          <w:bottom w:w="28" w:type="dxa"/>
          <w:right w:w="28" w:type="dxa"/>
        </w:tblCellMar>
      </w:tblPr>
      <w:tblGrid>
        <w:gridCol w:w="2686"/>
        <w:gridCol w:w="146"/>
        <w:gridCol w:w="204"/>
        <w:gridCol w:w="801"/>
        <w:gridCol w:w="166"/>
        <w:gridCol w:w="146"/>
        <w:gridCol w:w="523"/>
        <w:gridCol w:w="1157"/>
        <w:gridCol w:w="146"/>
        <w:gridCol w:w="146"/>
        <w:gridCol w:w="483"/>
        <w:gridCol w:w="1197"/>
        <w:gridCol w:w="146"/>
        <w:gridCol w:w="146"/>
        <w:gridCol w:w="330"/>
        <w:gridCol w:w="661"/>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 January 1, 2024</w:t>
            </w:r>
          </w:p>
        </w:tc>
        <w:tc>
          <w:tcPr>
            <w:tcW w:w="14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91" w:type="dxa"/>
            <w:tcBorders/>
            <w:shd w:fill="CCEEFF"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8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color w:val="000000"/>
              </w:rPr>
            </w:pPr>
            <w:r>
              <w:rPr>
                <w:color w:val="000000"/>
              </w:rPr>
              <w:t>—</w:t>
            </w:r>
          </w:p>
        </w:tc>
        <w:tc>
          <w:tcPr>
            <w:tcW w:w="391" w:type="dxa"/>
            <w:tcBorders/>
            <w:shd w:fill="CCEEFF"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March 31, 2024</w:t>
            </w:r>
          </w:p>
        </w:tc>
        <w:tc>
          <w:tcPr>
            <w:tcW w:w="146"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March 31, 2024</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 activity during the three months ended March 31, 2024 was (in thousands, except weighted average grant date fair value per share):</w:t>
      </w:r>
    </w:p>
    <w:tbl>
      <w:tblPr>
        <w:tblW w:w="8050" w:type="dxa"/>
        <w:jc w:val="left"/>
        <w:tblInd w:w="0" w:type="dxa"/>
        <w:tblLayout w:type="fixed"/>
        <w:tblCellMar>
          <w:top w:w="28" w:type="dxa"/>
          <w:left w:w="28" w:type="dxa"/>
          <w:bottom w:w="28" w:type="dxa"/>
          <w:right w:w="28" w:type="dxa"/>
        </w:tblCellMar>
      </w:tblPr>
      <w:tblGrid>
        <w:gridCol w:w="2686"/>
        <w:gridCol w:w="146"/>
        <w:gridCol w:w="329"/>
        <w:gridCol w:w="1291"/>
        <w:gridCol w:w="166"/>
        <w:gridCol w:w="146"/>
        <w:gridCol w:w="901"/>
        <w:gridCol w:w="1994"/>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2024</w:t>
            </w:r>
          </w:p>
        </w:tc>
        <w:tc>
          <w:tcPr>
            <w:tcW w:w="146"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1" w:type="dxa"/>
            <w:tcBorders/>
            <w:shd w:fill="CCEEFF"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8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12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1994" w:type="dxa"/>
            <w:tcBorders/>
            <w:shd w:fill="CCEEFF" w:val="clear"/>
            <w:vAlign w:val="center"/>
          </w:tcPr>
          <w:p>
            <w:pPr>
              <w:pStyle w:val="TableContents"/>
              <w:bidi w:val="0"/>
              <w:spacing w:before="0" w:after="283"/>
              <w:jc w:val="right"/>
              <w:rPr>
                <w:color w:val="000000"/>
              </w:rPr>
            </w:pPr>
            <w:r>
              <w:rPr>
                <w:color w:val="000000"/>
              </w:rPr>
              <w:t>—</w:t>
            </w:r>
          </w:p>
        </w:tc>
        <w:tc>
          <w:tcPr>
            <w:tcW w:w="391" w:type="dxa"/>
            <w:tcBorders/>
            <w:shd w:fill="CCEEFF"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March 31, 2024</w:t>
            </w:r>
          </w:p>
        </w:tc>
        <w:tc>
          <w:tcPr>
            <w:tcW w:w="146"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Bonus-to-Options Program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part of the Bonus-to-Options Program (Bonus Option Program), the Company recorded the following activity during the three months ended March 31, 2024 (in thousands, excepted weighted average exercise price and weighted average contractual life):</w:t>
      </w:r>
    </w:p>
    <w:tbl>
      <w:tblPr>
        <w:tblW w:w="9475" w:type="dxa"/>
        <w:jc w:val="left"/>
        <w:tblInd w:w="0" w:type="dxa"/>
        <w:tblLayout w:type="fixed"/>
        <w:tblCellMar>
          <w:top w:w="28" w:type="dxa"/>
          <w:left w:w="28" w:type="dxa"/>
          <w:bottom w:w="28" w:type="dxa"/>
          <w:right w:w="28" w:type="dxa"/>
        </w:tblCellMar>
      </w:tblPr>
      <w:tblGrid>
        <w:gridCol w:w="2686"/>
        <w:gridCol w:w="146"/>
        <w:gridCol w:w="204"/>
        <w:gridCol w:w="801"/>
        <w:gridCol w:w="166"/>
        <w:gridCol w:w="146"/>
        <w:gridCol w:w="453"/>
        <w:gridCol w:w="1227"/>
        <w:gridCol w:w="146"/>
        <w:gridCol w:w="146"/>
        <w:gridCol w:w="483"/>
        <w:gridCol w:w="1197"/>
        <w:gridCol w:w="146"/>
        <w:gridCol w:w="146"/>
        <w:gridCol w:w="375"/>
        <w:gridCol w:w="616"/>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2024</w:t>
            </w:r>
          </w:p>
        </w:tc>
        <w:tc>
          <w:tcPr>
            <w:tcW w:w="146" w:type="dxa"/>
            <w:tcBorders/>
            <w:shd w:fill="CFF0FC"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2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March 31, 2024</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March 31, 2024</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$0.2 million for both the three months ended March 31, 2024 and 2023, respectively, related to the estimate of the Bonus Option Program. Options granted, if any, pertaining to the performance of the Bonus Option Program are typically approved and granted in first quarter of the year following completion of the fiscal year.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ESPP provides for successive six-month offering periods beginning on September 1st and March 1st of each year. During the three months ended March 31, 2024, 216,506 shares were issued under the ESPP leaving 430,612 shares reserved for future issuance.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Basic and diluted loss per share for the three months ended March 31, 2024 and 2023 were (in thousands, except per share amounts):</w:t>
      </w:r>
    </w:p>
    <w:tbl>
      <w:tblPr>
        <w:tblW w:w="7786" w:type="dxa"/>
        <w:jc w:val="left"/>
        <w:tblInd w:w="0" w:type="dxa"/>
        <w:tblLayout w:type="fixed"/>
        <w:tblCellMar>
          <w:top w:w="28" w:type="dxa"/>
          <w:left w:w="28" w:type="dxa"/>
          <w:bottom w:w="28" w:type="dxa"/>
          <w:right w:w="28" w:type="dxa"/>
        </w:tblCellMar>
      </w:tblPr>
      <w:tblGrid>
        <w:gridCol w:w="4461"/>
        <w:gridCol w:w="146"/>
        <w:gridCol w:w="266"/>
        <w:gridCol w:w="931"/>
        <w:gridCol w:w="210"/>
        <w:gridCol w:w="184"/>
        <w:gridCol w:w="266"/>
        <w:gridCol w:w="93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EFF" w:val="clear"/>
            <w:vAlign w:val="center"/>
          </w:tcPr>
          <w:p>
            <w:pPr>
              <w:pStyle w:val="TableContents"/>
              <w:bidi w:val="0"/>
              <w:spacing w:before="0" w:after="283"/>
              <w:jc w:val="left"/>
              <w:rPr/>
            </w:pPr>
            <w:r>
              <w:rPr/>
              <w:t> </w:t>
            </w:r>
          </w:p>
        </w:tc>
        <w:tc>
          <w:tcPr>
            <w:tcW w:w="1197" w:type="dxa"/>
            <w:gridSpan w:val="2"/>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97" w:type="dxa"/>
            <w:gridSpan w:val="2"/>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ind w:left="0" w:right="0" w:firstLine="200"/>
              <w:jc w:val="left"/>
              <w:rPr/>
            </w:pPr>
            <w:r>
              <w:rPr/>
              <w:t> </w:t>
            </w:r>
          </w:p>
        </w:tc>
      </w:tr>
      <w:tr>
        <w:trPr/>
        <w:tc>
          <w:tcPr>
            <w:tcW w:w="4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1197" w:type="dxa"/>
            <w:gridSpan w:val="2"/>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97" w:type="dxa"/>
            <w:gridSpan w:val="2"/>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1197" w:type="dxa"/>
            <w:gridSpan w:val="2"/>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9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461"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outstanding used</w:t>
              <w:br/>
              <w:t>   in computing net loss per share, basic and diluted</w:t>
            </w:r>
          </w:p>
        </w:tc>
        <w:tc>
          <w:tcPr>
            <w:tcW w:w="146" w:type="dxa"/>
            <w:tcBorders/>
            <w:shd w:fill="CCEEFF" w:val="cle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77,765</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outstanding common stock equivalents were excluded from diluted net loss attributable to common stockholders for the periods presented because inclusion would be anti-dilutive (in thousands):</w:t>
      </w:r>
    </w:p>
    <w:tbl>
      <w:tblPr>
        <w:tblW w:w="6296" w:type="dxa"/>
        <w:jc w:val="left"/>
        <w:tblInd w:w="0" w:type="dxa"/>
        <w:tblLayout w:type="fixed"/>
        <w:tblCellMar>
          <w:top w:w="28" w:type="dxa"/>
          <w:left w:w="28" w:type="dxa"/>
          <w:bottom w:w="28" w:type="dxa"/>
          <w:right w:w="28" w:type="dxa"/>
        </w:tblCellMar>
      </w:tblPr>
      <w:tblGrid>
        <w:gridCol w:w="2971"/>
        <w:gridCol w:w="146"/>
        <w:gridCol w:w="210"/>
        <w:gridCol w:w="974"/>
        <w:gridCol w:w="210"/>
        <w:gridCol w:w="210"/>
        <w:gridCol w:w="210"/>
        <w:gridCol w:w="974"/>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w:t>
            </w:r>
          </w:p>
        </w:tc>
        <w:tc>
          <w:tcPr>
            <w:tcW w:w="21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391" w:type="dxa"/>
            <w:tcBorders/>
            <w:shd w:fill="CCEE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FFFFFF" w:val="clear"/>
            <w:vAlign w:val="center"/>
          </w:tcPr>
          <w:p>
            <w:pPr>
              <w:pStyle w:val="TableContents"/>
              <w:bidi w:val="0"/>
              <w:spacing w:before="0" w:after="283"/>
              <w:jc w:val="left"/>
              <w:rPr/>
            </w:pPr>
            <w:r>
              <w:rPr/>
              <w:t> </w:t>
            </w:r>
          </w:p>
        </w:tc>
      </w:tr>
      <w:tr>
        <w:trPr/>
        <w:tc>
          <w:tcPr>
            <w:tcW w:w="29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21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391" w:type="dxa"/>
            <w:tcBorders/>
            <w:shd w:fill="CCEE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right"/>
              <w:rPr/>
            </w:pPr>
            <w:r>
              <w:rPr/>
              <w:t> </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14,268</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inception, the Company has incurred net taxable losses, and accordingly, no provision for income taxes has been recorded. There was no cash paid for income taxes during the three months ended March 31, 2024 and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13 –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Co-Development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2020, the Company exercised its opt-out right with AVEO for the payment of 50% of development and regulatory costs for ficlatuzumab effective December 2, 2020 (the AVEO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 million in remaining obligations related to the AVEO agreement as of March 31, 2024. Following the AVEO Effective Date, the Company is entitled to a 10% royalty of net sales of ficlatuzumab and 25% of license income generated from the licensing of ficlatuzumab from AVEO. There were no royalties received or expenses related to this agreement for the three months ended March 31, 2024 and 2023.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The Bio-Rad License expires in August 2024, however, we are currently in discussions to extend this agreement.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was $0.1 million for the three months ended March 31, 2024, compared to an insignificant amount for the three months ended March 31,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2019, we completed an acquisition of Freenome's United States operations (formerly "Oncimmune USA" or "Oncimmune") including its 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with an escalating minimum through the first four years of sales. Royalty expenses were $0.2 million for both the three months ended March 31, 2024 and 2023,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 Claims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14 – Subsequent Events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April 2024 Offering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2024, the Company closed an underwritten offering of common stock and a concurrent private placement. Collectively, the Company raised net proceeds of approximately $51.5 million. Net proceeds will be used for commercial expansion of sales, supporting its product pipeline, research and development and for general corporate purposes.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Underwritten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2024, the Company closed an underwritten offering (the Offering) of 17,391,832 shares of its common stock, par value $0.001 per share (the Common Stock). The Common Stock was issued and sold pursuant to an underwriting agreement (the Underwriting Agreement), dated April 5, 2024, by and between the Company and TD Securities (USA) LLC, William Blair &amp; Company, L.L.C., and Canaccord Genuity LLC as representatives of the underwriters (the Underwriters), at a price to the public of $1.15 per share. The Company received net proceeds of approximately $18.3 million from the Offering after deducting underwriting discounts and commissions and estimated offering expenses payable by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Underwriting Agreement also includes lock up restrictions that will be in effect during the period ending 90 days subsequent to April 5, 2024. The representations, warranties, and agreements contained in the Underwriting Agreement were made only for purposes of such agreement and as of specific dates, were solely for the benefit of the parties to such agreement, and may be subject to limitations agreed upon by the contracting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Offering was made pursuant to the Company’s effective Registration Statement on Form S-3 (File No. 333-261095) previously filed with the SEC on November 29, 2021 and a prospectus supplement, dated April 5, 2024 relating to the Offering.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Concurrent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5, 2024, the Company entered into securities purchase agreements (the Securities Purchase Agreements) with various investors, including certain members of management, certain of its directors and funds affiliated with those directors (the Investors) for the issuance and sale by the Company of an aggregate of 760,857 shares of Series A Non-Voting Convertible Preferred Stock, par value $0.001 per share (the Series A Preferred Stock) in an offering (the Concurrent Private Placement). The Preferred Stock is being issued to the Investors pursuant to an exemption from the registration requirements of the Securities Act of 1933, as amended (the Securities Act) afforded by Section 4(a)(2) of the Securities Act. Pursuant to the terms of the Securities Purchase Agreements, the Company has agreed to submit to its stockholders the approval of the (i) conversion of the Preferred Stock into shares of Common Stock in accordance with Nasdaq Stock Market Rules (the Conversion Proposal) and (ii) the issuance of Series A Preferred Stock to certain members of management, certain of its directors and funds affiliated with those directors (the Issuance Proposal) at its 2024 annual meeting of stockholders. The Securities Purchase Agreements include customary representations, warranties and covenants by the parties to the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Securities Purchase Agreements, the Investors purchased the Preferred Stock at a purchase price of $46.00 per share for an aggregate purchase price of approximately $35.0 million. The Company expects to use the net proceeds from the Concurrent Private Placement for commercial expansion of sales, supporting its product pipeline, research and development and for general corporate purposes.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is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Private Placement Shares being received at the Company’s 2024 annual meeting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the closing of the Offering on April 9, 2024, the Company had 114,685,542 shares of Common Stock issued and outstanding. Subject to the receipt of stockholder approval for the Conversion Proposal and the Issuance Proposal at the 2024 annual meeting of stockholders, up to 760,857 shares of the Series A Preferred Stock will be issued. 30,434,280 shares of our common stock may be issued upon the conversion of the Series A Preferred Stock, subject to beneficial ownership limitations that may limit the ability of certain holders of Series A Preferred Stock to convert such shares to Common Stock at such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8, 2024, the Company filed a Certificate of Designations of Preferences, Rights and Limitations of the Series A Non-Voting Convertible Preferred Stock with the Secretary of State of the State of Delaware (the Certificate of Designations) in connection with the Concurrent Private Placement. The Certificate of Designations provides for the issuance of up to 760,857 shares of the Series A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shares of Series A Preferred Stock are entitled to receive dividends on shares of Series A Preferred Stock equal to, on an as-if-converted-to-Common Stock basis, and in the same form as dividends if such dividends were to be paid on shares of the Common Stock. Except as otherwise required by law, the Series A Preferred Stock does not have voting rights. However, as long as any shares of Series A Preferred Stock are outstanding, the Company will not, without the affirmative vote of the holders of a majority of the then outstanding shares of the Series A Preferred Stock, (a) alter or change adversely the powers, preferences or rights given to the Series A Preferred Stock, (b) alter or amend the Certificate of Designations, or (c) amend its certificate of incorporation or other charter documents in any manner that adversely affects any rights of the holders of Series A Preferred Stock. The Series A Preferred Stock does not have a preference upon any liquidation, dissolution or winding-up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stockholder approval of the Conversion Proposal, each share of Series A Preferred Stock will automatically convert into 40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22, 2024, the Company obtained consent from Perceptive and prepaid the July 1, 2024 Milestone Payment of $8.4 million to Indi. The Company has one Milestone Payment remaining of $6.1 million which is due October 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is referred to throughout this Quarterly Report on Form 10-Q for the period ended March 31, 2024 (Form 10-Q) as “we”, “us”, “our” or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our Annual Report on Form 10-K for the year ended December 31, 2023 (Form 10-K) and the Condensed Financial Statements as of March 31, 2024 and for the three months ended March 31, 2024 and 2023,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2023, which was filed on March 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MD&amp;A discussion is provided to supplement the Condensed Financial Statements as of March 31, 2024 and 2023 and for the three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for the three months ended March 31, 2024 and 2023 has been derived from our unaudited condensed financial statements included in Part I, Item 1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diagnostic solutions company with a primary focus in lung disease. By combining a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core belief is that no single technology will answer all clinical questions that we encounter. Therefore, we employ multiple technologies, including genomics, transcriptomics, proteomics, and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other collaborative partnerships, to continue to advance our platform. We have a variety of samples with associated data in our biobank, including tumor profiles and immune profiles, which are used for both internal and external research and development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commercialized five diagnostic tests for our lung diagnostic business, each of which have Medicare coverage, which are currently available for use by physicians. Our Nodify CDT and Nodify XL2 tests, marketed as Nodify Lung Nodule Risk Assessment testing, assess the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Lung Risk Assessment testing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have an established turnaround time of two business days. The GeneStrat NGS test is our blood-based NGS test and has an established turnaround time of three business days.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five diagnostic tests currently on the market, we perform over 30 assays for research use as part of our laboratory services that have been used by over 65 biopharmaceutical companies and academic partners. All of our diagnostic and services testing is performed at one of our two accredited, high-complexity clinical laboratories in Louisville, Colorado and De Soto, Kansas.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our operating performance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Testing volume and customer mix. </w:t>
      </w:r>
      <w:r>
        <w:rPr>
          <w:rFonts w:ascii="Times New Roman" w:hAnsi="Times New Roman"/>
          <w:color w:val="000000"/>
          <w:sz w:val="20"/>
        </w:rPr>
        <w:t>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Reimbursement for clinical diagnostic testing. </w:t>
      </w:r>
      <w:r>
        <w:rPr>
          <w:rFonts w:ascii="Times New Roman" w:hAnsi="Times New Roman"/>
          <w:color w:val="000000"/>
          <w:sz w:val="20"/>
        </w:rPr>
        <w:t>Our revenue depends on achieving broad coverage and reimbursement for our tests from 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6, 2023, the Company announced that the Centers for Medicare &amp; Medicaid Services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Investment in clinical studies and product innovation to support growth. </w:t>
      </w:r>
      <w:r>
        <w:rPr>
          <w:rFonts w:ascii="Times New Roman" w:hAnsi="Times New Roman"/>
          <w:color w:val="000000"/>
          <w:sz w:val="20"/>
        </w:rPr>
        <w:t xml:space="preserve">A significant aspect of our business is our investment in 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to continue our clinical understanding of the predictive and prognostic value of the VeriStrat test. On June 27, 2023, we completed enrollment of 5,000 patients with non-small cell lung cancer. The ALTITUDE randomized control study, launched during the fourth quarter 2020, seeks to further demonstrate the efficacy of the Nodify CDT and XL2 tests. A secondary focus of our studies is understanding the economic impact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tests in assisting with decisions related to patient management and the potential impact of our tests in reducing overall healthcare costs.</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 As of March 31, 2024, all ORACLE participants have completed the study.</w:t>
      </w:r>
    </w:p>
    <w:p>
      <w:pPr>
        <w:pStyle w:val="TextBody"/>
        <w:bidi w:val="0"/>
        <w:spacing w:before="120" w:after="283"/>
        <w:jc w:val="both"/>
        <w:rPr>
          <w:rFonts w:ascii="Times New Roman" w:hAnsi="Times New Roman"/>
          <w:sz w:val="20"/>
        </w:rPr>
      </w:pPr>
      <w:r>
        <w:rPr>
          <w:rFonts w:ascii="Times New Roman" w:hAnsi="Times New Roman"/>
          <w:color w:val="000000"/>
          <w:sz w:val="20"/>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w:t>
      </w:r>
      <w:r>
        <w:rPr>
          <w:rFonts w:ascii="Times New Roman" w:hAnsi="Times New Roman"/>
          <w:color w:val="36454F"/>
          <w:sz w:val="20"/>
        </w:rPr>
        <w:t xml:space="preserve"> </w:t>
      </w:r>
      <w:r>
        <w:rPr>
          <w:rFonts w:ascii="Times New Roman" w:hAnsi="Times New Roman"/>
          <w:color w:val="000000"/>
          <w:sz w:val="20"/>
        </w:rPr>
        <w:t>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Ability to attract new biopharmaceutical customers and maintain and expand relationships with existing customers</w:t>
      </w:r>
      <w:r>
        <w:rPr>
          <w:rFonts w:ascii="Times New Roman" w:hAnsi="Times New Roman"/>
          <w:color w:val="000000"/>
          <w:sz w:val="20"/>
        </w:rPr>
        <w:t>. Our business 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color w:val="000000"/>
          <w:u w:val="single"/>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Motivating and expanding our field sales force and customer support team</w:t>
      </w:r>
      <w:r>
        <w:rPr>
          <w:rFonts w:ascii="Times New Roman" w:hAnsi="Times New Roman"/>
          <w:color w:val="000000"/>
          <w:sz w:val="20"/>
        </w:rPr>
        <w:t>. 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2023 for more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First Quarter 2024 Financial and Operational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were significant developments affecting our business, capital structure and liquidity during the three months ended March 31, 2024 as compared to the same period in 2023 unless otherwise noted: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of $14.8 million, an increase of 64%, driven by strong year-over-year growth in both Lung Diagnostics and Biopharmaceutical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Lung Diagnostic revenue of $13.8 million reflected a year-over-year increase of 60% driven primarily by the continued adoption of Nodify Lung Nodule Risk Assessment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Biopharmaceutical Services and other revenue of $1.0 million increased 149% year-over-year, a result of both delivering against our increasing book of contracted business and securing new agreements with both new and existing partners;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First quarter 2024 gross profit of $11.6 million, or 79% gross margin compared to 65% gross margin in the comparable prior year period, primarily driven by growth in Lung Diagnostic Testing and optimization of testing workflows that resulted in improvements in costs per test, and increased process efficiencies in our Biopharmaceutical Services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(excluding direct costs and expenses) of $22.7 million, an increase of approximately $0.4 million, or 2% as compared to the first quarter 2023 (includes non-cash stock compensation expense, depreciation and amortization, and asset impairment of $4.1 million as compared to $3.1 million). This increase is primarily attributable to an increase in depreciation expense related to the leasehold improvements in our new Louisville headquarters and laboratory, increased sales and marketing costs to support lung diagnostic sales growth to enhance product awareness and drive adoption, partially offset by a decrease in 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loss of $13.6 million, an improvement of approximately $5.1 million, or 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 of $11.5 million as of March 31, 2024, a decrease of $14.8 million from December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Cash and cash equivalents as of March 31, 2024 excludes $55.0 million in gross proceeds raised from an underwritten offering of common stock and concurrent private placement completed on April 5,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Includes the scheduled milestone payment of $3.4 million paid in January 2024 for the acquisition of Integrated Diagnostics in 2018. Payments include required milestone installments plus interest through the date of the payment. Subsequent to the end of the quarter the Company made the scheduled milestone payment of $5.3 million on April 1 and prepaid the July 1,2024 milestone payment of $8.4 million which included interest through the date of payment. The Company has one payment of $6.1 million remaining, which does not accrue interest.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Biopharmaceutical Services and 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Biopharmaceutical 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diagnostic testing generally consists of cost of materials, direct labor, including bonuses, employee benefits, share-based compensation, equipment and infrastructure expenses associated with acquiring and processing test samples, including sample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sales and marketing expenses are expensed as incurred and include costs associated with our sales organization, including our direct sales force and sales management, client services, marketing, communications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nature of these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 and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March 31, 2024 and 2023, interest expense consists of cash and non-cash interest from the Perceptive Term Loan Facility and changes in the value of our contingent consideration associated with the passage of time subsequent to the achievement of the gross margin target in the second quarter 2021. Interest income, which is included in ‘Other income, net’ in the condensed statements of operations consists of income earned on our cash and cash equivalents.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significant components of our results of operations for the periods presented (in thousands, except percentages):</w:t>
      </w:r>
    </w:p>
    <w:tbl>
      <w:tblPr>
        <w:tblW w:w="9659" w:type="dxa"/>
        <w:jc w:val="left"/>
        <w:tblInd w:w="0" w:type="dxa"/>
        <w:tblLayout w:type="fixed"/>
        <w:tblCellMar>
          <w:top w:w="28" w:type="dxa"/>
          <w:left w:w="28" w:type="dxa"/>
          <w:bottom w:w="28" w:type="dxa"/>
          <w:right w:w="28" w:type="dxa"/>
        </w:tblCellMar>
      </w:tblPr>
      <w:tblGrid>
        <w:gridCol w:w="3906"/>
        <w:gridCol w:w="146"/>
        <w:gridCol w:w="266"/>
        <w:gridCol w:w="931"/>
        <w:gridCol w:w="210"/>
        <w:gridCol w:w="184"/>
        <w:gridCol w:w="266"/>
        <w:gridCol w:w="931"/>
        <w:gridCol w:w="166"/>
        <w:gridCol w:w="146"/>
        <w:gridCol w:w="211"/>
        <w:gridCol w:w="631"/>
        <w:gridCol w:w="166"/>
        <w:gridCol w:w="146"/>
        <w:gridCol w:w="146"/>
        <w:gridCol w:w="631"/>
        <w:gridCol w:w="576"/>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21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97"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200"/>
              <w:jc w:val="right"/>
              <w:rPr/>
            </w:pPr>
            <w:r>
              <w:rPr/>
              <w:t> </w:t>
            </w:r>
          </w:p>
        </w:tc>
      </w:tr>
      <w:tr>
        <w:trPr/>
        <w:tc>
          <w:tcPr>
            <w:tcW w:w="390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21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21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20,556</w:t>
            </w:r>
          </w:p>
        </w:tc>
        <w:tc>
          <w:tcPr>
            <w:tcW w:w="21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25,839</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CEEFF" w:val="clear"/>
            <w:vAlign w:val="center"/>
          </w:tcPr>
          <w:p>
            <w:pPr>
              <w:pStyle w:val="TableContents"/>
              <w:bidi w:val="0"/>
              <w:spacing w:before="0" w:after="283"/>
              <w:jc w:val="left"/>
              <w:rPr/>
            </w:pPr>
            <w:r>
              <w:rPr/>
              <w:t> </w:t>
            </w:r>
          </w:p>
        </w:tc>
        <w:tc>
          <w:tcPr>
            <w:tcW w:w="1197" w:type="dxa"/>
            <w:gridSpan w:val="2"/>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1197"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2"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777" w:type="dxa"/>
            <w:gridSpan w:val="2"/>
            <w:tcBorders/>
            <w:shd w:fill="CCEEFF" w:val="clear"/>
            <w:vAlign w:val="center"/>
          </w:tcPr>
          <w:p>
            <w:pPr>
              <w:pStyle w:val="TableContents"/>
              <w:bidi w:val="0"/>
              <w:spacing w:before="0" w:after="283"/>
              <w:jc w:val="right"/>
              <w:rPr/>
            </w:pPr>
            <w:r>
              <w:rPr/>
              <w:t> </w:t>
            </w:r>
          </w:p>
        </w:tc>
        <w:tc>
          <w:tcPr>
            <w:tcW w:w="576" w:type="dxa"/>
            <w:tcBorders/>
            <w:shd w:fill="CCEEFF" w:val="clear"/>
            <w:vAlign w:val="center"/>
          </w:tcPr>
          <w:p>
            <w:pPr>
              <w:pStyle w:val="TableContents"/>
              <w:bidi w:val="0"/>
              <w:spacing w:before="0" w:after="283"/>
              <w:ind w:left="0" w:right="0" w:firstLine="200"/>
              <w:jc w:val="right"/>
              <w:rPr/>
            </w:pPr>
            <w:r>
              <w:rPr/>
              <w:t> </w:t>
            </w:r>
          </w:p>
        </w:tc>
      </w:tr>
      <w:tr>
        <w:trPr/>
        <w:tc>
          <w:tcPr>
            <w:tcW w:w="39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2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color w:val="000000"/>
              </w:rPr>
            </w:pPr>
            <w:r>
              <w:rPr>
                <w:color w:val="000000"/>
              </w:rPr>
              <w:t>—</w:t>
            </w:r>
          </w:p>
        </w:tc>
        <w:tc>
          <w:tcPr>
            <w:tcW w:w="21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CEEFF" w:val="cle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97" w:type="dxa"/>
            <w:gridSpan w:val="2"/>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1197"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2"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777" w:type="dxa"/>
            <w:gridSpan w:val="2"/>
            <w:tcBorders/>
            <w:shd w:fill="CCEEFF" w:val="clear"/>
            <w:vAlign w:val="center"/>
          </w:tcPr>
          <w:p>
            <w:pPr>
              <w:pStyle w:val="TableContents"/>
              <w:bidi w:val="0"/>
              <w:spacing w:before="0" w:after="283"/>
              <w:jc w:val="righ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39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1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Amounts represent share-based compensation expense reported in the Company’s results of operations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generate revenue by providing laboratory testing of our diagnostic tests and services. Our revenues for the periods indicated were as follows (in thousands, except percentages):</w:t>
      </w:r>
    </w:p>
    <w:tbl>
      <w:tblPr>
        <w:tblW w:w="9269" w:type="dxa"/>
        <w:jc w:val="left"/>
        <w:tblInd w:w="0" w:type="dxa"/>
        <w:tblLayout w:type="fixed"/>
        <w:tblCellMar>
          <w:top w:w="28" w:type="dxa"/>
          <w:left w:w="28" w:type="dxa"/>
          <w:bottom w:w="28" w:type="dxa"/>
          <w:right w:w="28" w:type="dxa"/>
        </w:tblCellMar>
      </w:tblPr>
      <w:tblGrid>
        <w:gridCol w:w="3986"/>
        <w:gridCol w:w="146"/>
        <w:gridCol w:w="300"/>
        <w:gridCol w:w="962"/>
        <w:gridCol w:w="207"/>
        <w:gridCol w:w="207"/>
        <w:gridCol w:w="300"/>
        <w:gridCol w:w="812"/>
        <w:gridCol w:w="146"/>
        <w:gridCol w:w="146"/>
        <w:gridCol w:w="211"/>
        <w:gridCol w:w="571"/>
        <w:gridCol w:w="146"/>
        <w:gridCol w:w="146"/>
        <w:gridCol w:w="146"/>
        <w:gridCol w:w="421"/>
        <w:gridCol w:w="416"/>
      </w:tblGrid>
      <w:tr>
        <w:trPr/>
        <w:tc>
          <w:tcPr>
            <w:tcW w:w="3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ind w:left="0" w:right="0" w:firstLine="100"/>
              <w:jc w:val="right"/>
              <w:rPr/>
            </w:pPr>
            <w:r>
              <w:rPr/>
              <w:t> </w:t>
            </w:r>
          </w:p>
        </w:tc>
      </w:tr>
      <w:tr>
        <w:trPr/>
        <w:tc>
          <w:tcPr>
            <w:tcW w:w="39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Diagnostic Testing revenue</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13,796</w:t>
            </w:r>
          </w:p>
        </w:tc>
        <w:tc>
          <w:tcPr>
            <w:tcW w:w="20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Biopharmaceutical Services and other revenue</w:t>
            </w:r>
          </w:p>
        </w:tc>
        <w:tc>
          <w:tcPr>
            <w:tcW w:w="146" w:type="dxa"/>
            <w:tcBorders/>
            <w:shd w:fill="CCEEFF" w:val="cle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revenue increased $5.8 million or 64% for the three months ended March 31, 2024 compared to the same period in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 revenue increased $5.2 million or 60% for the three months ended March 31, 2024 compared to the same period in 2023, primarily due to an increase of $5.7 million in the Nodify Lung Nodule Risk Assessment testing strategy driven by an increase in tests delivered as our sales efforts continue to focus on Nodify CDT and XL2 tests. This increase was partially offset by a $0.6 million decrease in the IQLung testing strategy. The Company’s diagnostic testing sales efforts continued to gain momentum during the three months ended March 31, 2024 as the number of tests delivered reached the highest in Company history for five consecutive quarters.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Biopharmaceutical Services and other revenue increased $0.6 million or 149% for the three months ended March 31, 2024 compared to the same period in 2023. The increase in revenue for the three months ended March 31, 2024 was primarily a result of delivering against our expanding book of business and securing new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and expenses related to revenue increased an insignificant amount for the three months ended March 31, 2024 compared to the same period in 2023, despite the increase in Diagnostic and Biopharmaceutical Services testing volume. This is primarily driven by the optimization of testing workflows that resulted in improvements in costs per test.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decreased $1.2 million or 37% for the three months ended March 31, 2024 compared to the same period in 2023. The decrease in costs for the three months ended March 31, 2024 was due primarily to a decrease in internal expenses associated with compensation and benefit costs and other external costs associated with clinical trials and data acquisition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external and internal costs for the three months ended March 31, 2024 and 2023 (in thousands, except percentages):</w:t>
      </w:r>
    </w:p>
    <w:tbl>
      <w:tblPr>
        <w:tblW w:w="9174" w:type="dxa"/>
        <w:jc w:val="left"/>
        <w:tblInd w:w="0" w:type="dxa"/>
        <w:tblLayout w:type="fixed"/>
        <w:tblCellMar>
          <w:top w:w="28" w:type="dxa"/>
          <w:left w:w="28" w:type="dxa"/>
          <w:bottom w:w="28" w:type="dxa"/>
          <w:right w:w="28" w:type="dxa"/>
        </w:tblCellMar>
      </w:tblPr>
      <w:tblGrid>
        <w:gridCol w:w="3496"/>
        <w:gridCol w:w="146"/>
        <w:gridCol w:w="317"/>
        <w:gridCol w:w="858"/>
        <w:gridCol w:w="219"/>
        <w:gridCol w:w="219"/>
        <w:gridCol w:w="317"/>
        <w:gridCol w:w="858"/>
        <w:gridCol w:w="146"/>
        <w:gridCol w:w="146"/>
        <w:gridCol w:w="211"/>
        <w:gridCol w:w="631"/>
        <w:gridCol w:w="166"/>
        <w:gridCol w:w="146"/>
        <w:gridCol w:w="146"/>
        <w:gridCol w:w="376"/>
        <w:gridCol w:w="77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EFF" w:val="clear"/>
            <w:vAlign w:val="center"/>
          </w:tcPr>
          <w:p>
            <w:pPr>
              <w:pStyle w:val="TableContents"/>
              <w:bidi w:val="0"/>
              <w:spacing w:before="0" w:after="283"/>
              <w:jc w:val="left"/>
              <w:rPr/>
            </w:pPr>
            <w:r>
              <w:rPr/>
              <w:t> </w:t>
            </w:r>
          </w:p>
        </w:tc>
        <w:tc>
          <w:tcPr>
            <w:tcW w:w="1175" w:type="dxa"/>
            <w:gridSpan w:val="2"/>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jc w:val="left"/>
              <w:rPr/>
            </w:pPr>
            <w:r>
              <w:rPr/>
              <w:t> </w:t>
            </w:r>
          </w:p>
        </w:tc>
        <w:tc>
          <w:tcPr>
            <w:tcW w:w="1175"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2"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522" w:type="dxa"/>
            <w:gridSpan w:val="2"/>
            <w:tcBorders/>
            <w:shd w:fill="CCEEFF" w:val="clear"/>
            <w:vAlign w:val="center"/>
          </w:tcPr>
          <w:p>
            <w:pPr>
              <w:pStyle w:val="TableContents"/>
              <w:bidi w:val="0"/>
              <w:spacing w:before="0" w:after="283"/>
              <w:jc w:val="right"/>
              <w:rPr/>
            </w:pPr>
            <w:r>
              <w:rPr/>
              <w:t> </w:t>
            </w:r>
          </w:p>
        </w:tc>
        <w:tc>
          <w:tcPr>
            <w:tcW w:w="776" w:type="dxa"/>
            <w:tcBorders/>
            <w:shd w:fill="CCEEFF"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CEEFF" w:val="cle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7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1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CCEEFF" w:val="cle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marketing, general and administrative expenses increased $1.6 million or 8% for the three months ended March 31, 2024 compared to the same period in 2023. The increase for the three months ended March 31, 2024 was driven primarily by increases in employee compensation and benefits associated with an increase in headcount and variable compensation as well as increases in non-employee costs associated with increased spending on various sales meetings and sales fulfillment during 2024 as compared to 2023. Of the $1.6 million increase, $0.7 million is associated with the increase in depreciation expense related to the leasehold improvements in our new Louisville headquarters and laboratory.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increased $0.1 million or 6% for the three months ended March 31, 2024 compared to the same period in 2023. The interest expense for the three months ended March 31, 2024 is primarily related to the Perceptive Term Loan Facility of $1.8 million and interest associated with the contingent consideration of $0.7 million. The interest expense for the three months ended March 31, 2023 is primarily related to the Perceptive Term Loan Facility of $1.3 million and the contingent consideration of $1.1 million.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2024, the Company recorded no change in fair value of warrant liability in the condensed statement of operations. During the three months ended March 31, 2023, the Company recorded a $0.1 million gain as a change in fair value in the condensed statement of operations due to changes in unobservable inputs. This was a result of changes in the probability of our ability to draw on Tranche B and C loans.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(expense)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2024, the Company expensed approximately $0.1 million of deferred offering costs to 'Other (expense) income, net' in the condensed statement of operations as a result of changes in the probability of our ability to fully utilize the LPC Facility prior to the termination date.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21, 2022, the Company funded and a term loan facility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7, 2023, the Company entered into a limited waiver under which the Lender agreed to waive the minimum revenue requirement for the three months ended March 31, 2023 (Limited Waiver). In addition, on May 10, 2023, the Company entered into the First Amendment to the Credit Agreement (First Amendment) with Perceptive as lender and administrative agent and the Company, as borrower, whereby subject to the terms and conditions of the First Amendment, the Minimum Net Revenue Covenant, as defined in the Credit Agreement, was modified to reduce the threshold through the twelve month period ended March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3, 2023, the Company entered into subscription agreements (the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was received and 7,520,371 shares of common stock was issued during the three months ended December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4, 2023,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original terms of the Credit Agreement and Guaranty entered into on November 21, 2022, the Perceptive Term Loan Facility includes an additional Tranche B Loan, in an aggregate amount of up to $10.0 million, which is accessible by the Company so long as the Company satisfies certain customary conditions precedent, including revenue milestones. 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During the three months ended September 30, 2023, the Company met the amended trailing-twelve month revenue milestone associated with the Tranche B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2024, the Company had remaining available capacity for share issuances of approximately $28.2 million under the ATM facility and up to $46.9 million under the LPC Facility, each subject to the restrictions and limitations of the underlying facilities, as well as volume limitations under applicable SEC rules and regulations that limit their availability as sources of funding. On April 5, 2024, the Company filed Supplement No. 1 to the ATM Prospectus Supplement dated December 22, 2021. To comply with volume limitations under applicable SEC rules and regulations, Supplement No. 1 reduced the aggregate offering price to up to $100,000 of shares in order to maximize the amount the Company could offer under the April 2024 Offering.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of March 31, 2024, we maintained cash and cash equivalents of $11.5 million and we have $40.0 million in outstanding aggregate principal amount on our Perceptive Term Loan Facility.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(ii) providing biopharmaceutical companies with development and testing services and licensing our technologies. In accordance with Accounting Standards Update 2014-15 (ASC Topic 205-40), </w:t>
      </w:r>
      <w:r>
        <w:rPr>
          <w:rFonts w:ascii="Times New Roman" w:hAnsi="Times New Roman"/>
          <w:i/>
          <w:color w:val="000000"/>
          <w:sz w:val="20"/>
        </w:rPr>
        <w:t>Presentation of Financial Statements - Going Concern: Disclosure of Uncertainties about an Entity’s Ability to Continue as a Going Concern</w:t>
      </w:r>
      <w:r>
        <w:rPr>
          <w:rFonts w:ascii="Times New Roman" w:hAnsi="Times New Roman"/>
          <w:color w:val="000000"/>
          <w:sz w:val="20"/>
        </w:rPr>
        <w:t xml:space="preserve">,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our ability to execute our current operating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plan, current financial condition, sources of liquidity and debt obligations for at least one year from the date of issuance of this Form 10-Q in considering whether it has the ability to meet its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meet our obligations as they come due may be impacted by our ability to remain compliant with financial covenants in our Perceptive Term Loan Facility or to obtain waivers or amendments that impact the related covenants. As of March 31, 2024, the Company was in compliance with all restrictive and financial covenants associated with its borrowings.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ability to maintain our financial covenants under our Perceptive Term Loan Facility during the next twelve months is, in part, dependent upon executing our current operating plan. If we do not execute our current operating plan and maintain our financial covenants, this could result in an Event of Default (as defined in the Perceptive Term Loan Facility), causing an acceleration and repayment of the outstanding balances. The Perceptive Term Loan Facility requires the Company to meet certain minimum net revenue threshold amounts agreed to between the Company and Perceptive as of the last day of each fiscal quarter, which commenced with the fiscal quarter ending March 31, 2023. During 2023, the Company entered into various amendments to the Perceptive Term Loan Facility to reduce the relevant Minimum Net Revenue thresholds. On February 29, 2024, the Company entered into a third amendment to the Perceptive Term Loan Facility, whereby, subject to the terms and conditions of the third amendment, the Minimum Net Revenue Covenant was amended to reduce the relevant threshold through the fiscal quarter ended December 31, 2025. Subsequent to March 31, 2024, the Company closed an underwritten offering of common stock and a concurrent private placement (the April 2024 Offering). Collectively, the Company raised net proceeds of approximately $51.5 million (see Note 14 – </w:t>
      </w:r>
      <w:r>
        <w:rPr>
          <w:rFonts w:ascii="Times New Roman" w:hAnsi="Times New Roman"/>
          <w:i/>
          <w:color w:val="000000"/>
          <w:sz w:val="20"/>
        </w:rPr>
        <w:t>Subsequent Events</w:t>
      </w:r>
      <w:r>
        <w:rPr>
          <w:rFonts w:ascii="Times New Roman" w:hAnsi="Times New Roman"/>
          <w:color w:val="000000"/>
          <w:sz w:val="20"/>
        </w:rPr>
        <w:t>). We have taken steps to improve our liquidity through raising debt and equity capital and have also undertaken several proactive measures including, among other things, the reduction of planned capital expenditures and certain operating expenses. If we do not execute our current operating plan, we may need to consider further measures to reduce our operating expenses. These measures would limit or reduce our operations and could include a hiring freeze, reductions in our workforce, reduction in cash compensation, deferring capital expenditures, and reducing other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execute our current operating plan we may need to continue to raise additional funds from external sources, such as through the issuance of debt or equity securities. We may also raise additional capital to restructure our existing debt or for general working capital purposes, or both. If we raise additional capital through debt financing, we may be subject to covenants limiting or restricting our ability to take specific actions, such as incurring additional debt, making capital expenditures or declaring dividends. If we do raise additional capital through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operating losses in the near term while we make investments to support our anticipated growth. Our ability to maintain our financial covenants is, in part, dependent upon executing our current operating plan and, along with the items noted above, raises substantial doubt about the Company’s ability to continue as a going concern within one year after the date the financial statements are issued. Our unaudited financial statements have been prepared assuming we will continue as a going concern and do not include any adjustments that might be necessary should we be unable to continue as a going concern.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summarizes our cash flows for the periods indicated (in thousands):</w:t>
      </w:r>
    </w:p>
    <w:tbl>
      <w:tblPr>
        <w:tblW w:w="9211" w:type="dxa"/>
        <w:jc w:val="left"/>
        <w:tblInd w:w="0" w:type="dxa"/>
        <w:tblLayout w:type="fixed"/>
        <w:tblCellMar>
          <w:top w:w="28" w:type="dxa"/>
          <w:left w:w="28" w:type="dxa"/>
          <w:bottom w:w="28" w:type="dxa"/>
          <w:right w:w="28" w:type="dxa"/>
        </w:tblCellMar>
      </w:tblPr>
      <w:tblGrid>
        <w:gridCol w:w="5866"/>
        <w:gridCol w:w="146"/>
        <w:gridCol w:w="266"/>
        <w:gridCol w:w="931"/>
        <w:gridCol w:w="210"/>
        <w:gridCol w:w="184"/>
        <w:gridCol w:w="266"/>
        <w:gridCol w:w="931"/>
        <w:gridCol w:w="4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w:t>
            </w:r>
          </w:p>
        </w:tc>
        <w:tc>
          <w:tcPr>
            <w:tcW w:w="146" w:type="dxa"/>
            <w:tcBorders/>
            <w:shd w:fill="CCEEFF" w:val="clear"/>
            <w:vAlign w:val="center"/>
          </w:tcPr>
          <w:p>
            <w:pPr>
              <w:pStyle w:val="TableContents"/>
              <w:bidi w:val="0"/>
              <w:spacing w:before="0" w:after="283"/>
              <w:jc w:val="right"/>
              <w:rPr/>
            </w:pPr>
            <w:r>
              <w:rPr/>
              <w:t> </w:t>
            </w:r>
          </w:p>
        </w:tc>
        <w:tc>
          <w:tcPr>
            <w:tcW w:w="1197" w:type="dxa"/>
            <w:gridSpan w:val="2"/>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right"/>
              <w:rPr/>
            </w:pPr>
            <w:r>
              <w:rPr/>
              <w:t> </w:t>
            </w:r>
          </w:p>
        </w:tc>
        <w:tc>
          <w:tcPr>
            <w:tcW w:w="1197" w:type="dxa"/>
            <w:gridSpan w:val="2"/>
            <w:tcBorders/>
            <w:shd w:fill="CCEEFF" w:val="clear"/>
            <w:vAlign w:val="center"/>
          </w:tcPr>
          <w:p>
            <w:pPr>
              <w:pStyle w:val="TableContents"/>
              <w:bidi w:val="0"/>
              <w:spacing w:before="0" w:after="283"/>
              <w:jc w:val="right"/>
              <w:rPr/>
            </w:pPr>
            <w:r>
              <w:rPr/>
              <w:t> </w:t>
            </w:r>
          </w:p>
        </w:tc>
        <w:tc>
          <w:tcPr>
            <w:tcW w:w="411" w:type="dxa"/>
            <w:tcBorders/>
            <w:shd w:fill="CCEEFF"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w:t>
            </w:r>
          </w:p>
        </w:tc>
        <w:tc>
          <w:tcPr>
            <w:tcW w:w="2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CEE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1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411" w:type="dxa"/>
            <w:tcBorders/>
            <w:shd w:fill="CCEE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 and restricted cash</w:t>
            </w:r>
          </w:p>
        </w:tc>
        <w:tc>
          <w:tcPr>
            <w:tcW w:w="146" w:type="dxa"/>
            <w:tcBorders/>
            <w:shd w:fill="CCEEFF" w:val="clear"/>
            <w:vAlign w:val="center"/>
          </w:tcPr>
          <w:p>
            <w:pPr>
              <w:pStyle w:val="TableContents"/>
              <w:bidi w:val="0"/>
              <w:spacing w:before="0" w:after="283"/>
              <w:jc w:val="right"/>
              <w:rPr/>
            </w:pPr>
            <w:r>
              <w:rPr/>
              <w:t> </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w:t>
            </w:r>
          </w:p>
        </w:tc>
        <w:tc>
          <w:tcPr>
            <w:tcW w:w="2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vAlign w:val="center"/>
          </w:tcPr>
          <w:p>
            <w:pPr>
              <w:pStyle w:val="TableContents"/>
              <w:bidi w:val="0"/>
              <w:spacing w:before="0" w:after="283"/>
              <w:jc w:val="right"/>
              <w:rPr/>
            </w:pPr>
            <w:r>
              <w:rPr/>
              <w:t> </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(17,813</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cash flows resulted in a net decrease in cash and cash equivalents and restricted cash of $14.8 million during the three months ended March 31, 2024 as compared to the net decrease in cash of $17.8 million for the three months ended March 31, 2023. For the three months ended March 31, 2024, net cash used in operating activities totaled $15.3 million, an increase of approximately $7.6 million compared to the same period in 2023 primarily due to unfavorable changes in net working capital of $12.5 million, which includes a $3.4 million payment made for contingent consideration during the three months ended March 31, 2024 and a $7.2 million decrease in tenant improvement allowances received for capital expenditures and leasehold improvements related to the CVP Lease, partially offset by a year-over-year decrease in net loss from operations of $5.0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the three months ended March 31, 2024 totaled $0.3 million, a decrease of $7.4 million compared to the same period in 2023. The decrease in net cash used in investing activities was primarily due to decreases in purchases of property and equipment and capital expenditures for leasehold improvements related to the CVP Lease. These leasehold improvements are tenant improvements and have been reimbursed from the Landlord.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during the three months ended March 31, 2024 totaled $0.8 million compared to a use of cash of $2.4 million in the same period of 2023. The net cash provided by financing activities for the three months ended March 31, 2024 primarily resulted from $0.9 million in net proceeds from the issuance of common stock under the ATM facility and the ESPP, partially offset by repayment of financing leases of $0.1 million. The net cash used in financing activities for the three months ended March 31, 2023 primarily resulted from milestone payments to Indi of $2.0 million, which beginning during the three months ended December 31, 2023 are now classified as a cash outflow from operating activities due to the applicable US GAAP requirements. In addition, the Company incurred payments of debt issuance costs of $0.8 million, partially offset by $0.4 million in proceeds from the issuance of common stock under the ESPP and exercise of stock options.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non-cancelable contractual obligations and commitments as of March 31, 2024 (in thousands):</w:t>
      </w:r>
    </w:p>
    <w:tbl>
      <w:tblPr>
        <w:tblW w:w="8617" w:type="dxa"/>
        <w:jc w:val="left"/>
        <w:tblInd w:w="0" w:type="dxa"/>
        <w:tblLayout w:type="fixed"/>
        <w:tblCellMar>
          <w:top w:w="28" w:type="dxa"/>
          <w:left w:w="28" w:type="dxa"/>
          <w:bottom w:w="28" w:type="dxa"/>
          <w:right w:w="28" w:type="dxa"/>
        </w:tblCellMar>
      </w:tblPr>
      <w:tblGrid>
        <w:gridCol w:w="2356"/>
        <w:gridCol w:w="146"/>
        <w:gridCol w:w="211"/>
        <w:gridCol w:w="781"/>
        <w:gridCol w:w="146"/>
        <w:gridCol w:w="146"/>
        <w:gridCol w:w="214"/>
        <w:gridCol w:w="686"/>
        <w:gridCol w:w="146"/>
        <w:gridCol w:w="146"/>
        <w:gridCol w:w="211"/>
        <w:gridCol w:w="676"/>
        <w:gridCol w:w="146"/>
        <w:gridCol w:w="146"/>
        <w:gridCol w:w="211"/>
        <w:gridCol w:w="676"/>
        <w:gridCol w:w="146"/>
        <w:gridCol w:w="146"/>
        <w:gridCol w:w="235"/>
        <w:gridCol w:w="755"/>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Payments due by period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Borrowings and interest </w:t>
            </w:r>
            <w:r>
              <w:rPr>
                <w:rFonts w:ascii="Times New Roman" w:hAnsi="Times New Roman"/>
                <w:color w:val="000000"/>
                <w:sz w:val="13"/>
              </w:rPr>
              <w:t>(2)</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center"/>
          </w:tcPr>
          <w:p>
            <w:pPr>
              <w:pStyle w:val="TableContents"/>
              <w:bidi w:val="0"/>
              <w:spacing w:before="0" w:after="283"/>
              <w:jc w:val="right"/>
              <w:rPr>
                <w:color w:val="000000"/>
              </w:rPr>
            </w:pPr>
            <w:r>
              <w:rPr>
                <w:color w:val="000000"/>
              </w:rPr>
              <w:t>—</w:t>
            </w:r>
          </w:p>
        </w:tc>
        <w:tc>
          <w:tcPr>
            <w:tcW w:w="291" w:type="dxa"/>
            <w:tcBorders/>
            <w:shd w:fill="CCEEFF"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235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27,069</w:t>
            </w:r>
          </w:p>
        </w:tc>
        <w:tc>
          <w:tcPr>
            <w:tcW w:w="291" w:type="dxa"/>
            <w:tcBorders/>
            <w:shd w:fill="CCEEFF"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128,428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27,069</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Royalty payments that we may owe are not included as the amount and timing of such payments is uncertain.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the Perceptive Term Loan payments of principal and interest. Interest amounts associated with the Perceptive Term Loan are variable and estimated based on the interest rate in effect on March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other significant changes to our future contractual obligations as disclosed in our Annual Report on Form 10-K for the year ended December 31, 2023.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2024, we have not entered into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2023, which was filed on March 1,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(Biopharmaceutical Services and other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Implications of Being an Emerging Growth Company and Smaller Reporting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12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and cash equivalents, marketable securities and our indebtedness, including our outstanding Perceptive Term Loan. As of March 31, 2024,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2024, a hypothetical 100 basis point increase in interest rates would have an estimated $0.4 million impact per year on our financial position and results of operations, based on the current Perceptive Term Loan principal remaining outstanding through maturity.</w:t>
      </w:r>
    </w:p>
    <w:p>
      <w:pPr>
        <w:pStyle w:val="TextBody"/>
        <w:bidi w:val="0"/>
        <w:spacing w:before="12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to our internal control over financial reporting during the three months ended March 31, 2024 that have materially affected, or are reasonable likely to materially effect,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the risk factors as disclosed in “Item 1A. Risk Factors” of our Annual Report on Form 10-K as of and for the year ended December 31, 2023, filed March 1, 2024. These risk factors may not describe every risk facing us. Additional risks and uncertainties not currently known to us or that we currently deem to be immaterial could materially and adversely affect our business, financial condition and results of operations.</w:t>
      </w:r>
    </w:p>
    <w:p>
      <w:pPr>
        <w:pStyle w:val="TextBody"/>
        <w:bidi w:val="0"/>
        <w:spacing w:before="12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5, 2024, we entered into the Securities Purchase Agreements, pursuant to which we sold 760,857 shares of our Series A Preferred Stock, which, subject to stockholder approval and certain beneficial ownership limitations set by each holder pursuant to the Series A Certificate of Designation, will automatically convert into 40 shares of Common Stock for each share of Series A Preferred Stock, for an aggregate of up to 30,434,280 shares of our common stock and an aggregate purchase price of $35.0 million. The Private Placement Preferred Shares were offered and sold in transactions exempt from registration under the Securities Act, in reliance on Section 4(a)(2) thereof.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 The Company expects to use the net proceeds from the Concurrent Private Placement for commercial expansion of sales, supporting its product pipeline, research and development and for general corporate purposes.</w:t>
      </w:r>
    </w:p>
    <w:p>
      <w:pPr>
        <w:pStyle w:val="TextBody"/>
        <w:bidi w:val="0"/>
        <w:spacing w:before="12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officers adopted, modified, or terminated a Rule 10b5-1 trading arrangement during the quarter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89"/>
        <w:gridCol w:w="146"/>
        <w:gridCol w:w="9078"/>
        <w:gridCol w:w="192"/>
      </w:tblGrid>
      <w:tr>
        <w:trPr/>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89"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jc w:val="both"/>
              <w:rPr/>
            </w:pPr>
            <w:hyperlink r:id="rId2">
              <w:r>
                <w:rPr>
                  <w:rStyle w:val="InternetLink"/>
                  <w:rFonts w:ascii="Times New Roman" w:hAnsi="Times New Roman"/>
                  <w:color w:val="0000FF"/>
                  <w:sz w:val="20"/>
                  <w:u w:val="single"/>
                </w:rPr>
                <w:t>Certificate of Designations of Series A Non-Voting Convertible Preferred Stock (incorporated by reference to Exhibit 3.1 to the Company's Current Report on Form 8-K filed with the SEC on April 9, 2024).</w:t>
              </w:r>
            </w:hyperlink>
          </w:p>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Securities Purchase Agreement, dated as of April 5, 2024 between Biodesix, Inc. and certain of the Investors (incorporated by reference to Exhibit 10.1 to the Company's Current Report on Form 8-K filed with the SEC on April 9, 2024).</w:t>
              </w:r>
            </w:hyperlink>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Securities Purchase Agreement, dated as of April 5, 2024 between Biodesix, Inc. and certain members of management, certain of its directors and funds affiliated with those directors (incorporated by reference to Exhibit 10.2 to the Company's Current Report on Form 8-K filed with the SEC on April 9, 2024).</w:t>
              </w:r>
            </w:hyperlink>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jc w:val="both"/>
              <w:rPr/>
            </w:pPr>
            <w:hyperlink r:id="rId5">
              <w:r>
                <w:rPr>
                  <w:rStyle w:val="InternetLink"/>
                  <w:rFonts w:ascii="Times New Roman" w:hAnsi="Times New Roman"/>
                  <w:color w:val="0000FF"/>
                  <w:sz w:val="20"/>
                  <w:u w:val="single"/>
                </w:rPr>
                <w:t>Registration Rights Agreement, dated as of April 5, 2024 between Biodesix, Inc. and the Investors (incorporated by reference to Exhibit 10.3 to the Company's Current Report on Form 8-K filed with the SEC on April 9, 2024).</w:t>
              </w:r>
            </w:hyperlink>
          </w:p>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Form of Executive Severance and Change in Control Agreement, dated April 23, 2024 by and among the Company and each of its executive officers. (incorporated by reference to Exhibit 10.42 to the Company’s Registration Statement on Form S-1 filed with the SEC on April 23, 2024).</w:t>
              </w:r>
            </w:hyperlink>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shd w:fill="FFFFFF" w:val="cle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vAlign w:val="center"/>
          </w:tcPr>
          <w:p>
            <w:pPr>
              <w:pStyle w:val="Normal"/>
              <w:bidi w:val="0"/>
              <w:jc w:val="left"/>
              <w:rPr/>
            </w:pPr>
            <w:r>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2" w:type="dxa"/>
            <w:vMerge w:val="continue"/>
            <w:tcBorders/>
            <w:shd w:fill="FFFFFF" w:val="clear"/>
            <w:vAlign w:val="center"/>
          </w:tcPr>
          <w:p>
            <w:pPr>
              <w:pStyle w:val="Normal"/>
              <w:bidi w:val="0"/>
              <w:jc w:val="left"/>
              <w:rPr/>
            </w:pPr>
            <w:r>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Previously filed.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1681"/>
        <w:gridCol w:w="146"/>
        <w:gridCol w:w="406"/>
        <w:gridCol w:w="288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Biodesix, Inc.</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May 8, 2024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 VAZQUEZ</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Christopher C. Vazquez</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Accounting Officer</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1" w:name="bdsx-ex31_1.htm"/>
      <w:bookmarkStart w:id="22" w:name="ksbdsxex31_1"/>
      <w:bookmarkEnd w:id="21"/>
      <w:bookmarkEnd w:id="22"/>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Scott Hutton,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13" w:type="dxa"/>
        <w:jc w:val="left"/>
        <w:tblInd w:w="0" w:type="dxa"/>
        <w:tblLayout w:type="fixed"/>
        <w:tblCellMar>
          <w:top w:w="28" w:type="dxa"/>
          <w:left w:w="28" w:type="dxa"/>
          <w:bottom w:w="28" w:type="dxa"/>
          <w:right w:w="28" w:type="dxa"/>
        </w:tblCellMar>
      </w:tblPr>
      <w:tblGrid>
        <w:gridCol w:w="1636"/>
        <w:gridCol w:w="406"/>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3" w:name="bdsx-ex31_2.htm"/>
      <w:bookmarkStart w:id="24" w:name="ksbdsxex31_2"/>
      <w:bookmarkEnd w:id="23"/>
      <w:bookmarkEnd w:id="24"/>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Robin Harper Cowie,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98" w:type="dxa"/>
        <w:jc w:val="left"/>
        <w:tblInd w:w="0" w:type="dxa"/>
        <w:tblLayout w:type="fixed"/>
        <w:tblCellMar>
          <w:top w:w="28" w:type="dxa"/>
          <w:left w:w="28" w:type="dxa"/>
          <w:bottom w:w="28" w:type="dxa"/>
          <w:right w:w="28" w:type="dxa"/>
        </w:tblCellMar>
      </w:tblPr>
      <w:tblGrid>
        <w:gridCol w:w="1636"/>
        <w:gridCol w:w="406"/>
        <w:gridCol w:w="205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5" w:name="bdsx-ex32_1.htm"/>
      <w:bookmarkStart w:id="26" w:name="ksbdsxex32_1"/>
      <w:bookmarkEnd w:id="25"/>
      <w:bookmarkEnd w:id="26"/>
      <w:r>
        <w:rPr>
          <w:rFonts w:ascii="Times New Roman" w:hAnsi="Times New Roman"/>
          <w:b/>
          <w:color w:val="000000"/>
          <w:sz w:val="20"/>
        </w:rPr>
        <w:t>Exhibit 32.1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March 31, 2024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259" w:type="dxa"/>
        <w:jc w:val="left"/>
        <w:tblInd w:w="0" w:type="dxa"/>
        <w:tblLayout w:type="fixed"/>
        <w:tblCellMar>
          <w:top w:w="28" w:type="dxa"/>
          <w:left w:w="28" w:type="dxa"/>
          <w:bottom w:w="28" w:type="dxa"/>
          <w:right w:w="28" w:type="dxa"/>
        </w:tblCellMar>
      </w:tblPr>
      <w:tblGrid>
        <w:gridCol w:w="1636"/>
        <w:gridCol w:w="146"/>
        <w:gridCol w:w="406"/>
        <w:gridCol w:w="207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7" w:name="bdsx-ex32_2.htm"/>
      <w:bookmarkStart w:id="28" w:name="ksbdsxex32_2"/>
      <w:bookmarkEnd w:id="27"/>
      <w:bookmarkEnd w:id="28"/>
      <w:r>
        <w:rPr>
          <w:rFonts w:ascii="Times New Roman" w:hAnsi="Times New Roman"/>
          <w:b/>
          <w:color w:val="000000"/>
          <w:sz w:val="20"/>
        </w:rPr>
        <w:t>Exhibit 32.2</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March 31, 2024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244" w:type="dxa"/>
        <w:jc w:val="left"/>
        <w:tblInd w:w="0" w:type="dxa"/>
        <w:tblLayout w:type="fixed"/>
        <w:tblCellMar>
          <w:top w:w="28" w:type="dxa"/>
          <w:left w:w="28" w:type="dxa"/>
          <w:bottom w:w="28" w:type="dxa"/>
          <w:right w:w="28" w:type="dxa"/>
        </w:tblCellMar>
      </w:tblPr>
      <w:tblGrid>
        <w:gridCol w:w="1636"/>
        <w:gridCol w:w="146"/>
        <w:gridCol w:w="406"/>
        <w:gridCol w:w="20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8, 2024</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63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63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0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9725/000119312524090787/d779805dex31.htm" TargetMode="External"/><Relationship Id="rId3" Type="http://schemas.openxmlformats.org/officeDocument/2006/relationships/hyperlink" Target="https://www.sec.gov/Archives/edgar/data/1439725/000119312524090787/d779805dex101.htm" TargetMode="External"/><Relationship Id="rId4" Type="http://schemas.openxmlformats.org/officeDocument/2006/relationships/hyperlink" Target="https://www.sec.gov/Archives/edgar/data/1439725/000119312524090787/d779805dex102.htm" TargetMode="External"/><Relationship Id="rId5" Type="http://schemas.openxmlformats.org/officeDocument/2006/relationships/hyperlink" Target="https://www.sec.gov/Archives/edgar/data/1439725/000119312524090787/d779805dex103.htm" TargetMode="External"/><Relationship Id="rId6" Type="http://schemas.openxmlformats.org/officeDocument/2006/relationships/hyperlink" Target="https://www.sec.gov/Archives/edgar/data/1439725/000119312524107051/d827839dex104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26258</Words>
  <Characters>144411</Characters>
  <CharactersWithSpaces>171091</CharactersWithSpaces>
  <Paragraphs>4152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