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19, 2021</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Biodesix, Inc.</w:t>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71" w:right="339" w:bottom="1440" w:gutter="0" w:footer="0" w:header="0"/>
        </w:sectPr>
      </w:pPr>
    </w:p>
    <w:p>
      <w:pPr>
        <w:spacing w:after="0" w:line="143"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001-39659</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20-3986492</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00" w:space="720"/>
            <w:col w:w="2840" w:space="720"/>
            <w:col w:w="2560"/>
          </w:cols>
          <w:pgMar w:left="320" w:top="571" w:right="33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2970 Wilderness Place, Suite 100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Boulder, Colorado</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80301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62" w:lineRule="exact"/>
        <w:rPr>
          <w:sz w:val="24"/>
          <w:szCs w:val="24"/>
          <w:color w:val="auto"/>
        </w:rPr>
      </w:pPr>
    </w:p>
    <w:p>
      <w:pPr>
        <w:sectPr>
          <w:pgSz w:w="11900" w:h="16838" w:orient="portrait"/>
          <w:cols w:equalWidth="0" w:num="2">
            <w:col w:w="7300" w:space="720"/>
            <w:col w:w="3220"/>
          </w:cols>
          <w:pgMar w:left="320" w:top="571" w:right="339" w:bottom="1440" w:gutter="0" w:footer="0" w:header="0"/>
          <w:type w:val="continuous"/>
        </w:sect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44"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of $0.001 per share</w:t>
            </w:r>
          </w:p>
        </w:tc>
        <w:tc>
          <w:tcPr>
            <w:tcW w:w="12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BDSX</w:t>
            </w:r>
          </w:p>
        </w:tc>
        <w:tc>
          <w:tcPr>
            <w:tcW w:w="8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5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Term Loan</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(Effective Date), Biodesix, Inc. (the Company) entered into a new Loan and Security Agreement (New Term Loan) by and between Silicon Valley Bank, a California corporation (SVB or Lender) and the Company, as borrower, whereby subject to the terms and conditions of the New Term Loan, SVB advanced to the Company an original principal amount of $30 million.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New Term Loan provides for an “interest-only” period from the Effective Date through February 28, 2023, with interest due and payable monthly on the first calendar day of each month (Payment Date), provided however, if the Company achieves a revenue milestone of at least $65 million on a trailing twelve-month basis as of the end of any calendar month ending on or prior to September 30, 2022, the interest-only period shall automatically be extended through February 28, 2024. Beginning on the first Payment Date next following the end of the interest-only period and continuing on each Payment Date thereafter, the New Term Loan shall be payable in (i) consecutive equal installments of principal, plus (ii) monthly payments of accrued interest. The principal amount outstanding under the New Term Loan shall accrue interest at a floating per annum rate equal to the greater of (i) 2.00% above the prime rate, or (ii) 5.25%, which interest, in each case, shall be payable monthly on the Payment Date. Changes to the interest rate applicable to the New Term Loan based on changes to the prime rate shall be effective on the effective date of any change to the prime rate.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final payment, due at maturity on March 1, 2026, shall include all outstanding principal and accrued and unpaid interest on the New Term Loan, Lender fees and expenses, of which the majority will include a final payment of $2.4 million, and all other sums, if any, that shall have become due and payable hereunder with respect to the New Term Loan. After repayment, no portion of the New Term Loan may be reborrowed. The Company has the option to prepay, prior to maturity, the total outstanding principal amount plus accrued and unpaid interest under the New Term Loan,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terms and conditions of the New Term Loan, the Company granted the Lender a security interest in substantially all of the Company’s assets.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New Term Loan requires the Company to comply with a minimum liquidity ratio covenant (as defined in the New Term Loan agreement) of not less than 0.95 to 1.00, and has a trailing six month rolling minimum revenue requirement of not less than 70% of the Company’s projected revenue for each such quarter set forth in the Company’s annual projections. The New Term Loan also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In the event of a default, including, among other things, our failure to make any payment when due or our failure to comply with any covenant under the New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1.02. Termination of a Material Definitive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2021, in connection with entering into the New Term Loan agreement with SVB, the Company repaid all outstanding principal and accrued and unpaid interest in the amount of $25.9 million due under the secured promissory note (Prior Term Loan) held by I</w:t>
      </w:r>
      <w:r>
        <w:rPr>
          <w:rFonts w:ascii="Arial" w:cs="Arial" w:eastAsia="Arial" w:hAnsi="Arial"/>
          <w:sz w:val="18"/>
          <w:szCs w:val="18"/>
          <w:color w:val="212529"/>
        </w:rPr>
        <w:t>nnovatus Life Sciences Lending Fund</w:t>
      </w:r>
      <w:r>
        <w:rPr>
          <w:rFonts w:ascii="Arial" w:cs="Arial" w:eastAsia="Arial" w:hAnsi="Arial"/>
          <w:sz w:val="18"/>
          <w:szCs w:val="18"/>
          <w:color w:val="auto"/>
        </w:rPr>
        <w:t xml:space="preserve"> </w:t>
      </w:r>
      <w:r>
        <w:rPr>
          <w:rFonts w:ascii="Arial" w:cs="Arial" w:eastAsia="Arial" w:hAnsi="Arial"/>
          <w:sz w:val="18"/>
          <w:szCs w:val="18"/>
          <w:color w:val="212529"/>
        </w:rPr>
        <w:t xml:space="preserve">I, LP (Innovatus) and contemporaneously terminated </w:t>
      </w:r>
      <w:r>
        <w:rPr>
          <w:rFonts w:ascii="Arial" w:cs="Arial" w:eastAsia="Arial" w:hAnsi="Arial"/>
          <w:sz w:val="18"/>
          <w:szCs w:val="18"/>
          <w:color w:val="000000"/>
        </w:rPr>
        <w:t>the Loan and Security Agreement, dated as of February 23, 2018, as amended, by and among</w:t>
      </w:r>
      <w:r>
        <w:rPr>
          <w:rFonts w:ascii="Arial" w:cs="Arial" w:eastAsia="Arial" w:hAnsi="Arial"/>
          <w:sz w:val="18"/>
          <w:szCs w:val="18"/>
          <w:color w:val="212529"/>
        </w:rPr>
        <w:t xml:space="preserve"> </w:t>
      </w:r>
      <w:r>
        <w:rPr>
          <w:rFonts w:ascii="Arial" w:cs="Arial" w:eastAsia="Arial" w:hAnsi="Arial"/>
          <w:sz w:val="18"/>
          <w:szCs w:val="18"/>
          <w:color w:val="000000"/>
        </w:rPr>
        <w:t>Innovatus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12529"/>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23, 2021, the Company issued a press release announcing the closing of the New Term Loan and subsequent repayment of all outstanding principal and interest amounts due under the Company’s Prior Term Loan held by I</w:t>
      </w:r>
      <w:r>
        <w:rPr>
          <w:rFonts w:ascii="Arial" w:cs="Arial" w:eastAsia="Arial" w:hAnsi="Arial"/>
          <w:sz w:val="18"/>
          <w:szCs w:val="18"/>
          <w:color w:val="212529"/>
        </w:rPr>
        <w:t>nnovatus,</w:t>
      </w:r>
      <w:r>
        <w:rPr>
          <w:rFonts w:ascii="Arial" w:cs="Arial" w:eastAsia="Arial" w:hAnsi="Arial"/>
          <w:sz w:val="18"/>
          <w:szCs w:val="18"/>
          <w:color w:val="auto"/>
        </w:rPr>
        <w:t xml:space="preserve"> resulting in an immediate improvement in the Company’s net liquidity position and reduces near term cash interest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copy of the press release is being furnished as Exhibit 99.1 to this Current Report on Form 8-K and is incorporated herein by reference. The information furnished pursuant to this Item 8.01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21"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No.</w:t>
      </w:r>
      <w:r>
        <w:rPr>
          <w:rFonts w:ascii="Arial" w:cs="Arial" w:eastAsia="Arial" w:hAnsi="Arial"/>
          <w:sz w:val="16"/>
          <w:szCs w:val="16"/>
          <w:b w:val="1"/>
          <w:bCs w:val="1"/>
          <w:color w:val="auto"/>
        </w:rPr>
        <w:t>Exhibit</w:t>
      </w:r>
    </w:p>
    <w:p>
      <w:pPr>
        <w:spacing w:after="0" w:line="27" w:lineRule="exact"/>
        <w:rPr>
          <w:rFonts w:ascii="Arial" w:cs="Arial" w:eastAsia="Arial" w:hAnsi="Arial"/>
          <w:sz w:val="18"/>
          <w:szCs w:val="18"/>
          <w:i w:val="1"/>
          <w:iCs w:val="1"/>
          <w:color w:val="auto"/>
        </w:rPr>
      </w:pPr>
    </w:p>
    <w:p>
      <w:pPr>
        <w:ind w:left="240"/>
        <w:spacing w:after="0"/>
        <w:rPr>
          <w:rFonts w:ascii="Arial" w:cs="Arial" w:eastAsia="Arial" w:hAnsi="Arial"/>
          <w:sz w:val="16"/>
          <w:szCs w:val="16"/>
          <w:u w:val="single" w:color="auto"/>
          <w:color w:val="0000EE"/>
        </w:rPr>
      </w:pPr>
      <w:r>
        <w:rPr>
          <w:rFonts w:ascii="Arial" w:cs="Arial" w:eastAsia="Arial" w:hAnsi="Arial"/>
          <w:sz w:val="18"/>
          <w:szCs w:val="18"/>
          <w:color w:val="auto"/>
        </w:rPr>
        <w:t>10.1</w:t>
      </w:r>
      <w:hyperlink w:anchor="page5">
        <w:r>
          <w:rPr>
            <w:rFonts w:ascii="Arial" w:cs="Arial" w:eastAsia="Arial" w:hAnsi="Arial"/>
            <w:sz w:val="16"/>
            <w:szCs w:val="16"/>
            <w:u w:val="single" w:color="auto"/>
            <w:color w:val="0000EE"/>
          </w:rPr>
          <w:t>Loan and Security Agreement, dated March 19, 2021</w:t>
        </w:r>
      </w:hyperlink>
    </w:p>
    <w:p>
      <w:pPr>
        <w:spacing w:after="0" w:line="22" w:lineRule="exact"/>
        <w:rPr>
          <w:rFonts w:ascii="Arial" w:cs="Arial" w:eastAsia="Arial" w:hAnsi="Arial"/>
          <w:sz w:val="16"/>
          <w:szCs w:val="16"/>
          <w:u w:val="single" w:color="auto"/>
          <w:color w:val="0000EE"/>
        </w:rPr>
      </w:pPr>
    </w:p>
    <w:p>
      <w:pPr>
        <w:ind w:left="240"/>
        <w:spacing w:after="0"/>
        <w:rPr>
          <w:rFonts w:ascii="Arial" w:cs="Arial" w:eastAsia="Arial" w:hAnsi="Arial"/>
          <w:sz w:val="16"/>
          <w:szCs w:val="16"/>
          <w:u w:val="single" w:color="auto"/>
          <w:color w:val="0000EE"/>
        </w:rPr>
      </w:pPr>
      <w:r>
        <w:rPr>
          <w:rFonts w:ascii="Arial" w:cs="Arial" w:eastAsia="Arial" w:hAnsi="Arial"/>
          <w:sz w:val="18"/>
          <w:szCs w:val="18"/>
          <w:color w:val="auto"/>
        </w:rPr>
        <w:t>99.1</w:t>
      </w:r>
      <w:hyperlink w:anchor="page49">
        <w:r>
          <w:rPr>
            <w:rFonts w:ascii="Arial" w:cs="Arial" w:eastAsia="Arial" w:hAnsi="Arial"/>
            <w:sz w:val="16"/>
            <w:szCs w:val="16"/>
            <w:u w:val="single" w:color="auto"/>
            <w:color w:val="0000EE"/>
          </w:rPr>
          <w:t>Press Release issued by Biodesix, Inc. dated March 23, 2021</w:t>
        </w:r>
      </w:hyperlink>
    </w:p>
    <w:p>
      <w:pPr>
        <w:spacing w:after="0" w:line="9" w:lineRule="exact"/>
        <w:rPr>
          <w:rFonts w:ascii="Arial" w:cs="Arial" w:eastAsia="Arial" w:hAnsi="Arial"/>
          <w:sz w:val="16"/>
          <w:szCs w:val="16"/>
          <w:u w:val="single" w:color="auto"/>
          <w:color w:val="0000EE"/>
        </w:rPr>
      </w:pPr>
    </w:p>
    <w:p>
      <w:pPr>
        <w:ind w:left="260"/>
        <w:spacing w:after="0"/>
        <w:rPr>
          <w:rFonts w:ascii="Arial" w:cs="Arial" w:eastAsia="Arial" w:hAnsi="Arial"/>
          <w:sz w:val="16"/>
          <w:szCs w:val="16"/>
          <w:u w:val="single" w:color="auto"/>
          <w:color w:val="0000EE"/>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Dated: March 23, 2021</w:t>
            </w:r>
          </w:p>
        </w:tc>
        <w:tc>
          <w:tcPr>
            <w:tcW w:w="7200" w:type="dxa"/>
            <w:vAlign w:val="bottom"/>
            <w:gridSpan w:val="2"/>
          </w:tcPr>
          <w:p>
            <w:pPr>
              <w:ind w:left="2320"/>
              <w:spacing w:after="0"/>
              <w:rPr>
                <w:sz w:val="20"/>
                <w:szCs w:val="20"/>
                <w:color w:val="auto"/>
              </w:rPr>
            </w:pPr>
            <w:r>
              <w:rPr>
                <w:rFonts w:ascii="Arial" w:cs="Arial" w:eastAsia="Arial" w:hAnsi="Arial"/>
                <w:sz w:val="18"/>
                <w:szCs w:val="18"/>
                <w:color w:val="auto"/>
              </w:rPr>
              <w:t>BIODESIX, INC.</w:t>
            </w:r>
          </w:p>
        </w:tc>
      </w:tr>
      <w:tr>
        <w:trPr>
          <w:trHeight w:val="432"/>
        </w:trPr>
        <w:tc>
          <w:tcPr>
            <w:tcW w:w="4040" w:type="dxa"/>
            <w:vAlign w:val="bottom"/>
          </w:tcPr>
          <w:p>
            <w:pPr>
              <w:spacing w:after="0"/>
              <w:rPr>
                <w:sz w:val="24"/>
                <w:szCs w:val="24"/>
                <w:color w:val="auto"/>
              </w:rPr>
            </w:pPr>
          </w:p>
        </w:tc>
        <w:tc>
          <w:tcPr>
            <w:tcW w:w="2980" w:type="dxa"/>
            <w:vAlign w:val="bottom"/>
          </w:tcPr>
          <w:p>
            <w:pPr>
              <w:ind w:left="23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195"/>
        </w:trPr>
        <w:tc>
          <w:tcPr>
            <w:tcW w:w="4040" w:type="dxa"/>
            <w:vAlign w:val="bottom"/>
          </w:tcPr>
          <w:p>
            <w:pPr>
              <w:spacing w:after="0"/>
              <w:rPr>
                <w:sz w:val="16"/>
                <w:szCs w:val="16"/>
                <w:color w:val="auto"/>
              </w:rPr>
            </w:pPr>
          </w:p>
        </w:tc>
        <w:tc>
          <w:tcPr>
            <w:tcW w:w="2980" w:type="dxa"/>
            <w:vAlign w:val="bottom"/>
          </w:tcPr>
          <w:p>
            <w:pPr>
              <w:ind w:left="23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Robin Harper Cowie</w:t>
            </w:r>
          </w:p>
        </w:tc>
      </w:tr>
      <w:tr>
        <w:trPr>
          <w:trHeight w:val="230"/>
        </w:trPr>
        <w:tc>
          <w:tcPr>
            <w:tcW w:w="4040" w:type="dxa"/>
            <w:vAlign w:val="bottom"/>
          </w:tcPr>
          <w:p>
            <w:pPr>
              <w:spacing w:after="0"/>
              <w:rPr>
                <w:sz w:val="20"/>
                <w:szCs w:val="20"/>
                <w:color w:val="auto"/>
              </w:rPr>
            </w:pPr>
          </w:p>
        </w:tc>
        <w:tc>
          <w:tcPr>
            <w:tcW w:w="2980" w:type="dxa"/>
            <w:vAlign w:val="bottom"/>
          </w:tcPr>
          <w:p>
            <w:pPr>
              <w:ind w:left="232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March 19, 2021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b w:val="1"/>
          <w:bCs w:val="1"/>
          <w:color w:val="auto"/>
        </w:rPr>
        <w:t>BIODESIX,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176" w:lineRule="exact"/>
        <w:rPr>
          <w:sz w:val="20"/>
          <w:szCs w:val="20"/>
          <w:color w:val="auto"/>
        </w:rPr>
      </w:pPr>
    </w:p>
    <w:p>
      <w:pPr>
        <w:ind w:left="1600" w:hanging="728"/>
        <w:spacing w:after="0"/>
        <w:tabs>
          <w:tab w:leader="none" w:pos="16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(except with respect to unaudited financial statements for the absence of footnotes and subject to year-end audit adjustments, provided, however, that if at any time any change in GAAP would affect the computation of any covenant or requirement set forth in any Loan Document, and either Borrower or Bank shall so request, Borrower and Bank shall negotiate in good faith to amend such covenant or requirement to preserve the original intent thereof in light of such change in GAAP; provided, further, that, until so amended, (a) such covenant or requirement shall continue to be computed in accordance with GAAP prior to such change therein and (b) Borrower shall provide Bank financial statements and other documents required under this Agreement or as reasonably requested hereunder setting forth a reconciliation between calculations of such ratio or requirement made before and after giving effect to such change in GAAP; provided, further, that all obligations of any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7" w:lineRule="exact"/>
        <w:rPr>
          <w:sz w:val="20"/>
          <w:szCs w:val="20"/>
          <w:color w:val="auto"/>
        </w:rPr>
      </w:pPr>
    </w:p>
    <w:p>
      <w:pPr>
        <w:ind w:left="1600" w:hanging="728"/>
        <w:spacing w:after="0"/>
        <w:tabs>
          <w:tab w:leader="none" w:pos="1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80" w:type="dxa"/>
            <w:vAlign w:val="bottom"/>
          </w:tcPr>
          <w:p>
            <w:pPr>
              <w:ind w:left="880"/>
              <w:spacing w:after="0"/>
              <w:rPr>
                <w:sz w:val="20"/>
                <w:szCs w:val="20"/>
                <w:color w:val="auto"/>
              </w:rPr>
            </w:pPr>
            <w:r>
              <w:rPr>
                <w:rFonts w:ascii="Arial" w:cs="Arial" w:eastAsia="Arial" w:hAnsi="Arial"/>
                <w:sz w:val="18"/>
                <w:szCs w:val="18"/>
                <w:b w:val="1"/>
                <w:bCs w:val="1"/>
                <w:color w:val="auto"/>
              </w:rPr>
              <w:t>2.1</w:t>
            </w:r>
          </w:p>
        </w:tc>
        <w:tc>
          <w:tcPr>
            <w:tcW w:w="9760" w:type="dxa"/>
            <w:vAlign w:val="bottom"/>
          </w:tcPr>
          <w:p>
            <w:pPr>
              <w:ind w:left="260"/>
              <w:spacing w:after="0"/>
              <w:rPr>
                <w:sz w:val="20"/>
                <w:szCs w:val="20"/>
                <w:color w:val="auto"/>
              </w:rPr>
            </w:pPr>
            <w:r>
              <w:rPr>
                <w:rFonts w:ascii="Arial" w:cs="Arial" w:eastAsia="Arial" w:hAnsi="Arial"/>
                <w:sz w:val="18"/>
                <w:szCs w:val="18"/>
                <w:b w:val="1"/>
                <w:bCs w:val="1"/>
                <w:color w:val="auto"/>
                <w:w w:val="92"/>
              </w:rPr>
              <w:t>Promise to Pay</w:t>
            </w:r>
            <w:r>
              <w:rPr>
                <w:rFonts w:ascii="Arial" w:cs="Arial" w:eastAsia="Arial" w:hAnsi="Arial"/>
                <w:sz w:val="18"/>
                <w:szCs w:val="18"/>
                <w:color w:val="auto"/>
                <w:w w:val="92"/>
              </w:rPr>
              <w:t>. Borrower hereby unconditionally promises to pay Bank the outstanding principal amount of all Credit Extensions</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and accrued and unpaid interest thereon as and when due in accordance with this Agreement.</w:t>
            </w:r>
          </w:p>
        </w:tc>
      </w:tr>
      <w:tr>
        <w:trPr>
          <w:trHeight w:val="432"/>
        </w:trPr>
        <w:tc>
          <w:tcPr>
            <w:tcW w:w="1480" w:type="dxa"/>
            <w:vAlign w:val="bottom"/>
          </w:tcPr>
          <w:p>
            <w:pPr>
              <w:ind w:left="880"/>
              <w:spacing w:after="0"/>
              <w:rPr>
                <w:sz w:val="20"/>
                <w:szCs w:val="20"/>
                <w:color w:val="auto"/>
              </w:rPr>
            </w:pPr>
            <w:r>
              <w:rPr>
                <w:rFonts w:ascii="Arial" w:cs="Arial" w:eastAsia="Arial" w:hAnsi="Arial"/>
                <w:sz w:val="18"/>
                <w:szCs w:val="18"/>
                <w:b w:val="1"/>
                <w:bCs w:val="1"/>
                <w:color w:val="auto"/>
              </w:rPr>
              <w:t>2.1.1</w:t>
            </w:r>
          </w:p>
        </w:tc>
        <w:tc>
          <w:tcPr>
            <w:tcW w:w="9760" w:type="dxa"/>
            <w:vAlign w:val="bottom"/>
          </w:tcPr>
          <w:p>
            <w:pPr>
              <w:ind w:left="400"/>
              <w:spacing w:after="0"/>
              <w:rPr>
                <w:sz w:val="20"/>
                <w:szCs w:val="20"/>
                <w:color w:val="auto"/>
              </w:rPr>
            </w:pPr>
            <w:r>
              <w:rPr>
                <w:rFonts w:ascii="Arial" w:cs="Arial" w:eastAsia="Arial" w:hAnsi="Arial"/>
                <w:sz w:val="18"/>
                <w:szCs w:val="18"/>
                <w:b w:val="1"/>
                <w:bCs w:val="1"/>
                <w:color w:val="auto"/>
              </w:rPr>
              <w:t>Term Loan Advance</w:t>
            </w:r>
            <w:r>
              <w:rPr>
                <w:rFonts w:ascii="Arial" w:cs="Arial" w:eastAsia="Arial" w:hAnsi="Arial"/>
                <w:sz w:val="18"/>
                <w:szCs w:val="18"/>
                <w:color w:val="auto"/>
              </w:rPr>
              <w:t>.</w:t>
            </w:r>
          </w:p>
        </w:tc>
      </w:tr>
    </w:tbl>
    <w:p>
      <w:pPr>
        <w:spacing w:after="0" w:line="202" w:lineRule="exact"/>
        <w:rPr>
          <w:sz w:val="20"/>
          <w:szCs w:val="20"/>
          <w:color w:val="auto"/>
        </w:rPr>
      </w:pPr>
    </w:p>
    <w:p>
      <w:pPr>
        <w:ind w:firstLine="1735"/>
        <w:spacing w:after="0" w:line="308" w:lineRule="auto"/>
        <w:tabs>
          <w:tab w:leader="none" w:pos="257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on the Effective Date, Bank shall make one (1) term loan advance to Borrower in an original principal amount equal to Thirty Million Dollars ($30,000,000) (the “</w:t>
      </w:r>
      <w:r>
        <w:rPr>
          <w:rFonts w:ascii="Arial" w:cs="Arial" w:eastAsia="Arial" w:hAnsi="Arial"/>
          <w:sz w:val="17"/>
          <w:szCs w:val="17"/>
          <w:b w:val="1"/>
          <w:bCs w:val="1"/>
          <w:color w:val="auto"/>
        </w:rPr>
        <w:t>Term Loan Advance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735"/>
        <w:spacing w:after="0" w:line="254" w:lineRule="auto"/>
        <w:tabs>
          <w:tab w:leader="none" w:pos="258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Term Loan Advance shall be “interest-only” through the Interest-Only Period, with interest due and payable in accordance with Section 2.3(d) hereof. Beginning on the first Payment Date next following the Amortization Start Date and continuing on each Payment Date thereafter, the Term Loan Advance shall be payable in (i) consecutive equal installments of principal, plus (ii) monthly payments of accrued interest at the rate set forth in Section 2.3(a) hereof (each, a “</w:t>
      </w:r>
      <w:r>
        <w:rPr>
          <w:rFonts w:ascii="Arial" w:cs="Arial" w:eastAsia="Arial" w:hAnsi="Arial"/>
          <w:sz w:val="18"/>
          <w:szCs w:val="18"/>
          <w:b w:val="1"/>
          <w:bCs w:val="1"/>
          <w:color w:val="auto"/>
        </w:rPr>
        <w:t>Term Loan Payment</w:t>
      </w:r>
      <w:r>
        <w:rPr>
          <w:rFonts w:ascii="Arial" w:cs="Arial" w:eastAsia="Arial" w:hAnsi="Arial"/>
          <w:sz w:val="18"/>
          <w:szCs w:val="18"/>
          <w:color w:val="auto"/>
        </w:rPr>
        <w:t>”). Borrower’s final Term Loan Payment, due on the Term Loan Maturity Date, shall include (A) all outstanding principal and accrued and unpaid interest on the Term Loan Advance, (B) the Final Payment, and (C) all other sums, if any, that shall have become due and payable hereunder with respect to the Term Loan Advance. After repayment, no portion of the Term Loan Advance may be reborrowed.</w:t>
      </w:r>
    </w:p>
    <w:p>
      <w:pPr>
        <w:spacing w:after="0" w:line="194" w:lineRule="exact"/>
        <w:rPr>
          <w:rFonts w:ascii="Arial" w:cs="Arial" w:eastAsia="Arial" w:hAnsi="Arial"/>
          <w:sz w:val="18"/>
          <w:szCs w:val="18"/>
          <w:color w:val="auto"/>
        </w:rPr>
      </w:pPr>
    </w:p>
    <w:p>
      <w:pPr>
        <w:ind w:left="2580" w:hanging="845"/>
        <w:spacing w:after="0"/>
        <w:tabs>
          <w:tab w:leader="none" w:pos="25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Prepayment.</w:t>
      </w:r>
    </w:p>
    <w:p>
      <w:pPr>
        <w:spacing w:after="0" w:line="225" w:lineRule="exact"/>
        <w:rPr>
          <w:sz w:val="20"/>
          <w:szCs w:val="20"/>
          <w:color w:val="auto"/>
        </w:rPr>
      </w:pPr>
    </w:p>
    <w:p>
      <w:pPr>
        <w:ind w:firstLine="2600"/>
        <w:spacing w:after="0" w:line="277" w:lineRule="auto"/>
        <w:tabs>
          <w:tab w:leader="none" w:pos="341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Voluntary Prepayment</w:t>
      </w:r>
      <w:r>
        <w:rPr>
          <w:rFonts w:ascii="Arial" w:cs="Arial" w:eastAsia="Arial" w:hAnsi="Arial"/>
          <w:sz w:val="18"/>
          <w:szCs w:val="18"/>
          <w:color w:val="auto"/>
        </w:rPr>
        <w:t>. Borrower shall have the option to prepay all, but not less than all, of the Term Loan Advance advanced by Bank under this Agreement, provided Borrower (A) delivers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written notice to Bank of its election to prepay the Term Loan Advance at least five (5) Business Days prior to such prepayment, and (B) pays, on the date of such prepayment (w) all outstanding principal due hereunder with respect to the Term Loan Advance, plus accrued and unpaid interest thereon, (x) the Prepayment Fee, if applicable, (y) the Final Payment, and (z) all other sums, if any, that shall have become due and payable hereunder with respect to the Term Loan Advance, including interest at the Default Rate with respect to any past due amounts.</w:t>
      </w:r>
    </w:p>
    <w:p>
      <w:pPr>
        <w:spacing w:after="0" w:line="171" w:lineRule="exact"/>
        <w:rPr>
          <w:sz w:val="20"/>
          <w:szCs w:val="20"/>
          <w:color w:val="auto"/>
        </w:rPr>
      </w:pPr>
    </w:p>
    <w:p>
      <w:pPr>
        <w:jc w:val="both"/>
        <w:ind w:firstLine="2600"/>
        <w:spacing w:after="0" w:line="257" w:lineRule="auto"/>
        <w:tabs>
          <w:tab w:leader="none" w:pos="3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Term Loan Advance is accelerated by Bank following the occurrence and during the continuance of an Event of Default in accordance with Section 9.1, Borrower shall immediately pay to Bank an amount equal to the sum of (A) all outstanding principal, due hereunder with respect to the Term Loan Advance, plus accrued and unpaid interest thereon, (B) the Prepayment Fee, if applicable, (C) the Final Payment, and (D) all other sums, if any, that shall have become due and payable hereunder with respect to the Term Loan Advance.</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2.2</w:t>
            </w:r>
          </w:p>
        </w:tc>
        <w:tc>
          <w:tcPr>
            <w:tcW w:w="382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2.3</w:t>
            </w:r>
          </w:p>
        </w:tc>
        <w:tc>
          <w:tcPr>
            <w:tcW w:w="3820" w:type="dxa"/>
            <w:vAlign w:val="bottom"/>
          </w:tcPr>
          <w:p>
            <w:pPr>
              <w:ind w:left="320"/>
              <w:spacing w:after="0"/>
              <w:rPr>
                <w:sz w:val="20"/>
                <w:szCs w:val="20"/>
                <w:color w:val="auto"/>
              </w:rPr>
            </w:pPr>
            <w:r>
              <w:rPr>
                <w:rFonts w:ascii="Arial" w:cs="Arial" w:eastAsia="Arial" w:hAnsi="Arial"/>
                <w:sz w:val="18"/>
                <w:szCs w:val="18"/>
                <w:b w:val="1"/>
                <w:bCs w:val="1"/>
                <w:color w:val="auto"/>
                <w:w w:val="89"/>
              </w:rPr>
              <w:t>Payment of Interest on the Credit Extensions</w:t>
            </w:r>
            <w:r>
              <w:rPr>
                <w:rFonts w:ascii="Arial" w:cs="Arial" w:eastAsia="Arial" w:hAnsi="Arial"/>
                <w:sz w:val="18"/>
                <w:szCs w:val="18"/>
                <w:color w:val="auto"/>
                <w:w w:val="89"/>
              </w:rPr>
              <w:t>.</w:t>
            </w:r>
          </w:p>
        </w:tc>
      </w:tr>
    </w:tbl>
    <w:p>
      <w:pPr>
        <w:spacing w:after="0" w:line="202" w:lineRule="exact"/>
        <w:rPr>
          <w:sz w:val="20"/>
          <w:szCs w:val="20"/>
          <w:color w:val="auto"/>
        </w:rPr>
      </w:pPr>
    </w:p>
    <w:p>
      <w:pPr>
        <w:jc w:val="both"/>
        <w:ind w:firstLine="1735"/>
        <w:spacing w:after="0" w:line="263" w:lineRule="auto"/>
        <w:tabs>
          <w:tab w:leader="none" w:pos="25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 Advance shall accrue interest at a floating per annum rate equal to the greater of (i) two percentage points (2.00%) above the Prime Rate, or (ii) five and one quarter percentage points (5.25%), which interest, in each case, shall be payable monthly in accordance with Section 2.3(d) below.</w:t>
      </w:r>
    </w:p>
    <w:p>
      <w:pPr>
        <w:spacing w:after="0" w:line="183" w:lineRule="exact"/>
        <w:rPr>
          <w:rFonts w:ascii="Arial" w:cs="Arial" w:eastAsia="Arial" w:hAnsi="Arial"/>
          <w:sz w:val="18"/>
          <w:szCs w:val="18"/>
          <w:color w:val="auto"/>
        </w:rPr>
      </w:pPr>
    </w:p>
    <w:p>
      <w:pPr>
        <w:jc w:val="both"/>
        <w:ind w:firstLine="1735"/>
        <w:spacing w:after="0" w:line="254" w:lineRule="auto"/>
        <w:tabs>
          <w:tab w:leader="none" w:pos="258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the principal amount outstanding under the Term Loan Advance shall bear interest at a rate per annum which is two percentage points (2.00%)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unless Bank, from time to time in its sole discretion, elects to waive such Default Rate or impose a lesser rate. Fees and expenses which are required to be paid by Borrower pursuant to the Loan Documents (including, without limitation, Bank Expenses) but are not paid when due shall bear interest until paid at a rate equal to the Default Rate.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94" w:lineRule="exact"/>
        <w:rPr>
          <w:rFonts w:ascii="Arial" w:cs="Arial" w:eastAsia="Arial" w:hAnsi="Arial"/>
          <w:sz w:val="18"/>
          <w:szCs w:val="18"/>
          <w:color w:val="auto"/>
        </w:rPr>
      </w:pPr>
    </w:p>
    <w:p>
      <w:pPr>
        <w:ind w:firstLine="1735"/>
        <w:spacing w:after="0" w:line="277" w:lineRule="auto"/>
        <w:tabs>
          <w:tab w:leader="none" w:pos="25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applicable to the Term Loan Advance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8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each Payment Date and shall be computed on the basis of a three hundred sixty (360) day year for the actual number of days elapsed. In computing interest, (i) all payments received after 12:00 p.m. Pacific time on any day shall be deemed received at the opening of business on the next Business Day, and (ii) the date of the making of the Term Loan Advance shall be included and the date of payment shall be excluded; provided, however, that if the Term Loan Advance is repaid on the same day on which it is made, such day shall be included in computing interest on the Term Loan Advance.</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Fees and Expenses</w:t>
      </w:r>
      <w:r>
        <w:rPr>
          <w:rFonts w:ascii="Arial" w:cs="Arial" w:eastAsia="Arial" w:hAnsi="Arial"/>
          <w:sz w:val="16"/>
          <w:szCs w:val="16"/>
          <w:color w:val="auto"/>
        </w:rPr>
        <w:t>. Borrower shall pay to Bank:</w:t>
      </w:r>
    </w:p>
    <w:p>
      <w:pPr>
        <w:spacing w:after="0" w:line="229" w:lineRule="exact"/>
        <w:rPr>
          <w:sz w:val="20"/>
          <w:szCs w:val="20"/>
          <w:color w:val="auto"/>
        </w:rPr>
      </w:pPr>
    </w:p>
    <w:p>
      <w:pPr>
        <w:ind w:firstLine="1735"/>
        <w:spacing w:after="0" w:line="277" w:lineRule="auto"/>
        <w:tabs>
          <w:tab w:leader="none" w:pos="25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The Prepayment Fee, when due hereunder; provided that the Prepayment Fee shall be deemed to be automatically waived by Bank if the Term Loan Advance is refinanced with another credit facility from Bank; and</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and documented attorneys’ fees and expenses for documentation and negotiation of this Agreement) incurred through and after the Effective Date, when due (or, if no stated due date, within three (3) Business Days following written demand by Bank).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line="282" w:lineRule="auto"/>
        <w:rPr>
          <w:sz w:val="20"/>
          <w:szCs w:val="20"/>
          <w:color w:val="auto"/>
        </w:rPr>
      </w:pPr>
      <w:r>
        <w:rPr>
          <w:rFonts w:ascii="Arial" w:cs="Arial" w:eastAsia="Arial" w:hAnsi="Arial"/>
          <w:sz w:val="18"/>
          <w:szCs w:val="18"/>
          <w:color w:val="auto"/>
        </w:rPr>
        <w:t>Borrower and Bank acknowledge and agree that Borrower has delivered a Thirty Thousand Dollar ($30,000) good faith deposit (the “</w:t>
      </w:r>
      <w:r>
        <w:rPr>
          <w:rFonts w:ascii="Arial" w:cs="Arial" w:eastAsia="Arial" w:hAnsi="Arial"/>
          <w:sz w:val="18"/>
          <w:szCs w:val="18"/>
          <w:b w:val="1"/>
          <w:bCs w:val="1"/>
          <w:color w:val="auto"/>
        </w:rPr>
        <w:t>Good Faith</w:t>
      </w:r>
      <w:r>
        <w:rPr>
          <w:rFonts w:ascii="Arial" w:cs="Arial" w:eastAsia="Arial" w:hAnsi="Arial"/>
          <w:sz w:val="18"/>
          <w:szCs w:val="18"/>
          <w:color w:val="auto"/>
        </w:rPr>
        <w:t xml:space="preserve"> </w:t>
      </w:r>
      <w:r>
        <w:rPr>
          <w:rFonts w:ascii="Arial" w:cs="Arial" w:eastAsia="Arial" w:hAnsi="Arial"/>
          <w:sz w:val="18"/>
          <w:szCs w:val="18"/>
          <w:b w:val="1"/>
          <w:bCs w:val="1"/>
          <w:color w:val="auto"/>
        </w:rPr>
        <w:t>Deposit</w:t>
      </w:r>
      <w:r>
        <w:rPr>
          <w:rFonts w:ascii="Arial" w:cs="Arial" w:eastAsia="Arial" w:hAnsi="Arial"/>
          <w:sz w:val="18"/>
          <w:szCs w:val="18"/>
          <w:color w:val="auto"/>
        </w:rPr>
        <w:t>”), which Good Faith Deposit shall be applied to pay a portion of the Bank Expenses as of the Effective Date.</w:t>
      </w:r>
    </w:p>
    <w:p>
      <w:pPr>
        <w:spacing w:after="0" w:line="166" w:lineRule="exact"/>
        <w:rPr>
          <w:sz w:val="20"/>
          <w:szCs w:val="20"/>
          <w:color w:val="auto"/>
        </w:rPr>
      </w:pPr>
    </w:p>
    <w:p>
      <w:pPr>
        <w:jc w:val="both"/>
        <w:ind w:firstLine="1735"/>
        <w:spacing w:after="0" w:line="257" w:lineRule="auto"/>
        <w:tabs>
          <w:tab w:leader="none" w:pos="258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229" w:lineRule="exact"/>
        <w:rPr>
          <w:sz w:val="20"/>
          <w:szCs w:val="20"/>
          <w:color w:val="auto"/>
        </w:rPr>
      </w:pPr>
    </w:p>
    <w:p>
      <w:pPr>
        <w:jc w:val="both"/>
        <w:ind w:firstLine="1735"/>
        <w:spacing w:after="0" w:line="279" w:lineRule="auto"/>
        <w:tabs>
          <w:tab w:leader="none" w:pos="25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1" w:lineRule="exact"/>
        <w:rPr>
          <w:rFonts w:ascii="Arial" w:cs="Arial" w:eastAsia="Arial" w:hAnsi="Arial"/>
          <w:sz w:val="17"/>
          <w:szCs w:val="17"/>
          <w:color w:val="auto"/>
        </w:rPr>
      </w:pPr>
    </w:p>
    <w:p>
      <w:pPr>
        <w:jc w:val="both"/>
        <w:ind w:firstLine="1735"/>
        <w:spacing w:after="0" w:line="259" w:lineRule="auto"/>
        <w:tabs>
          <w:tab w:leader="none" w:pos="25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has the right to determine in its commercially reasonable discretion the order and manner in which all payments with respect to the Secured Obligations arising under this Agreement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jc w:val="both"/>
        <w:ind w:firstLine="1735"/>
        <w:spacing w:after="0" w:line="259" w:lineRule="auto"/>
        <w:tabs>
          <w:tab w:leader="none" w:pos="2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pursuant to this Agreement when due and shall endeavor to provide prompt written notice to Borrower of any such debit on the next statement of accounts delivered in the ordinary course of business from Bank to Borrower. These debits shall not constitute a set-off.</w:t>
      </w:r>
    </w:p>
    <w:p>
      <w:pPr>
        <w:spacing w:after="0" w:line="18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Withholding.</w:t>
      </w:r>
    </w:p>
    <w:p>
      <w:pPr>
        <w:spacing w:after="0" w:line="229" w:lineRule="exact"/>
        <w:rPr>
          <w:sz w:val="20"/>
          <w:szCs w:val="20"/>
          <w:color w:val="auto"/>
        </w:rPr>
      </w:pPr>
    </w:p>
    <w:p>
      <w:pPr>
        <w:jc w:val="both"/>
        <w:ind w:firstLine="1735"/>
        <w:spacing w:after="0" w:line="268" w:lineRule="auto"/>
        <w:tabs>
          <w:tab w:leader="none" w:pos="257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Payment Free of Taxes</w:t>
      </w:r>
      <w:r>
        <w:rPr>
          <w:rFonts w:ascii="Arial" w:cs="Arial" w:eastAsia="Arial" w:hAnsi="Arial"/>
          <w:sz w:val="17"/>
          <w:szCs w:val="17"/>
          <w:color w:val="auto"/>
        </w:rPr>
        <w:t>. Payments received by Bank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or any Requirement of Law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written request, furnish Bank with proof reasonably satisfactory to Bank indicating that Borrower has made such withholding payment; provided, however, that (i) Borrower need not make any withholding payment if the amount or validity of such withholding payment is contested in good faith by appropriate and timely proceedings and as to which payment in full is bonded or reserved against by Borrower and (ii) Borrower shall not be required to pay any increased amounts under this Section 2.6(a) (A) attributable to Bank’s (including any assignee or successor) failure to comply with Section 2.6(b) or (B) that are taxes imposed under FATCA. The agreements and obligations of Borrower contained in this Section 2.6 shall survive the termination of this Agreement.</w:t>
      </w:r>
    </w:p>
    <w:p>
      <w:pPr>
        <w:spacing w:after="0" w:line="186"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Status of Bank.</w:t>
      </w:r>
      <w:r>
        <w:rPr>
          <w:rFonts w:ascii="Arial" w:cs="Arial" w:eastAsia="Arial" w:hAnsi="Arial"/>
          <w:sz w:val="18"/>
          <w:szCs w:val="18"/>
          <w:color w:val="auto"/>
        </w:rPr>
        <w:t xml:space="preserve"> If Bank (including any assignee or successor) is entitled to an exemption from or reduction of withholding tax with respect to payments made under any this Agreement, it shall deliver to Borrower, at the time or times reasonably requested by Borrower, such properly completed and executed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documentation reasonably requested by Borrower as will permit such payments to be made without withholding or at a reduced rate of withholding. In addition, Bank (including any assignee or successor), if reasonably requested by Borrower, shall deliver such other documentation prescribed by applicable law or reasonably requested by Borrower as will enable Borrower to determine whether or not Bank (or such assignee or successor) is subject to backup withholding or information reporting requirements. Without limiting the generality of the foregoing, Bank (including any assignee or successor) shall deliver, within ten (10) Business Days of any request from Borrower, executed copies of IRS Form W-9 certifying that Bank (or such assignee or successor) is a U.S. person for federal income tax purposes and that Bank (or such assignee or successor) is exempt from U.S. federal backup withholding tax.</w:t>
      </w:r>
    </w:p>
    <w:p>
      <w:pPr>
        <w:spacing w:after="0" w:line="191" w:lineRule="exact"/>
        <w:rPr>
          <w:sz w:val="20"/>
          <w:szCs w:val="20"/>
          <w:color w:val="auto"/>
        </w:rPr>
      </w:pPr>
    </w:p>
    <w:p>
      <w:pPr>
        <w:ind w:left="1600" w:hanging="728"/>
        <w:spacing w:after="0"/>
        <w:tabs>
          <w:tab w:leader="none" w:pos="16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that Bank shall have received, in form and substance satisfactory to Bank in its good faith business judgment, such documents, and completion of such other matters, as Bank may reasonably deem necessary or appropriate, including, without limitation:</w:t>
      </w:r>
    </w:p>
    <w:p>
      <w:pPr>
        <w:spacing w:after="0" w:line="180" w:lineRule="exact"/>
        <w:rPr>
          <w:sz w:val="20"/>
          <w:szCs w:val="20"/>
          <w:color w:val="auto"/>
        </w:rPr>
      </w:pPr>
    </w:p>
    <w:p>
      <w:pPr>
        <w:ind w:left="2580" w:hanging="845"/>
        <w:spacing w:after="0"/>
        <w:tabs>
          <w:tab w:leader="none" w:pos="2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ind w:firstLine="1735"/>
        <w:spacing w:after="0" w:line="342" w:lineRule="auto"/>
        <w:tabs>
          <w:tab w:leader="none" w:pos="25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Operating Documents and long-form good standing certificates of Borrower certified by the Secretary of State (or equivalent agency) of Borrower’s jurisdiction of organization or formation, each as of a date no earlier than thirty (30) days prior to the Effective Date;</w:t>
      </w:r>
    </w:p>
    <w:p>
      <w:pPr>
        <w:spacing w:after="0" w:line="123" w:lineRule="exact"/>
        <w:rPr>
          <w:rFonts w:ascii="Arial" w:cs="Arial" w:eastAsia="Arial" w:hAnsi="Arial"/>
          <w:sz w:val="16"/>
          <w:szCs w:val="16"/>
          <w:color w:val="auto"/>
        </w:rPr>
      </w:pPr>
    </w:p>
    <w:p>
      <w:pPr>
        <w:ind w:left="2580" w:hanging="845"/>
        <w:spacing w:after="0"/>
        <w:tabs>
          <w:tab w:leader="none" w:pos="2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secretary’s certificate of Borrower with respect to Borrower’s Operating Documents, incumbency and Borrowing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Resolutions for Borrower;</w:t>
      </w:r>
    </w:p>
    <w:p>
      <w:pPr>
        <w:spacing w:after="0" w:line="206" w:lineRule="exact"/>
        <w:rPr>
          <w:rFonts w:ascii="Arial" w:cs="Arial" w:eastAsia="Arial" w:hAnsi="Arial"/>
          <w:sz w:val="17"/>
          <w:szCs w:val="17"/>
          <w:color w:val="auto"/>
        </w:rPr>
      </w:pPr>
    </w:p>
    <w:p>
      <w:pPr>
        <w:ind w:left="2600" w:hanging="865"/>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duly executed signatures to a payoff letter from Innovatus Life Sciences Lending Fund I, LP (“</w:t>
      </w:r>
      <w:r>
        <w:rPr>
          <w:rFonts w:ascii="Arial" w:cs="Arial" w:eastAsia="Arial" w:hAnsi="Arial"/>
          <w:sz w:val="18"/>
          <w:szCs w:val="18"/>
          <w:b w:val="1"/>
          <w:bCs w:val="1"/>
          <w:color w:val="auto"/>
        </w:rPr>
        <w:t>Innovatus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s indicated in any such financing statements either constitute Permitted Liens or have been or, in connection with the initial Credit Extension, will be terminated or released;</w:t>
      </w:r>
    </w:p>
    <w:p>
      <w:pPr>
        <w:spacing w:after="0" w:line="183" w:lineRule="exact"/>
        <w:rPr>
          <w:rFonts w:ascii="Arial" w:cs="Arial" w:eastAsia="Arial" w:hAnsi="Arial"/>
          <w:sz w:val="18"/>
          <w:szCs w:val="18"/>
          <w:color w:val="auto"/>
        </w:rPr>
      </w:pPr>
    </w:p>
    <w:p>
      <w:pPr>
        <w:ind w:left="2560" w:hanging="825"/>
        <w:spacing w:after="0"/>
        <w:tabs>
          <w:tab w:leader="none" w:pos="2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duly executed signatures to the completed Payment/Advance Form in connection with the Term Loan Advance;</w:t>
      </w:r>
    </w:p>
    <w:p>
      <w:pPr>
        <w:spacing w:after="0" w:line="236" w:lineRule="exact"/>
        <w:rPr>
          <w:rFonts w:ascii="Arial" w:cs="Arial" w:eastAsia="Arial" w:hAnsi="Arial"/>
          <w:sz w:val="17"/>
          <w:szCs w:val="17"/>
          <w:color w:val="auto"/>
        </w:rPr>
      </w:pPr>
    </w:p>
    <w:p>
      <w:pPr>
        <w:ind w:left="2600" w:hanging="865"/>
        <w:spacing w:after="0"/>
        <w:tabs>
          <w:tab w:leader="none" w:pos="2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duly executed signatures to a completed disbursement letter with respect to the Term Loan Advance in the form</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provided by Bank to Borrower;</w:t>
      </w:r>
    </w:p>
    <w:p>
      <w:pPr>
        <w:spacing w:after="0" w:line="210" w:lineRule="exact"/>
        <w:rPr>
          <w:rFonts w:ascii="Arial" w:cs="Arial" w:eastAsia="Arial" w:hAnsi="Arial"/>
          <w:sz w:val="17"/>
          <w:szCs w:val="17"/>
          <w:color w:val="auto"/>
        </w:rPr>
      </w:pPr>
    </w:p>
    <w:p>
      <w:pPr>
        <w:jc w:val="both"/>
        <w:ind w:firstLine="1735"/>
        <w:spacing w:after="0" w:line="259" w:lineRule="auto"/>
        <w:tabs>
          <w:tab w:leader="none" w:pos="25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evidence that (i) the Liens securing Indebtedness owed by Borrower to Innovatus will be terminated and (ii) the documents and/or filings evidencing the perfection of such Liens, including without limitation any financing statements and/or control agreements, have or will, substantially concurrently with the initial Credit Extension, be terminated (or provision for filings for termination thereof reasonably satisfactory to Bank shall have been delivered to Bank);</w:t>
      </w:r>
    </w:p>
    <w:p>
      <w:pPr>
        <w:spacing w:after="0" w:line="186" w:lineRule="exact"/>
        <w:rPr>
          <w:rFonts w:ascii="Arial" w:cs="Arial" w:eastAsia="Arial" w:hAnsi="Arial"/>
          <w:sz w:val="18"/>
          <w:szCs w:val="18"/>
          <w:color w:val="auto"/>
        </w:rPr>
      </w:pPr>
    </w:p>
    <w:p>
      <w:pPr>
        <w:ind w:left="2560" w:hanging="825"/>
        <w:spacing w:after="0"/>
        <w:tabs>
          <w:tab w:leader="none" w:pos="2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Perfection Certificate and Addendum 1 to Perfection Certificate duly executed by Borrower;</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evidence reasonably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firstLine="1735"/>
        <w:spacing w:after="0" w:line="277" w:lineRule="auto"/>
        <w:tabs>
          <w:tab w:leader="none" w:pos="25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2.4 hereof (which amounts may be deducted from the funding of the Term Loan Advance on the Effective Date).</w:t>
      </w:r>
    </w:p>
    <w:p>
      <w:pPr>
        <w:spacing w:after="0" w:line="166"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additional conditions precedent:</w:t>
      </w:r>
    </w:p>
    <w:p>
      <w:pPr>
        <w:spacing w:after="0" w:line="166" w:lineRule="exact"/>
        <w:rPr>
          <w:sz w:val="20"/>
          <w:szCs w:val="20"/>
          <w:color w:val="auto"/>
        </w:rPr>
      </w:pPr>
    </w:p>
    <w:p>
      <w:pPr>
        <w:ind w:left="2580" w:hanging="845"/>
        <w:spacing w:after="0"/>
        <w:tabs>
          <w:tab w:leader="none" w:pos="2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receipt of an executed Payment/Advance Form or applicable Bank Services Agreement;</w:t>
      </w:r>
    </w:p>
    <w:p>
      <w:pPr>
        <w:spacing w:after="0" w:line="225" w:lineRule="exact"/>
        <w:rPr>
          <w:rFonts w:ascii="Arial" w:cs="Arial" w:eastAsia="Arial" w:hAnsi="Arial"/>
          <w:sz w:val="18"/>
          <w:szCs w:val="18"/>
          <w:color w:val="auto"/>
        </w:rPr>
      </w:pPr>
    </w:p>
    <w:p>
      <w:pPr>
        <w:jc w:val="both"/>
        <w:ind w:firstLine="1735"/>
        <w:spacing w:after="0" w:line="290" w:lineRule="auto"/>
        <w:tabs>
          <w:tab w:leader="none" w:pos="25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65" w:lineRule="exact"/>
        <w:rPr>
          <w:rFonts w:ascii="Arial" w:cs="Arial" w:eastAsia="Arial" w:hAnsi="Arial"/>
          <w:sz w:val="16"/>
          <w:szCs w:val="16"/>
          <w:color w:val="auto"/>
        </w:rPr>
      </w:pPr>
    </w:p>
    <w:p>
      <w:pPr>
        <w:ind w:left="2580" w:hanging="845"/>
        <w:spacing w:after="0"/>
        <w:tabs>
          <w:tab w:leader="none" w:pos="2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1"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Bank each item required to be delivered to Bank under this Agreement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 Subject to the prior satisfaction of all other applicable conditions to the making of a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set forth in this Agreement, to obtain the Term Loan Advance, Borrower shall notify Bank (which notice shall be irrevocable) by electronic mail, facsimile, or telephone by 2:00 p.m. Pacific time on the day prior to the Effective Date. Together with any such electronic or facsimile notification, Borrower shall deliver to Bank by electronic mail or facsimile a completed Payment/Advance Form executed by a Responsible Officer or his or her designee. Bank may rely on any telephone notice given by a person whom Bank reasonably believes is a Responsible Officer or designee. Bank shall credit the Term Loan Advance to the Designated Deposit Account.</w:t>
      </w:r>
    </w:p>
    <w:p>
      <w:pPr>
        <w:spacing w:after="0" w:line="187" w:lineRule="exact"/>
        <w:rPr>
          <w:sz w:val="20"/>
          <w:szCs w:val="20"/>
          <w:color w:val="auto"/>
        </w:rPr>
      </w:pPr>
    </w:p>
    <w:p>
      <w:pPr>
        <w:ind w:left="1600" w:hanging="728"/>
        <w:spacing w:after="0"/>
        <w:tabs>
          <w:tab w:leader="none" w:pos="1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Bank, to secure the payment and performance in full of all of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 continuing 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Secured Obligations hereunder and that it is the intent of Borrower and Bank to have all such Secured Obligations secured by the first priority perfected security interest in the Collateral granted herein (subject only to (i) exceptions to perfection expressly set forth in this Agreement and (ii) Permitted Liens that are permitted pursuant to the terms of this Agreement to have superior priority to Bank’s Lien under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ind w:firstLine="1727"/>
        <w:spacing w:after="0" w:line="269" w:lineRule="auto"/>
        <w:rPr>
          <w:sz w:val="20"/>
          <w:szCs w:val="20"/>
          <w:color w:val="auto"/>
        </w:rPr>
      </w:pPr>
      <w:r>
        <w:rPr>
          <w:rFonts w:ascii="Arial" w:cs="Arial" w:eastAsia="Arial" w:hAnsi="Arial"/>
          <w:sz w:val="17"/>
          <w:szCs w:val="17"/>
          <w:color w:val="auto"/>
        </w:rPr>
        <w:t>Except as set forth in the last sentence of this paragraph, if this Agreement is terminated, Bank’s Lien in the Collateral shall continue until the Secured Obligations (other than inchoate indemnity obligations) are repaid in full in cash. Upon payment in full in cash of the Secured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Secured Obligations (other than inchoate indemnity obligations), except for Bank Services, are satisfied in full, and (y) this Agreement is terminated, Bank shall terminate the security interest granted herein upon Borrower providing cash collateral reasonably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with respect thereto (as estimated by Bank in its business judgment), to secure all of the Secured Obligations relating to such Letters of Credit.</w:t>
      </w:r>
    </w:p>
    <w:p>
      <w:pPr>
        <w:spacing w:after="0" w:line="17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4.2 Priority of Security Interest</w:t>
      </w:r>
      <w:r>
        <w:rPr>
          <w:rFonts w:ascii="Arial" w:cs="Arial" w:eastAsia="Arial" w:hAnsi="Arial"/>
          <w:sz w:val="18"/>
          <w:szCs w:val="18"/>
          <w:color w:val="auto"/>
        </w:rPr>
        <w:t>. Borrower represents, warrants, and covenants that the security interest granted herein is and shall at</w:t>
      </w:r>
      <w:r>
        <w:rPr>
          <w:rFonts w:ascii="Arial" w:cs="Arial" w:eastAsia="Arial" w:hAnsi="Arial"/>
          <w:sz w:val="18"/>
          <w:szCs w:val="18"/>
          <w:b w:val="1"/>
          <w:bCs w:val="1"/>
          <w:color w:val="auto"/>
        </w:rPr>
        <w:t xml:space="preserve"> </w:t>
      </w:r>
      <w:r>
        <w:rPr>
          <w:rFonts w:ascii="Arial" w:cs="Arial" w:eastAsia="Arial" w:hAnsi="Arial"/>
          <w:sz w:val="18"/>
          <w:szCs w:val="18"/>
          <w:color w:val="auto"/>
        </w:rPr>
        <w:t>all times continue to be a first priority perfected security interest in the Collateral (subject only to (i) any exceptions to perfection expressly set forth in this Agreement, and (ii) Permitted Liens that are permitted pursuant to the terms of this Agreement to have superior priority to Bank’s Lien under this Agreement) provided that Bank takes all actions required to perfect its security interest. If Borrower shall acquire a commercial tort claim with an estimated value in excess of Seventy Five Thousand Dollars ($75,000),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89"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Bank to file financing statements, without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with all appropriate jurisdictions to perfect or protect Bank’s security interest or rights hereunder, including a notice that any disposition of the Collateral in violation of this Agreement by either Borrower or any other Person, shall be deemed to violate the rights of Bank under the Code. Such financing statements may indicate the Collateral as “all assets of the Debtor” or words of similar effect, or as being of an equal or lesser scope, or with greater detail.</w:t>
      </w:r>
    </w:p>
    <w:p>
      <w:pPr>
        <w:spacing w:after="0" w:line="183" w:lineRule="exact"/>
        <w:rPr>
          <w:sz w:val="20"/>
          <w:szCs w:val="20"/>
          <w:color w:val="auto"/>
        </w:rPr>
      </w:pPr>
    </w:p>
    <w:p>
      <w:pPr>
        <w:jc w:val="right"/>
        <w:ind w:left="1740" w:right="6180" w:hanging="868"/>
        <w:spacing w:after="0" w:line="563" w:lineRule="auto"/>
        <w:tabs>
          <w:tab w:leader="none" w:pos="161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Borrower represents and warrants as follows:</w:t>
      </w:r>
    </w:p>
    <w:p>
      <w:pPr>
        <w:spacing w:after="0" w:line="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is duly existing and in good standing as a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In connection with this Agreement, Borrower has delivered to Bank a completed certificate signed by Borrower, entitled “Perfection Certificate”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firstLine="864"/>
        <w:spacing w:after="0" w:line="270"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(x) such Governmental Approvals which have already been obtained and are in full force and effect (or are being obtained pursuant to Section 6.1(b)) and (y) filings and recordings in respect of the Liens created pursuant to the applicable Loan Documents)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w:t>
      </w:r>
    </w:p>
    <w:p>
      <w:pPr>
        <w:spacing w:after="0" w:line="17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229" w:lineRule="exact"/>
        <w:rPr>
          <w:sz w:val="20"/>
          <w:szCs w:val="20"/>
          <w:color w:val="auto"/>
        </w:rPr>
      </w:pPr>
    </w:p>
    <w:p>
      <w:pPr>
        <w:ind w:right="20" w:firstLine="1735"/>
        <w:spacing w:after="0" w:line="277" w:lineRule="auto"/>
        <w:tabs>
          <w:tab w:leader="none" w:pos="2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 has good title to, rights in, and the power to transfer each item of the Collateral upon which it purports to grant a Lien hereunder, free and clear of any and all Liens except Permitted Liens.</w:t>
      </w:r>
    </w:p>
    <w:p>
      <w:pPr>
        <w:spacing w:after="0" w:line="170" w:lineRule="exact"/>
        <w:rPr>
          <w:rFonts w:ascii="Arial" w:cs="Arial" w:eastAsia="Arial" w:hAnsi="Arial"/>
          <w:sz w:val="18"/>
          <w:szCs w:val="18"/>
          <w:color w:val="auto"/>
        </w:rPr>
      </w:pPr>
    </w:p>
    <w:p>
      <w:pPr>
        <w:jc w:val="both"/>
        <w:ind w:firstLine="1735"/>
        <w:spacing w:after="0" w:line="259" w:lineRule="auto"/>
        <w:tabs>
          <w:tab w:leader="none" w:pos="2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 has no Collateral Accounts at or with any bank or financial institution other than Bank or Bank’s Affiliates except for Collateral Accounts for which Borrower has taken (or shall be required to take) such actions as are necessary to give Bank a perfected security interest therein, pursuant to the terms of Section 6.6(c). The Accounts described in any Aging Report are, as of the date of such Aging Report, the bona fide, existing obligations of the Account Debtors.</w:t>
      </w:r>
    </w:p>
    <w:p>
      <w:pPr>
        <w:spacing w:after="0" w:line="186"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and other Permitted Locations. None of the components of the Collateral shall be maintained at locations other than as provided in the Perfection Certificate or as permitted pursuant to Section 6.6(c) or Section 7.2.</w:t>
      </w:r>
    </w:p>
    <w:p>
      <w:pPr>
        <w:spacing w:after="0" w:line="183" w:lineRule="exact"/>
        <w:rPr>
          <w:rFonts w:ascii="Arial" w:cs="Arial" w:eastAsia="Arial" w:hAnsi="Arial"/>
          <w:sz w:val="18"/>
          <w:szCs w:val="18"/>
          <w:color w:val="auto"/>
        </w:rPr>
      </w:pPr>
    </w:p>
    <w:p>
      <w:pPr>
        <w:ind w:firstLine="1735"/>
        <w:spacing w:after="0" w:line="277" w:lineRule="auto"/>
        <w:tabs>
          <w:tab w:leader="none" w:pos="25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Inventory described in any Inventory Report is, as of the date of such Inventory Report, in all material respects of good and marketable quality, free from material defects.</w:t>
      </w:r>
    </w:p>
    <w:p>
      <w:pPr>
        <w:spacing w:after="0" w:line="170" w:lineRule="exact"/>
        <w:rPr>
          <w:rFonts w:ascii="Arial" w:cs="Arial" w:eastAsia="Arial" w:hAnsi="Arial"/>
          <w:sz w:val="18"/>
          <w:szCs w:val="18"/>
          <w:color w:val="auto"/>
        </w:rPr>
      </w:pPr>
    </w:p>
    <w:p>
      <w:pPr>
        <w:jc w:val="both"/>
        <w:ind w:firstLine="1735"/>
        <w:spacing w:after="0" w:line="291" w:lineRule="auto"/>
        <w:tabs>
          <w:tab w:leader="none" w:pos="25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Borrower is the sole owner of the Intellectual Property which it owns or purports to own except (i) to the extent subject to or otherwise constituting a Permitted License or a Permitted Transfer or (ii) to the extent such Intellectual Property is co-owned and is non-material as of the date of establishment of ownership thereof and which such joint ownership is established in the ordinary course of business with Bank’s prior written consent. Each Patent (other than patent applications)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w:t>
      </w:r>
    </w:p>
    <w:p>
      <w:pPr>
        <w:spacing w:after="0" w:line="166" w:lineRule="exact"/>
        <w:rPr>
          <w:rFonts w:ascii="Arial" w:cs="Arial" w:eastAsia="Arial" w:hAnsi="Arial"/>
          <w:sz w:val="16"/>
          <w:szCs w:val="16"/>
          <w:color w:val="auto"/>
        </w:rPr>
      </w:pPr>
    </w:p>
    <w:p>
      <w:pPr>
        <w:ind w:firstLine="1735"/>
        <w:spacing w:after="0" w:line="277" w:lineRule="auto"/>
        <w:tabs>
          <w:tab w:leader="none" w:pos="25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noted on the Perfection Certificate, or as disclosed pursuant to Section 6.8, Borrower is not a party to, nor is it bound by, any Restricted License (other than Permitted Licenses).</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5.3</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5.4</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Litigation</w:t>
            </w:r>
            <w:r>
              <w:rPr>
                <w:rFonts w:ascii="Arial" w:cs="Arial" w:eastAsia="Arial" w:hAnsi="Arial"/>
                <w:sz w:val="18"/>
                <w:szCs w:val="18"/>
                <w:color w:val="auto"/>
                <w:w w:val="92"/>
              </w:rPr>
              <w:t>. There are no actions or proceedings pending or, to the knowledge of any Responsible Officer, threatened in writing by</w:t>
            </w:r>
          </w:p>
        </w:tc>
      </w:tr>
    </w:tbl>
    <w:p>
      <w:pPr>
        <w:jc w:val="both"/>
        <w:spacing w:after="0" w:line="277" w:lineRule="auto"/>
        <w:rPr>
          <w:sz w:val="20"/>
          <w:szCs w:val="20"/>
          <w:color w:val="auto"/>
        </w:rPr>
      </w:pPr>
      <w:r>
        <w:rPr>
          <w:rFonts w:ascii="Arial" w:cs="Arial" w:eastAsia="Arial" w:hAnsi="Arial"/>
          <w:sz w:val="17"/>
          <w:szCs w:val="17"/>
          <w:color w:val="auto"/>
        </w:rPr>
        <w:t>or against Borrower or any of its Subsidiaries in which there is a reasonable likelihood of an adverse determination and which could reasonably be expected to result in damages or costs in an amount, individually or in the aggregate, in excess of Five Hundred Thousand Dollars ($500,000) (not covered by independent third-party insurance or indemnity as to which liability has not been denied by such insurance carrier or indemnifying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firstLine="864"/>
        <w:spacing w:after="0" w:line="258" w:lineRule="auto"/>
        <w:rPr>
          <w:sz w:val="20"/>
          <w:szCs w:val="20"/>
          <w:color w:val="auto"/>
        </w:rPr>
      </w:pPr>
      <w:r>
        <w:rPr>
          <w:rFonts w:ascii="Arial" w:cs="Arial" w:eastAsia="Arial" w:hAnsi="Arial"/>
          <w:sz w:val="18"/>
          <w:szCs w:val="18"/>
          <w:b w:val="1"/>
          <w:bCs w:val="1"/>
          <w:color w:val="auto"/>
        </w:rPr>
        <w:t>5.5 Financial Statements; Financial Condition</w:t>
      </w:r>
      <w:r>
        <w:rPr>
          <w:rFonts w:ascii="Arial" w:cs="Arial" w:eastAsia="Arial" w:hAnsi="Arial"/>
          <w:sz w:val="18"/>
          <w:szCs w:val="18"/>
          <w:color w:val="auto"/>
        </w:rPr>
        <w:t>. All consolidated financial statements for Borrower and any of its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delivered to Bank by submission to the Financial Statement Repository or otherwise submitted to Bank fairly present in accordance with GAAP in all material respects Borrower’s consolidated financial condition and Borrower’s consolidated results of operations as of the dates and periods covered thereby. There has not been any material deterioration in Borrower’s consolidated financial condition since the date of the most recent financial statements submitted to the Financial Statement Repository or otherwise submitted to Bank.</w:t>
      </w:r>
    </w:p>
    <w:p>
      <w:pPr>
        <w:spacing w:after="0" w:line="183"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5.6 Solvency</w:t>
      </w:r>
      <w:r>
        <w:rPr>
          <w:rFonts w:ascii="Arial" w:cs="Arial" w:eastAsia="Arial" w:hAnsi="Arial"/>
          <w:sz w:val="18"/>
          <w:szCs w:val="18"/>
          <w:color w:val="auto"/>
        </w:rPr>
        <w:t>. The fair salable value of Borrower’s consolidated assets (including goodwill minus disposition costs) exceeds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Borrower’s consolidated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color w:val="auto"/>
        </w:rPr>
        <w:t>5.7 Regulatory Compliance</w:t>
      </w:r>
      <w:r>
        <w:rPr>
          <w:rFonts w:ascii="Arial" w:cs="Arial" w:eastAsia="Arial" w:hAnsi="Arial"/>
          <w:sz w:val="18"/>
          <w:szCs w:val="18"/>
          <w:color w:val="auto"/>
        </w:rPr>
        <w:t>. Borrower is not an “investment company” or a company “controlled” by an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Investment Company Act of 1940, as amended. Borrower is not engaged as one of its important activities in extending credit for the purpose of purchasing or carrying margin stock (under Regulations X, T and U of the Federal Reserve Board of Governors). Borrower (a) has complied in all material respects with all Requirements of Law, and (b) has not violated any Requirements of Law, in each case except to the extent the non-compliance or violation thereof could not reasonably be expected to have a Material Adverse Effect.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8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5.8 Subsidiaries; Investments</w:t>
      </w:r>
      <w:r>
        <w:rPr>
          <w:rFonts w:ascii="Arial" w:cs="Arial" w:eastAsia="Arial" w:hAnsi="Arial"/>
          <w:sz w:val="18"/>
          <w:szCs w:val="18"/>
          <w:color w:val="auto"/>
        </w:rPr>
        <w:t>. Borrower does not own any stock, partnership, or other ownership interest or other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Permitted Investments.</w:t>
      </w:r>
    </w:p>
    <w:p>
      <w:pPr>
        <w:spacing w:after="0" w:line="162"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6"/>
          <w:szCs w:val="16"/>
          <w:b w:val="1"/>
          <w:bCs w:val="1"/>
          <w:color w:val="auto"/>
        </w:rPr>
        <w:t>5.9 Tax Returns and Payments; Pension Contributions</w:t>
      </w:r>
      <w:r>
        <w:rPr>
          <w:rFonts w:ascii="Arial" w:cs="Arial" w:eastAsia="Arial" w:hAnsi="Arial"/>
          <w:sz w:val="16"/>
          <w:szCs w:val="16"/>
          <w:color w:val="auto"/>
        </w:rPr>
        <w:t>. Borrower has timely filed all required tax returns and reports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reports involving estimated taxes owing from Borrower in an aggregate amount for all such reports not to exceed One Hundred Thousand Dollars ($100,000)), and Borrower has 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and (b) if such taxes, assessments, deposits and contributions do not, individually or in the aggregate, exceed One Hundred Thousand Dollars ($100,000).</w:t>
      </w:r>
    </w:p>
    <w:p>
      <w:pPr>
        <w:spacing w:after="0" w:line="16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One Hundred Thousand Dollars ($100,000) individually or in the aggregate. Borrower has funded each Plan in accordance with the minimum funding standards of ERISA and the Internal Revenue Code, and Borrower has not withdrawn from participation in, and has not permitted partial or complete termination of any such Plan, in each case, except as could not reasonably be expected to result in any liability in excess of Five Hundred Thousand Dollars ($500,000), individually or in the aggregate, and Borrower has not incurred any liability to the Pension Benefit Guaranty Corporation or its successors or any other governmental agency.</w:t>
      </w:r>
    </w:p>
    <w:p>
      <w:pPr>
        <w:spacing w:after="0" w:line="19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5.10 Use of Proceeds</w:t>
      </w:r>
      <w:r>
        <w:rPr>
          <w:rFonts w:ascii="Arial" w:cs="Arial" w:eastAsia="Arial" w:hAnsi="Arial"/>
          <w:sz w:val="18"/>
          <w:szCs w:val="18"/>
          <w:color w:val="auto"/>
        </w:rPr>
        <w:t>. Borrower shall use the proceeds of the Term Loan Advance to repay all Indebtedness owing from Borrower to</w:t>
      </w:r>
      <w:r>
        <w:rPr>
          <w:rFonts w:ascii="Arial" w:cs="Arial" w:eastAsia="Arial" w:hAnsi="Arial"/>
          <w:sz w:val="18"/>
          <w:szCs w:val="18"/>
          <w:b w:val="1"/>
          <w:bCs w:val="1"/>
          <w:color w:val="auto"/>
        </w:rPr>
        <w:t xml:space="preserve"> </w:t>
      </w:r>
      <w:r>
        <w:rPr>
          <w:rFonts w:ascii="Arial" w:cs="Arial" w:eastAsia="Arial" w:hAnsi="Arial"/>
          <w:sz w:val="18"/>
          <w:szCs w:val="18"/>
          <w:color w:val="auto"/>
        </w:rPr>
        <w:t>Innovatus as of the Effective Date and as working capital and to fund its general business requirements and not for personal, family, household or agricultural purposes.</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5.11 Full Disclosure</w:t>
      </w:r>
      <w:r>
        <w:rPr>
          <w:rFonts w:ascii="Arial" w:cs="Arial" w:eastAsia="Arial" w:hAnsi="Arial"/>
          <w:sz w:val="18"/>
          <w:szCs w:val="18"/>
          <w:color w:val="auto"/>
        </w:rPr>
        <w:t>. No written representation, warranty or other statement of Borrower in any report, certificate,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submitted to the Financial Statement Repository or otherwise submitted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Bank, as of the date such representation, warranty, or other statement was made (as may be modified or supplemented by other information so furnished prior to the date on which this representation is made or deemed made), when taken together as a whole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 and such differences may be material).</w:t>
      </w:r>
    </w:p>
    <w:p>
      <w:pPr>
        <w:spacing w:after="0" w:line="191"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or awareness, to the “best of” Borrower’s knowledge, or with a similar qualification, knowledge or awareness means the actual knowledge, after reasonable investigation, of any Responsible Officer.</w:t>
      </w:r>
    </w:p>
    <w:p>
      <w:pPr>
        <w:spacing w:after="0" w:line="176" w:lineRule="exact"/>
        <w:rPr>
          <w:sz w:val="20"/>
          <w:szCs w:val="20"/>
          <w:color w:val="auto"/>
        </w:rPr>
      </w:pPr>
    </w:p>
    <w:p>
      <w:pPr>
        <w:ind w:left="1600" w:hanging="728"/>
        <w:spacing w:after="0"/>
        <w:tabs>
          <w:tab w:leader="none" w:pos="1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Compliance/Health Care Matters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87" w:lineRule="auto"/>
        <w:tabs>
          <w:tab w:leader="none" w:pos="25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Borrower shall comply, and have each Subsidiary comply, in all material respects, with all Requirements of Law, including all applicable Health Care Laws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HIPPA.</w:t>
      </w:r>
    </w:p>
    <w:p>
      <w:pPr>
        <w:spacing w:after="0" w:line="210" w:lineRule="exact"/>
        <w:rPr>
          <w:rFonts w:ascii="Arial" w:cs="Arial" w:eastAsia="Arial" w:hAnsi="Arial"/>
          <w:sz w:val="16"/>
          <w:szCs w:val="16"/>
          <w:color w:val="auto"/>
        </w:rPr>
      </w:pPr>
    </w:p>
    <w:p>
      <w:pPr>
        <w:jc w:val="both"/>
        <w:ind w:firstLine="1735"/>
        <w:spacing w:after="0" w:line="263" w:lineRule="auto"/>
        <w:tabs>
          <w:tab w:leader="none" w:pos="25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the Collateral. Borrower shall promptly provide copies of any such obtained Governmental Approvals to Bank.</w:t>
      </w:r>
    </w:p>
    <w:p>
      <w:pPr>
        <w:spacing w:after="0" w:line="183" w:lineRule="exact"/>
        <w:rPr>
          <w:rFonts w:ascii="Arial" w:cs="Arial" w:eastAsia="Arial" w:hAnsi="Arial"/>
          <w:sz w:val="18"/>
          <w:szCs w:val="18"/>
          <w:color w:val="auto"/>
        </w:rPr>
      </w:pPr>
    </w:p>
    <w:p>
      <w:pPr>
        <w:jc w:val="both"/>
        <w:ind w:firstLine="1735"/>
        <w:spacing w:after="0" w:line="259" w:lineRule="auto"/>
        <w:tabs>
          <w:tab w:leader="none" w:pos="2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Borrower has established and maintains a corporate compliance program that (i) addresses the material Requirements of Law, including all applicable Health Care Laws, of Governmental Authorities having jurisdiction over its business and operations, and (ii) has been structured to account for the guidance issued by the U.S. Department of Health and Human Services regarding characteristics of effective corporate compliance programs.</w:t>
      </w:r>
    </w:p>
    <w:p>
      <w:pPr>
        <w:spacing w:after="0" w:line="183" w:lineRule="exact"/>
        <w:rPr>
          <w:sz w:val="20"/>
          <w:szCs w:val="20"/>
          <w:color w:val="auto"/>
        </w:rPr>
      </w:pPr>
    </w:p>
    <w:p>
      <w:pPr>
        <w:ind w:right="20" w:firstLine="864"/>
        <w:spacing w:after="0" w:line="282" w:lineRule="auto"/>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 Provide Bank with the following by submitting to the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Repository or otherwise submitting to Bank:</w:t>
      </w:r>
    </w:p>
    <w:p>
      <w:pPr>
        <w:spacing w:after="0" w:line="166" w:lineRule="exact"/>
        <w:rPr>
          <w:sz w:val="20"/>
          <w:szCs w:val="20"/>
          <w:color w:val="auto"/>
        </w:rPr>
      </w:pPr>
    </w:p>
    <w:p>
      <w:pPr>
        <w:jc w:val="both"/>
        <w:ind w:firstLine="1735"/>
        <w:spacing w:after="0" w:line="272" w:lineRule="auto"/>
        <w:tabs>
          <w:tab w:leader="none" w:pos="257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but in any event within five (5) Business Days following the date Borrower is required to file its Form 10-Q with the SEC (commencing with the fiscal quarter ending March 31, 2021) (other than each fiscal quarter ended December 31st), a company prepared unaudited consolidated balance sheet of Borrower as at the end of such fiscal quarter, and the related unaudited consolidated statements of income or operations for such fiscal quarter and for the portion of Borrower’s fiscal year then ended, and the related unaudited statements of stockholders’ equity and cash flows for the portion of Borrower’s fiscal year then ended, setting forth in each case (commencing with the fiscal quarter ending March 31, 2022) in comparative form the figures for the corresponding fiscal quarter of the previous fiscal year and the corresponding portion of the previous fiscal year, as applicable, all in reasonable detail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Compliance Statement</w:t>
      </w:r>
      <w:r>
        <w:rPr>
          <w:rFonts w:ascii="Arial" w:cs="Arial" w:eastAsia="Arial" w:hAnsi="Arial"/>
          <w:sz w:val="18"/>
          <w:szCs w:val="18"/>
          <w:color w:val="auto"/>
        </w:rPr>
        <w:t>. Concurrently with the delivery of the Quarterly Financial Statements and the Annual Financial Statements, a completed Compliance Statement, confirming that, as of the end of such fiscal period, Borrower was in compliance in all material respects with all of the terms and conditions of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Agreement (or stating therein the reason for any non-compliance herewith), and setting forth calculations showing compliance with the financial covenants set forth in this Agreement and such other information as Bank may reasonably request;</w:t>
      </w:r>
    </w:p>
    <w:p>
      <w:pPr>
        <w:spacing w:after="0" w:line="170" w:lineRule="exact"/>
        <w:rPr>
          <w:sz w:val="20"/>
          <w:szCs w:val="20"/>
          <w:color w:val="auto"/>
        </w:rPr>
      </w:pPr>
    </w:p>
    <w:p>
      <w:pPr>
        <w:jc w:val="both"/>
        <w:ind w:firstLine="1735"/>
        <w:spacing w:after="0" w:line="291" w:lineRule="auto"/>
        <w:tabs>
          <w:tab w:leader="none" w:pos="257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Agings</w:t>
      </w:r>
      <w:r>
        <w:rPr>
          <w:rFonts w:ascii="Arial" w:cs="Arial" w:eastAsia="Arial" w:hAnsi="Arial"/>
          <w:sz w:val="16"/>
          <w:szCs w:val="16"/>
          <w:color w:val="auto"/>
        </w:rPr>
        <w:t>. Within ten (10) Business Days after the end of each month, (A) monthly accounts receivable agings, aged by invoice date (“</w:t>
      </w:r>
      <w:r>
        <w:rPr>
          <w:rFonts w:ascii="Arial" w:cs="Arial" w:eastAsia="Arial" w:hAnsi="Arial"/>
          <w:sz w:val="16"/>
          <w:szCs w:val="16"/>
          <w:b w:val="1"/>
          <w:bCs w:val="1"/>
          <w:color w:val="auto"/>
        </w:rPr>
        <w:t>AR Agings</w:t>
      </w:r>
      <w:r>
        <w:rPr>
          <w:rFonts w:ascii="Arial" w:cs="Arial" w:eastAsia="Arial" w:hAnsi="Arial"/>
          <w:sz w:val="16"/>
          <w:szCs w:val="16"/>
          <w:color w:val="auto"/>
        </w:rPr>
        <w:t>”), (B) monthly accounts payable agings, aged by invoice date, and outstanding or held check registers, if any (“</w:t>
      </w:r>
      <w:r>
        <w:rPr>
          <w:rFonts w:ascii="Arial" w:cs="Arial" w:eastAsia="Arial" w:hAnsi="Arial"/>
          <w:sz w:val="16"/>
          <w:szCs w:val="16"/>
          <w:b w:val="1"/>
          <w:bCs w:val="1"/>
          <w:color w:val="auto"/>
        </w:rPr>
        <w:t>AP Agings</w:t>
      </w:r>
      <w:r>
        <w:rPr>
          <w:rFonts w:ascii="Arial" w:cs="Arial" w:eastAsia="Arial" w:hAnsi="Arial"/>
          <w:sz w:val="16"/>
          <w:szCs w:val="16"/>
          <w:color w:val="auto"/>
        </w:rPr>
        <w:t>”),</w:t>
      </w:r>
    </w:p>
    <w:p>
      <w:pPr>
        <w:jc w:val="both"/>
        <w:ind w:firstLine="8"/>
        <w:spacing w:after="0" w:line="255" w:lineRule="auto"/>
        <w:tabs>
          <w:tab w:leader="none" w:pos="3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monthly reconciliations of accounts receivable agings (aged by invoice date), transaction reports, and general ledger, (“</w:t>
      </w:r>
      <w:r>
        <w:rPr>
          <w:rFonts w:ascii="Arial" w:cs="Arial" w:eastAsia="Arial" w:hAnsi="Arial"/>
          <w:sz w:val="18"/>
          <w:szCs w:val="18"/>
          <w:b w:val="1"/>
          <w:bCs w:val="1"/>
          <w:color w:val="auto"/>
        </w:rPr>
        <w:t>Reconciliations</w:t>
      </w:r>
      <w:r>
        <w:rPr>
          <w:rFonts w:ascii="Arial" w:cs="Arial" w:eastAsia="Arial" w:hAnsi="Arial"/>
          <w:sz w:val="18"/>
          <w:szCs w:val="18"/>
          <w:color w:val="auto"/>
        </w:rPr>
        <w:t>”) and (D) a detailed listing of Borrower’s Account Debtors (the “</w:t>
      </w:r>
      <w:r>
        <w:rPr>
          <w:rFonts w:ascii="Arial" w:cs="Arial" w:eastAsia="Arial" w:hAnsi="Arial"/>
          <w:sz w:val="18"/>
          <w:szCs w:val="18"/>
          <w:b w:val="1"/>
          <w:bCs w:val="1"/>
          <w:color w:val="auto"/>
        </w:rPr>
        <w:t>Debtor Listing</w:t>
      </w:r>
      <w:r>
        <w:rPr>
          <w:rFonts w:ascii="Arial" w:cs="Arial" w:eastAsia="Arial" w:hAnsi="Arial"/>
          <w:sz w:val="18"/>
          <w:szCs w:val="18"/>
          <w:color w:val="auto"/>
        </w:rPr>
        <w:t>” and together with the AR Agings, the AP Agings and the Reconciliations, the “</w:t>
      </w:r>
      <w:r>
        <w:rPr>
          <w:rFonts w:ascii="Arial" w:cs="Arial" w:eastAsia="Arial" w:hAnsi="Arial"/>
          <w:sz w:val="18"/>
          <w:szCs w:val="18"/>
          <w:b w:val="1"/>
          <w:bCs w:val="1"/>
          <w:color w:val="auto"/>
        </w:rPr>
        <w:t>Aging Reports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firstLine="1735"/>
        <w:spacing w:after="0" w:line="277" w:lineRule="auto"/>
        <w:tabs>
          <w:tab w:leader="none" w:pos="258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Inventory Reports</w:t>
      </w:r>
      <w:r>
        <w:rPr>
          <w:rFonts w:ascii="Arial" w:cs="Arial" w:eastAsia="Arial" w:hAnsi="Arial"/>
          <w:sz w:val="18"/>
          <w:szCs w:val="18"/>
          <w:color w:val="auto"/>
        </w:rPr>
        <w:t>. An Inventory Report (and any schedules related thereto and including any other information reasonably requested by Bank with respect to Borrower’s Inventory) within thirty (30) days after the end of each month;</w:t>
      </w:r>
    </w:p>
    <w:p>
      <w:pPr>
        <w:spacing w:after="0" w:line="170" w:lineRule="exact"/>
        <w:rPr>
          <w:rFonts w:ascii="Arial" w:cs="Arial" w:eastAsia="Arial" w:hAnsi="Arial"/>
          <w:sz w:val="18"/>
          <w:szCs w:val="18"/>
          <w:color w:val="auto"/>
        </w:rPr>
      </w:pPr>
    </w:p>
    <w:p>
      <w:pPr>
        <w:jc w:val="both"/>
        <w:ind w:firstLine="1735"/>
        <w:spacing w:after="0" w:line="255" w:lineRule="auto"/>
        <w:tabs>
          <w:tab w:leader="none" w:pos="257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Annual Operating Budget and Financial Projections</w:t>
      </w:r>
      <w:r>
        <w:rPr>
          <w:rFonts w:ascii="Arial" w:cs="Arial" w:eastAsia="Arial" w:hAnsi="Arial"/>
          <w:sz w:val="18"/>
          <w:szCs w:val="18"/>
          <w:color w:val="auto"/>
        </w:rPr>
        <w:t>. On the earlier of (x) the date that is seventy-five (75) days after the last day of each fiscal year of Borrower, and (y) the seventh (7th) Business Day following the approval thereof by the Borrower’s board of directors, and within seven (7) Business Days of any updates or amendments thereto approved by Borrower’s board of directors, (i) annual operating budgets (including income statements, balance sheets and cash flow statements, by month) for the then-current fiscal year of Borrower, and (ii) annual financial projections for the then-current fiscal year (on a quarterly basis) as approved by Borrower’s board of directors, together with any related business forecasts used in the preparation of such annual financial projections;</w:t>
      </w:r>
    </w:p>
    <w:p>
      <w:pPr>
        <w:spacing w:after="0" w:line="192" w:lineRule="exact"/>
        <w:rPr>
          <w:rFonts w:ascii="Arial" w:cs="Arial" w:eastAsia="Arial" w:hAnsi="Arial"/>
          <w:sz w:val="18"/>
          <w:szCs w:val="18"/>
          <w:color w:val="auto"/>
        </w:rPr>
      </w:pPr>
    </w:p>
    <w:p>
      <w:pPr>
        <w:jc w:val="both"/>
        <w:ind w:firstLine="1735"/>
        <w:spacing w:after="0" w:line="289" w:lineRule="auto"/>
        <w:tabs>
          <w:tab w:leader="none" w:pos="255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Annual Audited Financial Statements</w:t>
      </w:r>
      <w:r>
        <w:rPr>
          <w:rFonts w:ascii="Arial" w:cs="Arial" w:eastAsia="Arial" w:hAnsi="Arial"/>
          <w:sz w:val="16"/>
          <w:szCs w:val="16"/>
          <w:color w:val="auto"/>
        </w:rPr>
        <w:t>. As soon as available, but in any event within five (5) Business Days following the date Borrower is required to file its Form 10-K with the SEC (commencing with the fiscal year ending December 31, 2021), a consolidated balance sheet of Borrower as at the end of such fiscal year, and the related consolidated statements of income or operations, equity and cash flows for such fiscal year, setting forth in each case in comparative form the figures for the previous fiscal year (commencing with the fiscal year ending December 31, 2022), all in reasonable detail and prepared in accordance with GAAP, together with an opinion on the financial statements from an independent certified public accounting firm of nationally recognized standing, which opinion shall not be subject to any “going concern” or like qualification or exception or any qualification or exception as to the scope of such audit (provided that to the extent the components of such consolidated financial statements relating to a prior fiscal period are separately audited by different independent public accounting firms, the audit report of any such accounting firm may contain a qualification or exception as to scope of such consolidated financial statements as they relate to such components) (the “</w:t>
      </w:r>
      <w:r>
        <w:rPr>
          <w:rFonts w:ascii="Arial" w:cs="Arial" w:eastAsia="Arial" w:hAnsi="Arial"/>
          <w:sz w:val="16"/>
          <w:szCs w:val="16"/>
          <w:b w:val="1"/>
          <w:bCs w:val="1"/>
          <w:color w:val="auto"/>
        </w:rPr>
        <w:t>Annual Financial Statements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1735"/>
        <w:spacing w:after="0" w:line="277" w:lineRule="auto"/>
        <w:tabs>
          <w:tab w:leader="none" w:pos="258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Business Days of delivery, copies of all statements, reports and notices made available to Borrower’s security holders or to any holders of Subordinated Debt;</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8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Within five (5) Business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w:t>
      </w:r>
    </w:p>
    <w:p>
      <w:pPr>
        <w:spacing w:after="0" w:line="183" w:lineRule="exact"/>
        <w:rPr>
          <w:rFonts w:ascii="Arial" w:cs="Arial" w:eastAsia="Arial" w:hAnsi="Arial"/>
          <w:sz w:val="18"/>
          <w:szCs w:val="18"/>
          <w:color w:val="auto"/>
        </w:rPr>
      </w:pPr>
    </w:p>
    <w:p>
      <w:pPr>
        <w:jc w:val="both"/>
        <w:ind w:firstLine="1735"/>
        <w:spacing w:after="0" w:line="259" w:lineRule="auto"/>
        <w:tabs>
          <w:tab w:leader="none" w:pos="254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Five Hundred Thousand Dollars ($500,000) or more (not covered by independent third-party insurance or indemnity as to which liability has not been denied by such insurance carrier or indemnifying party);</w:t>
      </w:r>
    </w:p>
    <w:p>
      <w:pPr>
        <w:spacing w:after="0" w:line="186" w:lineRule="exact"/>
        <w:rPr>
          <w:rFonts w:ascii="Arial" w:cs="Arial" w:eastAsia="Arial" w:hAnsi="Arial"/>
          <w:sz w:val="18"/>
          <w:szCs w:val="18"/>
          <w:color w:val="auto"/>
        </w:rPr>
      </w:pPr>
    </w:p>
    <w:p>
      <w:pPr>
        <w:jc w:val="both"/>
        <w:ind w:right="20" w:firstLine="1735"/>
        <w:spacing w:after="0" w:line="263" w:lineRule="auto"/>
        <w:tabs>
          <w:tab w:leader="none" w:pos="254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Prompt written notice of any changes to the beneficial ownership information set out in Addendum 1 to Perfection Certificate delivered by Borrower to Bank on or prior to the Effective Date. Borrower understands and acknowledges that Bank relies on such true, accurate and up-to-date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beneficial ownership information to meet Bank’s regulatory obligations to obtain, verify and record information about the beneficial owners of its legal entity customers; and</w:t>
      </w:r>
    </w:p>
    <w:p>
      <w:pPr>
        <w:spacing w:after="0" w:line="170" w:lineRule="exact"/>
        <w:rPr>
          <w:sz w:val="20"/>
          <w:szCs w:val="20"/>
          <w:color w:val="auto"/>
        </w:rPr>
      </w:pPr>
    </w:p>
    <w:p>
      <w:pPr>
        <w:ind w:left="2600" w:hanging="865"/>
        <w:spacing w:after="0"/>
        <w:tabs>
          <w:tab w:leader="none" w:pos="26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w:t>
      </w:r>
    </w:p>
    <w:p>
      <w:pPr>
        <w:spacing w:after="0" w:line="22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Documents required to be delivered pursuant to the terms hereof (including, without limitation, pursuant to clauses (a), (f), (g) and (h) above,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 Any submission by Borrower of a Compliance Statement or any other financial statement submitted to the Financial Statement Repository pursuant to this Section 6.2 or otherwise submitted to Bank shall be deemed to be a representation by Borrower that (a) as of the date of such Compliance Statement or other financial statement, the information and calculations set forth therein are true, accurate and correct, (b) as of the end of the compliance period set forth in such submission, Borrower is in compliance in all material respects with all required covenants except as noted in such Compliance Statement or other financial statement, as applicable; (c) as of the date of such submission, no Events of Default have occurred or are continuing; (d) all representations and warranties other than any representations or warranties that are made as of a specific date in Article 5 remain true and correct in all material respects as of the date of such submission except as noted in such Compliance Statement or other financial statement, as applicable; (e) as of the date of such submission, Borrower and each of its Subsidiaries have timely filed all required tax returns and reports, and Borrower has timely paid all foreign, federal, state and local taxes, assessments, deposits and contributions owed by Borrower except as otherwise permitted pursuant to the terms of Section 5.9; and (f)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6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Inventory; Returns; Collection of Accounts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59" w:lineRule="auto"/>
        <w:tabs>
          <w:tab w:leader="none" w:pos="2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Keep all Inventory in good and marketable condition, free from material defects. Returns and allowances between Borrower and its Account Debtors shall follow Borrower’s customary practices as they exist at the Effective Date. Borrower must promptly notify Bank of all returns, recoveries, disputes and claims outside Borrower’s customary practices as they exist as of the Effective Date that involve more than Two Hundred Thousand Dollars ($200,000).</w:t>
      </w:r>
    </w:p>
    <w:p>
      <w:pPr>
        <w:spacing w:after="0" w:line="186" w:lineRule="exact"/>
        <w:rPr>
          <w:rFonts w:ascii="Arial" w:cs="Arial" w:eastAsia="Arial" w:hAnsi="Arial"/>
          <w:sz w:val="18"/>
          <w:szCs w:val="18"/>
          <w:color w:val="auto"/>
        </w:rPr>
      </w:pPr>
    </w:p>
    <w:p>
      <w:pPr>
        <w:jc w:val="both"/>
        <w:ind w:firstLine="1735"/>
        <w:spacing w:after="0" w:line="269" w:lineRule="auto"/>
        <w:tabs>
          <w:tab w:leader="none" w:pos="25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Borrower shall direct Account Debtors to deliver or transmit all proceeds of Accounts into the Permitted Lockbox Account, or via electronic deposit capture into a “blocked account” at Bank as specified by Bank (either such account, the “</w:t>
      </w:r>
      <w:r>
        <w:rPr>
          <w:rFonts w:ascii="Arial" w:cs="Arial" w:eastAsia="Arial" w:hAnsi="Arial"/>
          <w:sz w:val="17"/>
          <w:szCs w:val="17"/>
          <w:b w:val="1"/>
          <w:bCs w:val="1"/>
          <w:color w:val="auto"/>
        </w:rPr>
        <w:t>Cash Collateral</w:t>
      </w:r>
      <w:r>
        <w:rPr>
          <w:rFonts w:ascii="Arial" w:cs="Arial" w:eastAsia="Arial" w:hAnsi="Arial"/>
          <w:sz w:val="17"/>
          <w:szCs w:val="17"/>
          <w:color w:val="auto"/>
        </w:rPr>
        <w:t xml:space="preserve"> </w:t>
      </w:r>
      <w:r>
        <w:rPr>
          <w:rFonts w:ascii="Arial" w:cs="Arial" w:eastAsia="Arial" w:hAnsi="Arial"/>
          <w:sz w:val="17"/>
          <w:szCs w:val="17"/>
          <w:b w:val="1"/>
          <w:bCs w:val="1"/>
          <w:color w:val="auto"/>
        </w:rPr>
        <w:t>Account</w:t>
      </w:r>
      <w:r>
        <w:rPr>
          <w:rFonts w:ascii="Arial" w:cs="Arial" w:eastAsia="Arial" w:hAnsi="Arial"/>
          <w:sz w:val="17"/>
          <w:szCs w:val="17"/>
          <w:color w:val="auto"/>
        </w:rPr>
        <w:t>”). Whether or not an Event of Default has occurred and is continuing, Borrower shall (i) promptly, and in any event within one (1) Business Day</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Borrower’s receipt thereof (or such later time as permitted under Section 6.6(a)), deliver all payments on and proceeds of Accounts to Borrower’s account at Chase no. xxxxx3903 and (ii) no less frequently than weekly, transfer all amounts in Borrower’s account at Chase no. xxxxx3903 into the Cash Collateral Account at Bank. So long as no Event of Default has occurred and is continuing, all amounts received in the Cash Collateral Account shall be transferred no less frequently than weekly (or if Bank, in its good faith business judgment determines that conditions warrant, following written notice thereof to Borrower, more frequently)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18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6.4 Taxes; Pensions</w:t>
      </w:r>
      <w:r>
        <w:rPr>
          <w:rFonts w:ascii="Arial" w:cs="Arial" w:eastAsia="Arial" w:hAnsi="Arial"/>
          <w:sz w:val="17"/>
          <w:szCs w:val="17"/>
          <w:color w:val="auto"/>
        </w:rPr>
        <w:t>. Timely file, and require each of its Subsidiaries to timely file, all tax returns and reports required to be filed and</w:t>
      </w:r>
      <w:r>
        <w:rPr>
          <w:rFonts w:ascii="Arial" w:cs="Arial" w:eastAsia="Arial" w:hAnsi="Arial"/>
          <w:sz w:val="17"/>
          <w:szCs w:val="17"/>
          <w:b w:val="1"/>
          <w:bCs w:val="1"/>
          <w:color w:val="auto"/>
        </w:rPr>
        <w:t xml:space="preserve"> </w:t>
      </w:r>
      <w:r>
        <w:rPr>
          <w:rFonts w:ascii="Arial" w:cs="Arial" w:eastAsia="Arial" w:hAnsi="Arial"/>
          <w:sz w:val="17"/>
          <w:szCs w:val="17"/>
          <w:color w:val="auto"/>
        </w:rPr>
        <w:t>timely pay, and require each of its Subsidiaries to timely pay, all material foreign, federal, state and local taxes, assessments, deposits and contributions owed by Borrower and each of its Subsidiaries, except for deferred payment of any taxes contested pursuant to the terms of Section 5.9 hereof, and shall deliver to Bank, promptly following written demand, appropriate certificates attesting to such payments, and pay all amounts necessary to fulfill its obligations under the minimum funding standards of ERISA and the Internal Revenue Code with respect to each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880"/>
        <w:spacing w:after="0"/>
        <w:tabs>
          <w:tab w:leader="none" w:pos="17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73" w:lineRule="auto"/>
        <w:tabs>
          <w:tab w:leader="none" w:pos="25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Insurance policies shall be in a form, with financially sound and reputable insurance companies that are not Affiliates of Borrower, and in amounts that are reasonably satisfactory to Bank (provided that such amounts shall be deemed to be reasonably satisfactory to Bank if they are standard for companies in Borrower’s industry and location).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7" w:lineRule="exact"/>
        <w:rPr>
          <w:rFonts w:ascii="Arial" w:cs="Arial" w:eastAsia="Arial" w:hAnsi="Arial"/>
          <w:sz w:val="17"/>
          <w:szCs w:val="17"/>
          <w:color w:val="auto"/>
        </w:rPr>
      </w:pPr>
    </w:p>
    <w:p>
      <w:pPr>
        <w:jc w:val="both"/>
        <w:ind w:firstLine="1735"/>
        <w:spacing w:after="0" w:line="272" w:lineRule="auto"/>
        <w:tabs>
          <w:tab w:leader="none" w:pos="25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Ensure that proceeds payable under any property policy are, at Bank’s option, payable to Bank on account of the Secured Obligations. Notwithstanding the foregoing, (i) so long as no Event of Default has occurred and is continuing, Borrower shall have the option of applying up to One Million Dollars ($1,000,000) per year of the proceeds of any casualty policy toward the prompt replacement or repair of destroyed or damaged property; provided that any such replaced or repaired property (A) shall be of equal or like value as the replaced or repaired property and (B) to the extent constituting Collateral, Bank shall have been granted a first priority security interest therein (subject only to any exceptions to perfection expressly set forth in this Agreement and Permitted Liens) and (ii) after the occurrence and during the continuance of an Event of Default, all such proceeds of Collateral shall, at the option of Bank, be payable to Bank on account of the Secured Obligations.</w:t>
      </w:r>
    </w:p>
    <w:p>
      <w:pPr>
        <w:spacing w:after="0" w:line="177" w:lineRule="exact"/>
        <w:rPr>
          <w:rFonts w:ascii="Arial" w:cs="Arial" w:eastAsia="Arial" w:hAnsi="Arial"/>
          <w:sz w:val="17"/>
          <w:szCs w:val="17"/>
          <w:color w:val="auto"/>
        </w:rPr>
      </w:pPr>
    </w:p>
    <w:p>
      <w:pPr>
        <w:jc w:val="both"/>
        <w:ind w:firstLine="1735"/>
        <w:spacing w:after="0" w:line="291" w:lineRule="auto"/>
        <w:tabs>
          <w:tab w:leader="none" w:pos="25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Bank’s written request, deliver copies of insurance policies and evidence of all premium payments. Borrower shall cause each provider of any such insurance required under this Section 6.5 to agree, by endorsement upon the policy or policies issued by it or by independent instruments furnished to Bank, that it will give Bank not less than thirty (30) days prior written notice before any such policy or policies shall be materially altered or canceled (other than cancellation for non-payment of premiums for which ten (10) days’ prior written notice shall be required). If Borrower fails to obtain insurance as required under this Section 6.5 or to pay any amount or furnish any required proof of payment to third persons and Bank may make all or part of such payment or obtain such insurance policies required in this Section 6.5, and take any action under the policies Bank deems prudent and shall endeavor to notify Borrower in writing thereof but shall incur no liability whatsoever for any failure to deliver such notice.</w:t>
      </w:r>
    </w:p>
    <w:p>
      <w:pPr>
        <w:spacing w:after="0" w:line="16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69" w:lineRule="auto"/>
        <w:tabs>
          <w:tab w:leader="none" w:pos="25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than the Permitted Other Accounts, maintain its and all of its Subsidiaries’ primary banking relationship with Bank and Bank’s Affiliates, which relationship shall include maintaining account balances in any operating and other deposit accounts at or through Bank or Bank’s Affiliates, and which accounts shall represent at least ninety percent (90%) of the dollar value of Borrower’s and its Subsidiaries’ account balances at all financial institutions; provided that Borrower shall have a period of sixty (60) days after the Effective Date (the “</w:t>
      </w:r>
      <w:r>
        <w:rPr>
          <w:rFonts w:ascii="Arial" w:cs="Arial" w:eastAsia="Arial" w:hAnsi="Arial"/>
          <w:sz w:val="17"/>
          <w:szCs w:val="17"/>
          <w:b w:val="1"/>
          <w:bCs w:val="1"/>
          <w:color w:val="auto"/>
        </w:rPr>
        <w:t>Transition Period</w:t>
      </w:r>
      <w:r>
        <w:rPr>
          <w:rFonts w:ascii="Arial" w:cs="Arial" w:eastAsia="Arial" w:hAnsi="Arial"/>
          <w:sz w:val="17"/>
          <w:szCs w:val="17"/>
          <w:color w:val="auto"/>
        </w:rPr>
        <w:t>”) to comply with the foregoing requirements provided that Borrower maintains at least Forty Million Dollars ($40,000,000) in unrestricted cash in its accounts at Bank at all times during the Transition Period. All amounts in the Permitted Lockbox Account shall be transferred to Borrower’s account no. xxxxx93903 at Chase on a daily basis. All amounts in Borrower’s account no. xxxxx93903 at Chase shall be transferred into the Cash Collateral Account at Bank no less frequently than weekly. All amounts in each Payment Processor Account shall be transferred to Borrower’s accounts at Bank no less frequently than weekly (or if Bank, in its good faith business judgment determines that conditions warrant, following written notice thereof to Borrower, more frequently). Any Guarantor shall maintain all depository or operating and deposit accounts at Bank.</w:t>
      </w:r>
    </w:p>
    <w:p>
      <w:pPr>
        <w:spacing w:after="0" w:line="185" w:lineRule="exact"/>
        <w:rPr>
          <w:rFonts w:ascii="Arial" w:cs="Arial" w:eastAsia="Arial" w:hAnsi="Arial"/>
          <w:sz w:val="17"/>
          <w:szCs w:val="17"/>
          <w:color w:val="auto"/>
        </w:rPr>
      </w:pPr>
    </w:p>
    <w:p>
      <w:pPr>
        <w:jc w:val="both"/>
        <w:ind w:firstLine="1735"/>
        <w:spacing w:after="0" w:line="279" w:lineRule="auto"/>
        <w:tabs>
          <w:tab w:leader="none" w:pos="258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any business credit cards, merchant processing services, Letters of Credit and cash management services exclusively from Bank, except that this cause (b) shall not apply to the extent that Borrower provides Bank evidence of an offer from a third-party to provide any business credit card, letters of credit or cash management services on then current market terms and Bank is unwilling to provide such business credit card, letters of credit or cash management on terms substantially similar to the terms proposed by such third-party.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1735"/>
        <w:spacing w:after="0" w:line="272" w:lineRule="auto"/>
        <w:tabs>
          <w:tab w:leader="none" w:pos="25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Bank not less than five (5) Business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or (ii) the Permitted Lockbox Account.</w:t>
      </w:r>
    </w:p>
    <w:p>
      <w:pPr>
        <w:spacing w:after="0" w:line="17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Financial Covenants</w:t>
      </w:r>
      <w:r>
        <w:rPr>
          <w:rFonts w:ascii="Arial" w:cs="Arial" w:eastAsia="Arial" w:hAnsi="Arial"/>
          <w:sz w:val="16"/>
          <w:szCs w:val="16"/>
          <w:color w:val="auto"/>
        </w:rPr>
        <w:t>.</w:t>
      </w:r>
    </w:p>
    <w:p>
      <w:pPr>
        <w:spacing w:after="0" w:line="229" w:lineRule="exact"/>
        <w:rPr>
          <w:sz w:val="20"/>
          <w:szCs w:val="20"/>
          <w:color w:val="auto"/>
        </w:rPr>
      </w:pPr>
    </w:p>
    <w:p>
      <w:pPr>
        <w:ind w:left="2580" w:hanging="845"/>
        <w:spacing w:after="0"/>
        <w:tabs>
          <w:tab w:leader="none" w:pos="25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Minimum Liquidity Ratio</w:t>
      </w:r>
      <w:r>
        <w:rPr>
          <w:rFonts w:ascii="Arial" w:cs="Arial" w:eastAsia="Arial" w:hAnsi="Arial"/>
          <w:sz w:val="18"/>
          <w:szCs w:val="18"/>
          <w:color w:val="auto"/>
        </w:rPr>
        <w:t>. Maintain a Liquidity Ratio of not less than 0.95:1.00 at all times.</w:t>
      </w:r>
    </w:p>
    <w:p>
      <w:pPr>
        <w:spacing w:after="0" w:line="225" w:lineRule="exact"/>
        <w:rPr>
          <w:rFonts w:ascii="Arial" w:cs="Arial" w:eastAsia="Arial" w:hAnsi="Arial"/>
          <w:sz w:val="18"/>
          <w:szCs w:val="18"/>
          <w:color w:val="auto"/>
        </w:rPr>
      </w:pPr>
    </w:p>
    <w:p>
      <w:pPr>
        <w:jc w:val="both"/>
        <w:ind w:firstLine="1735"/>
        <w:spacing w:after="0" w:line="287" w:lineRule="auto"/>
        <w:tabs>
          <w:tab w:leader="none" w:pos="258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Minimum Revenue (Performance to Plan)</w:t>
      </w:r>
      <w:r>
        <w:rPr>
          <w:rFonts w:ascii="Arial" w:cs="Arial" w:eastAsia="Arial" w:hAnsi="Arial"/>
          <w:sz w:val="16"/>
          <w:szCs w:val="16"/>
          <w:color w:val="auto"/>
        </w:rPr>
        <w:t>. Achieve trailing six (6) month revenue (measured in accordance with GAAP and tested as of the last day of each calendar quarter), of not less than seventy percent (70%) of the projected revenue numbers for each such quarter set forth in Borrower’s projections delivered to Bank on March 9, 2021 and titled “</w:t>
      </w:r>
      <w:r>
        <w:rPr>
          <w:rFonts w:ascii="Arial" w:cs="Arial" w:eastAsia="Arial" w:hAnsi="Arial"/>
          <w:sz w:val="16"/>
          <w:szCs w:val="16"/>
          <w:i w:val="1"/>
          <w:iCs w:val="1"/>
          <w:color w:val="auto"/>
        </w:rPr>
        <w:t>Biodesix, Inc. - Income Statement – 2021</w:t>
      </w:r>
      <w:r>
        <w:rPr>
          <w:rFonts w:ascii="Arial" w:cs="Arial" w:eastAsia="Arial" w:hAnsi="Arial"/>
          <w:sz w:val="16"/>
          <w:szCs w:val="16"/>
          <w:color w:val="auto"/>
        </w:rPr>
        <w:t>”. The required minimum revenue (performance to plan) covenant levels for the quarterly measuring periods ending after December 31, 2021, shall, unless Borrower and Bank shall otherwise agree in writing, (i) be set at seventy percent (70%) of the Borrower’s projections delivered to Bank in accordance with Section 6.2(e) hereof, (ii) reflect year-over-year revenue growth (determined in accordance with GAAP) for each measuring period and (iii) be documented pursuant to an amendment to this Agreement to be entered into on or prior to March 31</w:t>
      </w:r>
      <w:r>
        <w:rPr>
          <w:rFonts w:ascii="Arial" w:cs="Arial" w:eastAsia="Arial" w:hAnsi="Arial"/>
          <w:sz w:val="13"/>
          <w:szCs w:val="13"/>
          <w:color w:val="auto"/>
        </w:rPr>
        <w:t>st</w:t>
      </w:r>
      <w:r>
        <w:rPr>
          <w:rFonts w:ascii="Arial" w:cs="Arial" w:eastAsia="Arial" w:hAnsi="Arial"/>
          <w:sz w:val="16"/>
          <w:szCs w:val="16"/>
          <w:color w:val="auto"/>
        </w:rPr>
        <w:t xml:space="preserve"> of each calendar year (commencing with March 31, 2022). So long as Borrower shall have been provided a copy of such amendment not less than ten (10) Business Days prior to March 31st of any applicable calendar year and an opportunity to review and provide comment on such amendment, and the terms and conditions of such amendment shall not otherwise be prohibited as a matter of contract or applicable law, Borrower’s failure to enter into such amendment to this Agreement to reset such covenant levels on or prior to March 31</w:t>
      </w:r>
      <w:r>
        <w:rPr>
          <w:rFonts w:ascii="Arial" w:cs="Arial" w:eastAsia="Arial" w:hAnsi="Arial"/>
          <w:sz w:val="13"/>
          <w:szCs w:val="13"/>
          <w:color w:val="auto"/>
        </w:rPr>
        <w:t>st</w:t>
      </w:r>
      <w:r>
        <w:rPr>
          <w:rFonts w:ascii="Arial" w:cs="Arial" w:eastAsia="Arial" w:hAnsi="Arial"/>
          <w:sz w:val="16"/>
          <w:szCs w:val="16"/>
          <w:color w:val="auto"/>
        </w:rPr>
        <w:t xml:space="preserve"> of any applicable year shall be an immediate and non-curable Event of Default hereunder.</w:t>
      </w:r>
    </w:p>
    <w:p>
      <w:pPr>
        <w:spacing w:after="0" w:line="168"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Protection of Intellectual Property Rights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59" w:lineRule="auto"/>
        <w:tabs>
          <w:tab w:leader="none" w:pos="25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with any material value; (ii) promptly advise Bank in writing of material infringements or any other event that could reasonably be expected to materially and adversely affect the value of its Intellectual Property with any material value; and (iii) not allow any Intellectual Property material to Borrower’s business to be abandoned, forfeited or dedicated to the public without Bank’s written consent.</w:t>
      </w:r>
    </w:p>
    <w:p>
      <w:pPr>
        <w:spacing w:after="0" w:line="186" w:lineRule="exact"/>
        <w:rPr>
          <w:rFonts w:ascii="Arial" w:cs="Arial" w:eastAsia="Arial" w:hAnsi="Arial"/>
          <w:sz w:val="18"/>
          <w:szCs w:val="18"/>
          <w:color w:val="auto"/>
        </w:rPr>
      </w:pPr>
    </w:p>
    <w:p>
      <w:pPr>
        <w:jc w:val="both"/>
        <w:ind w:firstLine="1735"/>
        <w:spacing w:after="0" w:line="257" w:lineRule="auto"/>
        <w:tabs>
          <w:tab w:leader="none" w:pos="25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written notice to Bank within ten (10) Business Days of entering or becoming bound by any Restricted License (other than Permitted Licenses). Borrower shall use commercially reasonable efforts as Bank reasonably requests to obtain the consent of, or waiver by, any person whose consent or waiver is necessary for (i) any such Restricted License to be deemed “Collateral”, and (ii) Bank to have the ability in the event of a liquidation of any Collateral to dispose of such Collateral in accordance with Bank’s rights and remedies under this Agreement and the other Loan Documents.</w:t>
      </w:r>
    </w:p>
    <w:p>
      <w:pPr>
        <w:spacing w:after="0" w:line="184"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6"/>
          <w:szCs w:val="16"/>
          <w:b w:val="1"/>
          <w:bCs w:val="1"/>
          <w:color w:val="auto"/>
        </w:rPr>
        <w:t>6.9 Litigation Cooperation</w:t>
      </w:r>
      <w:r>
        <w:rPr>
          <w:rFonts w:ascii="Arial" w:cs="Arial" w:eastAsia="Arial" w:hAnsi="Arial"/>
          <w:sz w:val="16"/>
          <w:szCs w:val="16"/>
          <w:color w:val="auto"/>
        </w:rPr>
        <w:t>. From the date hereof and continuing through the termination of this Agreement, make available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provided however, that, Borrower and its Subsidiaries shall not be required to disclose or provide any books and records or otherwise be required to disclose or provide any information (i) that constitutes non-financial trade secrets or non-financial proprietary information of Borrower or any of its Subsidiaries or any of their respective customers and/or suppliers, (ii) in respect of which disclosure to the Bank (or any of its representatives) 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prohibited by any applicable law, (iii) that is subject to attorney-client or similar privilege or constitutes attorney work product or (iv) in respect of which Borrower or any Subsidiary owes confidentiality obligations to any third party (provided such confidentiality obligations were not entered into solely in contemplation of the requirements of this Section 6.9).</w:t>
      </w:r>
    </w:p>
    <w:p>
      <w:pPr>
        <w:spacing w:after="0" w:line="18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5"/>
          <w:szCs w:val="15"/>
          <w:b w:val="1"/>
          <w:bCs w:val="1"/>
          <w:color w:val="auto"/>
        </w:rPr>
        <w:t>Access to Collateral; Books and Records</w:t>
      </w:r>
      <w:r>
        <w:rPr>
          <w:rFonts w:ascii="Arial" w:cs="Arial" w:eastAsia="Arial" w:hAnsi="Arial"/>
          <w:sz w:val="15"/>
          <w:szCs w:val="15"/>
          <w:color w:val="auto"/>
        </w:rPr>
        <w:t>.</w:t>
      </w:r>
    </w:p>
    <w:p>
      <w:pPr>
        <w:spacing w:after="0" w:line="229" w:lineRule="exact"/>
        <w:rPr>
          <w:sz w:val="20"/>
          <w:szCs w:val="20"/>
          <w:color w:val="auto"/>
        </w:rPr>
      </w:pPr>
    </w:p>
    <w:p>
      <w:pPr>
        <w:jc w:val="both"/>
        <w:ind w:firstLine="1735"/>
        <w:spacing w:after="0" w:line="287" w:lineRule="auto"/>
        <w:tabs>
          <w:tab w:leader="none" w:pos="25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Allow Bank, or its agents, at reasonable times, on five (5) Business Days’ notice (provided no notice is required if an Event of Default has occurred and is continuing), to inspect the Collateral and audit and copy Borrower’s Books; provided, however, the foregoing may be subject to such exclusions and redactions as reasonably necessary in order to prevent violation of the attorney client privilege with respect to pending or threatened litigation. Such inspections or audits shall be conducted no more often than once every twelve (12) months unless an Event of Default has occurred and is continuing in which case such inspections and audits shall occur as often as Bank in its good faith business judgment shall determine is necessary and all inspections or audits will be done remotely via videoconference (or other applicable technology) during the COVID-19 pandemic or in the event of any other health-related U.S. government shutdown. The foregoing inspections and audits shall be at Borrower’s expense, and the charge therefor shall be One Thousand Dollars ($1,000) per person per day (or such higher amount as shall represent Bank’s then-current standard charge for the same), plus reasonable and documented out-of-pocket expenses. In the event Borrower and Bank schedule an audit more than eight (8) days in advance, and Borrower cancels or reschedules the audit with less than eight (8) days written notice to Bank, then (without limiting any of Bank’s rights or remedies), Borrower shall pay Bank a fee of Two Thousand Dollars ($2,000) plus any reasonable and documented out-of-pocket expenses incurred by Bank to compensate Bank for the anticipated costs and expenses of the cancellation or rescheduling.</w:t>
      </w:r>
    </w:p>
    <w:p>
      <w:pPr>
        <w:spacing w:after="0" w:line="167" w:lineRule="exact"/>
        <w:rPr>
          <w:rFonts w:ascii="Arial" w:cs="Arial" w:eastAsia="Arial" w:hAnsi="Arial"/>
          <w:sz w:val="16"/>
          <w:szCs w:val="16"/>
          <w:color w:val="auto"/>
        </w:rPr>
      </w:pPr>
    </w:p>
    <w:p>
      <w:pPr>
        <w:jc w:val="both"/>
        <w:ind w:firstLine="1735"/>
        <w:spacing w:after="0" w:line="290" w:lineRule="auto"/>
        <w:tabs>
          <w:tab w:leader="none" w:pos="25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course any inspections, audits and other visits and discussions permitted under clause (a) above or elsewhere under the Loan Documents, representatives of Bank may encounter individually identifiable healthcare information as defined under HIPAA, or other confidential information relating to healthcare patients (collectively, the “</w:t>
      </w:r>
      <w:r>
        <w:rPr>
          <w:rFonts w:ascii="Arial" w:cs="Arial" w:eastAsia="Arial" w:hAnsi="Arial"/>
          <w:sz w:val="16"/>
          <w:szCs w:val="16"/>
          <w:b w:val="1"/>
          <w:bCs w:val="1"/>
          <w:color w:val="auto"/>
        </w:rPr>
        <w:t>Confidential Healthcare Information</w:t>
      </w:r>
      <w:r>
        <w:rPr>
          <w:rFonts w:ascii="Arial" w:cs="Arial" w:eastAsia="Arial" w:hAnsi="Arial"/>
          <w:sz w:val="16"/>
          <w:szCs w:val="16"/>
          <w:color w:val="auto"/>
        </w:rPr>
        <w:t>”). Unless otherwise required by any applicable laws, Bank and its representatives shall not require or perform any act that would cause Borrower or any other Person to violate any Health Care Laws, including HIPAA, including, without limitation, as a result of the disclosure of any Confidential Healthcare Information. In the event that Bank proposes to undertake activities that Borrower reasonably believes would constitute services of a “business associate” under HIPAA, including the disclosure of any protected Confidential Healthcare Information, the parties hereto agree to review the matter and, where appropriate, Bank may take action to comply with HIPAA, and shall, upon Borrower’s reasonable request, execute a business associate agreement with the applicable Person.</w:t>
      </w:r>
    </w:p>
    <w:p>
      <w:pPr>
        <w:spacing w:after="0" w:line="161"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b w:val="1"/>
          <w:bCs w:val="1"/>
          <w:color w:val="auto"/>
        </w:rPr>
        <w:t>6.11 Formation or Acquisition of Subsidiaries</w:t>
      </w:r>
      <w:r>
        <w:rPr>
          <w:rFonts w:ascii="Arial" w:cs="Arial" w:eastAsia="Arial" w:hAnsi="Arial"/>
          <w:sz w:val="16"/>
          <w:szCs w:val="16"/>
          <w:color w:val="auto"/>
        </w:rPr>
        <w:t>. Notwithstanding and without limiting the negative covenants contained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7.3 and 7.7 hereof, within twenty (20) Business Days (or such later time as Bank may in its sole discretion may agree) following the date that Borrower or any Guarantor forms any direct or indirect Subsidiary or acquires any direct or indirect Subsidiary after the Effective Date (including, without limitation, pursuant to a Division), (a) cause such new Subsidiary to provide to Bank a joinder to this Agreement to cause such Subsidiary to become a co-borrower or secured Guarantor hereunder (as determined by Bank in its sole discretion), together with such appropriate financing statements and/or Control Agreements, all in form and substance reasonably satisfactory to Bank (including being sufficient to grant Bank a first priority Lien (subject only to any exceptions to perfection expressly set forth in this Agreement and Permitted Liens) in and to the assets of such newly formed or acquired Subsidiary, to the extent constituting Collateral), (b) provide to Bank appropriate certificates and powers and financing statements, pledging all of the direct or beneficial ownership interest in such new Subsidiary, in form and substance reasonably satisfactory to Bank, and (c) provide to Bank all other documentation in form and substance reasonably satisfactory to Bank, including, to the extent reasonably requested by Bank, one or more customary opinions of counsel reasonably satisfactory to Bank, which in its opinion is appropriate with respect to the execution and delivery of the applicable documentation referred to above. Any document, agreement, or instrument executed or issued pursuant to this Section 6.11 shall be a Loan Document.</w:t>
      </w:r>
    </w:p>
    <w:p>
      <w:pPr>
        <w:spacing w:after="0" w:line="168"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6.12 Further Assurances</w:t>
      </w:r>
      <w:r>
        <w:rPr>
          <w:rFonts w:ascii="Arial" w:cs="Arial" w:eastAsia="Arial" w:hAnsi="Arial"/>
          <w:sz w:val="18"/>
          <w:szCs w:val="18"/>
          <w:color w:val="auto"/>
        </w:rPr>
        <w:t>. Execute any further instruments and take further action as Bank reasonably requests to perfect or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Bank’s Lien in the Collateral or to effect the purposes of this Agreement. Deliver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Bank, within ten (10) Business Days after the same are sent or received, copies of all correspondence, reports, documents and other filings with any Governmental Authority (a) regarding compliance with or maintenance of material Governmental Approvals or Requirements of Law or (b) that could reasonably be expected to have a material effect on any of the Governmental Approvals or otherwise on the operations of Borrower or any of its Subsidiaries.</w:t>
      </w:r>
    </w:p>
    <w:p>
      <w:pPr>
        <w:spacing w:after="0" w:line="183"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5"/>
          <w:szCs w:val="15"/>
          <w:b w:val="1"/>
          <w:bCs w:val="1"/>
          <w:color w:val="auto"/>
        </w:rPr>
        <w:t>Post-Closing Conditions</w:t>
      </w:r>
      <w:r>
        <w:rPr>
          <w:rFonts w:ascii="Arial" w:cs="Arial" w:eastAsia="Arial" w:hAnsi="Arial"/>
          <w:sz w:val="15"/>
          <w:szCs w:val="15"/>
          <w:color w:val="auto"/>
        </w:rPr>
        <w:t>.</w:t>
      </w:r>
    </w:p>
    <w:p>
      <w:pPr>
        <w:spacing w:after="0" w:line="229" w:lineRule="exact"/>
        <w:rPr>
          <w:sz w:val="20"/>
          <w:szCs w:val="20"/>
          <w:color w:val="auto"/>
        </w:rPr>
      </w:pPr>
    </w:p>
    <w:p>
      <w:pPr>
        <w:ind w:firstLine="1735"/>
        <w:spacing w:after="0" w:line="342" w:lineRule="auto"/>
        <w:tabs>
          <w:tab w:leader="none" w:pos="257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As soon as possible, but in any event, not later than the date that is thirty (30) days after the Effective Date, Borrower shall deliver to Bank a Control Agreement in favor of Bank from Chase covering Borrowers accounts nos. x16641, x55100, x93903 at Chase.</w:t>
      </w:r>
    </w:p>
    <w:p>
      <w:pPr>
        <w:spacing w:after="0" w:line="123" w:lineRule="exact"/>
        <w:rPr>
          <w:rFonts w:ascii="Arial" w:cs="Arial" w:eastAsia="Arial" w:hAnsi="Arial"/>
          <w:sz w:val="16"/>
          <w:szCs w:val="16"/>
          <w:color w:val="auto"/>
        </w:rPr>
      </w:pPr>
    </w:p>
    <w:p>
      <w:pPr>
        <w:jc w:val="both"/>
        <w:ind w:right="20" w:firstLine="1735"/>
        <w:spacing w:after="0" w:line="291" w:lineRule="auto"/>
        <w:tabs>
          <w:tab w:leader="none" w:pos="25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As soon as possible, but in any event, not later than the date that is thirty (30) days after the Effective Date, Borrower shall deliver to Bank a landlord’s consent in favor of Bank for Borrower’s leased locations at (i) 2970 Wilderness Place, Suite 100, Boulder, CO 80301 and</w:t>
      </w:r>
    </w:p>
    <w:p>
      <w:pPr>
        <w:ind w:left="280" w:hanging="272"/>
        <w:spacing w:after="0"/>
        <w:tabs>
          <w:tab w:leader="none" w:pos="2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8960 Commerce Dr., De Soto, KS 66018, in each case, by the respective landlord thereof, together with the duly executed signatures thereto.</w:t>
      </w:r>
    </w:p>
    <w:p>
      <w:pPr>
        <w:spacing w:after="0" w:line="218" w:lineRule="exact"/>
        <w:rPr>
          <w:sz w:val="20"/>
          <w:szCs w:val="20"/>
          <w:color w:val="auto"/>
        </w:rPr>
      </w:pPr>
    </w:p>
    <w:p>
      <w:pPr>
        <w:ind w:left="1600" w:hanging="728"/>
        <w:spacing w:after="0"/>
        <w:tabs>
          <w:tab w:leader="none" w:pos="16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b w:val="1"/>
          <w:bCs w:val="1"/>
          <w:color w:val="auto"/>
        </w:rPr>
        <w:t>7.1 Dispositions</w:t>
      </w:r>
      <w:r>
        <w:rPr>
          <w:rFonts w:ascii="Arial" w:cs="Arial" w:eastAsia="Arial" w:hAnsi="Arial"/>
          <w:sz w:val="17"/>
          <w:szCs w:val="17"/>
          <w:color w:val="auto"/>
        </w:rPr>
        <w:t>. Convey, sell, lease, transfer, assign, or otherwise dispose of (including, without limitation, pursuant to a Division)</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 all or any part of its business or property, except for Permitted Transfers.</w:t>
      </w:r>
    </w:p>
    <w:p>
      <w:pPr>
        <w:spacing w:after="0" w:line="14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Changes in Business, Management, Control, or Business Locations</w:t>
      </w:r>
      <w:r>
        <w:rPr>
          <w:rFonts w:ascii="Arial" w:cs="Arial" w:eastAsia="Arial" w:hAnsi="Arial"/>
          <w:sz w:val="16"/>
          <w:szCs w:val="16"/>
          <w:color w:val="auto"/>
        </w:rPr>
        <w:t>. (a) Engage in or permit any of its Subsidiaries to engage in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business other than the businesses currently engaged in by Borrower and such Subsidiary, as applicable, or ancillary, incidental or otherwise reasonably related thereto; (b) liquidate or dissolve; (c) fail to provide notice to Bank of any Key Person departing from or ceasing to be employed by Borrower within five (5) Business Days after such Key Person’s departure from Borrower (provided that to the extent such details are included in materials otherwise filed with the SEC, such notice shall be deemed to have been delivered on the date on which Borrower posts such materials, or provides a link thereto, on Borrower’s website on the internet at Borrower’s website address); or (d) permit or suffer any Change in Control.</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Borrower shall not, without at least ten (10) Business Days prior written notice to Bank (or such shorter period as Bank may agree in writing):</w:t>
      </w:r>
    </w:p>
    <w:p>
      <w:pPr>
        <w:spacing w:after="0" w:line="46" w:lineRule="exact"/>
        <w:rPr>
          <w:sz w:val="20"/>
          <w:szCs w:val="20"/>
          <w:color w:val="auto"/>
        </w:rPr>
      </w:pPr>
    </w:p>
    <w:p>
      <w:pPr>
        <w:jc w:val="both"/>
        <w:ind w:firstLine="8"/>
        <w:spacing w:after="0" w:line="268" w:lineRule="auto"/>
        <w:tabs>
          <w:tab w:leader="none" w:pos="26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 any new offices or business locations, including warehouses (unless such new offices or business locations contain less than Two Hundred Fifty Thousand Dollars ($250,000) in Borrower’s assets or property) or deliver any portion of the Collateral valued, individually or in the aggregate, in excess of Two Hundred Fifty Thousand Dollars ($250,000)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Two Hundred Fifty Thousand Dollars ($250,000) to a bailee, and Bank and such bailee are not already parties to a bailee agreement governing both the Collateral and the location to which Borrower intends to deliver the Collateral, then Borrower will first receive the written consent of Bank, and Borrower shall use commercially reasonable efforts to arrange for such bailee to execute and deliver a bailee agreement in form and substance reasonably satisfactory to Bank.</w:t>
      </w:r>
    </w:p>
    <w:p>
      <w:pPr>
        <w:spacing w:after="0" w:line="17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acquire, or permit any of its Subsidiaries to acquire, all or substantially all of the capital stock or property of another Person (including, without limitation, by the formation of any Subsidiary or pursuant to a Division) (an “</w:t>
      </w:r>
      <w:r>
        <w:rPr>
          <w:rFonts w:ascii="Arial" w:cs="Arial" w:eastAsia="Arial" w:hAnsi="Arial"/>
          <w:sz w:val="18"/>
          <w:szCs w:val="18"/>
          <w:b w:val="1"/>
          <w:bCs w:val="1"/>
          <w:color w:val="auto"/>
        </w:rPr>
        <w:t>Acquisition</w:t>
      </w:r>
      <w:r>
        <w:rPr>
          <w:rFonts w:ascii="Arial" w:cs="Arial" w:eastAsia="Arial" w:hAnsi="Arial"/>
          <w:sz w:val="18"/>
          <w:szCs w:val="18"/>
          <w:color w:val="auto"/>
        </w:rPr>
        <w:t>”), other than Permitted Acquisitions. A Subsidiary may merge or consolidate into another Subsidiary or into Borrower.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7.4</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Indebtedness</w:t>
            </w:r>
            <w:r>
              <w:rPr>
                <w:rFonts w:ascii="Arial" w:cs="Arial" w:eastAsia="Arial" w:hAnsi="Arial"/>
                <w:sz w:val="18"/>
                <w:szCs w:val="18"/>
                <w:color w:val="auto"/>
                <w:w w:val="92"/>
              </w:rPr>
              <w:t>.  Create, incur, assume, or be liable for any Indebtedness, or permit any Subsidiary to do so, other than Permitted</w:t>
            </w:r>
          </w:p>
        </w:tc>
      </w:tr>
      <w:tr>
        <w:trPr>
          <w:trHeight w:val="230"/>
        </w:trPr>
        <w:tc>
          <w:tcPr>
            <w:tcW w:w="1420" w:type="dxa"/>
            <w:vAlign w:val="bottom"/>
          </w:tcPr>
          <w:p>
            <w:pPr>
              <w:jc w:val="right"/>
              <w:ind w:right="330"/>
              <w:spacing w:after="0"/>
              <w:rPr>
                <w:sz w:val="20"/>
                <w:szCs w:val="20"/>
                <w:color w:val="auto"/>
              </w:rPr>
            </w:pPr>
            <w:r>
              <w:rPr>
                <w:rFonts w:ascii="Arial" w:cs="Arial" w:eastAsia="Arial" w:hAnsi="Arial"/>
                <w:sz w:val="18"/>
                <w:szCs w:val="18"/>
                <w:color w:val="auto"/>
                <w:w w:val="86"/>
              </w:rPr>
              <w:t>Indebtedness.</w:t>
            </w:r>
          </w:p>
        </w:tc>
        <w:tc>
          <w:tcPr>
            <w:tcW w:w="9820" w:type="dxa"/>
            <w:vAlign w:val="bottom"/>
          </w:tcPr>
          <w:p>
            <w:pPr>
              <w:spacing w:after="0"/>
              <w:rPr>
                <w:sz w:val="20"/>
                <w:szCs w:val="20"/>
                <w:color w:val="auto"/>
              </w:rPr>
            </w:pPr>
          </w:p>
        </w:tc>
      </w:tr>
      <w:tr>
        <w:trPr>
          <w:trHeight w:val="432"/>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7.5</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Encumbrance</w:t>
            </w:r>
            <w:r>
              <w:rPr>
                <w:rFonts w:ascii="Arial" w:cs="Arial" w:eastAsia="Arial" w:hAnsi="Arial"/>
                <w:sz w:val="18"/>
                <w:szCs w:val="18"/>
                <w:color w:val="auto"/>
                <w:w w:val="92"/>
              </w:rPr>
              <w:t>. (a) Create, incur, allow, or suffer any Lien on any of its property, or assign or convey any right to receive income,</w:t>
            </w:r>
          </w:p>
        </w:tc>
      </w:tr>
    </w:tbl>
    <w:p>
      <w:pPr>
        <w:jc w:val="both"/>
        <w:spacing w:after="0" w:line="253" w:lineRule="auto"/>
        <w:rPr>
          <w:sz w:val="20"/>
          <w:szCs w:val="20"/>
          <w:color w:val="auto"/>
        </w:rPr>
      </w:pPr>
      <w:r>
        <w:rPr>
          <w:rFonts w:ascii="Arial" w:cs="Arial" w:eastAsia="Arial" w:hAnsi="Arial"/>
          <w:sz w:val="18"/>
          <w:szCs w:val="18"/>
          <w:color w:val="auto"/>
        </w:rPr>
        <w:t>including the sale of any Accounts, or permit any of its Subsidiaries to do so, (b) permit any Collateral not to be subject to the first priority security interest granted herein, or (c)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in the case of each of clauses (a), (b) and (c), as is otherwise permitted in Section 7.1 hereof and the definition of “Permitted Liens” herein.</w:t>
      </w:r>
    </w:p>
    <w:p>
      <w:pPr>
        <w:sectPr>
          <w:pgSz w:w="11900" w:h="16838" w:orient="portrait"/>
          <w:cols w:equalWidth="0" w:num="1">
            <w:col w:w="11240"/>
          </w:cols>
          <w:pgMar w:left="320" w:top="337" w:right="339" w:bottom="1440" w:gutter="0" w:footer="0" w:header="0"/>
        </w:sectPr>
      </w:pPr>
    </w:p>
    <w:p>
      <w:pPr>
        <w:spacing w:after="0" w:line="187"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7.6</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Maintenance of Collateral Accounts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Maintain any Collateral Account except as permitted pursuant to the terms of Section</w:t>
      </w:r>
    </w:p>
    <w:p>
      <w:pPr>
        <w:spacing w:after="0" w:line="35" w:lineRule="exact"/>
        <w:rPr>
          <w:sz w:val="20"/>
          <w:szCs w:val="20"/>
          <w:color w:val="auto"/>
        </w:rPr>
      </w:pPr>
    </w:p>
    <w:p>
      <w:pPr>
        <w:sectPr>
          <w:pgSz w:w="11900" w:h="16838" w:orient="portrait"/>
          <w:cols w:equalWidth="0" w:num="3">
            <w:col w:w="1100" w:space="640"/>
            <w:col w:w="2880" w:space="140"/>
            <w:col w:w="648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color w:val="auto"/>
        </w:rPr>
        <w:t>6.6(c) hereof.</w:t>
      </w:r>
    </w:p>
    <w:p>
      <w:pPr>
        <w:sectPr>
          <w:pgSz w:w="11900" w:h="16838" w:orient="portrait"/>
          <w:cols w:equalWidth="0" w:num="1">
            <w:col w:w="11240"/>
          </w:cols>
          <w:pgMar w:left="320" w:top="337" w:right="339" w:bottom="1440" w:gutter="0" w:footer="0" w:header="0"/>
          <w:type w:val="continuous"/>
        </w:sectPr>
      </w:pPr>
    </w:p>
    <w:p>
      <w:pPr>
        <w:spacing w:after="0" w:line="230"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7.7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stock except: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 Investments</w:t>
      </w:r>
      <w:r>
        <w:rPr>
          <w:rFonts w:ascii="Arial" w:cs="Arial" w:eastAsia="Arial" w:hAnsi="Arial"/>
          <w:sz w:val="16"/>
          <w:szCs w:val="16"/>
          <w:color w:val="auto"/>
        </w:rPr>
        <w:t>. (a) Pay any dividends or make any distribution or payment or redeem, retire or purchase any capital</w:t>
      </w:r>
    </w:p>
    <w:p>
      <w:pPr>
        <w:spacing w:after="0" w:line="457" w:lineRule="exact"/>
        <w:rPr>
          <w:sz w:val="20"/>
          <w:szCs w:val="20"/>
          <w:color w:val="auto"/>
        </w:rPr>
      </w:pPr>
    </w:p>
    <w:p>
      <w:pPr>
        <w:sectPr>
          <w:pgSz w:w="11900" w:h="16838" w:orient="portrait"/>
          <w:cols w:equalWidth="0" w:num="2">
            <w:col w:w="1100" w:space="640"/>
            <w:col w:w="9500"/>
          </w:cols>
          <w:pgMar w:left="320" w:top="337" w:right="339" w:bottom="1440" w:gutter="0" w:footer="0" w:header="0"/>
          <w:type w:val="continuous"/>
        </w:sectPr>
      </w:pPr>
    </w:p>
    <w:p>
      <w:pPr>
        <w:spacing w:after="0" w:line="11" w:lineRule="exact"/>
        <w:rPr>
          <w:sz w:val="20"/>
          <w:szCs w:val="20"/>
          <w:color w:val="auto"/>
        </w:rPr>
      </w:pPr>
    </w:p>
    <w:p>
      <w:pPr>
        <w:ind w:firstLine="2600"/>
        <w:spacing w:after="0" w:line="277" w:lineRule="auto"/>
        <w:tabs>
          <w:tab w:leader="none" w:pos="3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Borrower may convert any of its convertible securities or Subordinated Debt into other securities pursuant to the terms of such convertible securities or Subordinated Debt or otherwise in exchange thereof;</w:t>
      </w:r>
    </w:p>
    <w:p>
      <w:pPr>
        <w:spacing w:after="0" w:line="170" w:lineRule="exact"/>
        <w:rPr>
          <w:rFonts w:ascii="Arial" w:cs="Arial" w:eastAsia="Arial" w:hAnsi="Arial"/>
          <w:sz w:val="18"/>
          <w:szCs w:val="18"/>
          <w:color w:val="auto"/>
        </w:rPr>
      </w:pPr>
    </w:p>
    <w:p>
      <w:pPr>
        <w:ind w:firstLine="2600"/>
        <w:spacing w:after="0" w:line="277" w:lineRule="auto"/>
        <w:tabs>
          <w:tab w:leader="none" w:pos="3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Borrower or any Subsidiary may pay dividends solely in Equity Interests of Borrower or Subsidiary, and any Subsidiary may pay cash distributions to Borrower or any other Subsidiary;</w:t>
      </w:r>
    </w:p>
    <w:p>
      <w:pPr>
        <w:spacing w:after="0" w:line="170" w:lineRule="exact"/>
        <w:rPr>
          <w:rFonts w:ascii="Arial" w:cs="Arial" w:eastAsia="Arial" w:hAnsi="Arial"/>
          <w:sz w:val="18"/>
          <w:szCs w:val="18"/>
          <w:color w:val="auto"/>
        </w:rPr>
      </w:pPr>
    </w:p>
    <w:p>
      <w:pPr>
        <w:jc w:val="both"/>
        <w:ind w:right="20" w:firstLine="2600"/>
        <w:spacing w:after="0" w:line="286" w:lineRule="auto"/>
        <w:tabs>
          <w:tab w:leader="none" w:pos="351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w:t>
      </w:r>
    </w:p>
    <w:p>
      <w:pPr>
        <w:spacing w:after="0" w:line="165" w:lineRule="exact"/>
        <w:rPr>
          <w:rFonts w:ascii="Arial" w:cs="Arial" w:eastAsia="Arial" w:hAnsi="Arial"/>
          <w:sz w:val="17"/>
          <w:szCs w:val="17"/>
          <w:color w:val="auto"/>
        </w:rPr>
      </w:pPr>
    </w:p>
    <w:p>
      <w:pPr>
        <w:ind w:left="3500" w:hanging="900"/>
        <w:spacing w:after="0"/>
        <w:tabs>
          <w:tab w:leader="none" w:pos="3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Borrower or any Subsidiary may make cash payments in lieu of fractional shares;</w:t>
      </w:r>
    </w:p>
    <w:p>
      <w:pPr>
        <w:spacing w:after="0" w:line="225" w:lineRule="exact"/>
        <w:rPr>
          <w:rFonts w:ascii="Arial" w:cs="Arial" w:eastAsia="Arial" w:hAnsi="Arial"/>
          <w:sz w:val="18"/>
          <w:szCs w:val="18"/>
          <w:color w:val="auto"/>
        </w:rPr>
      </w:pPr>
    </w:p>
    <w:p>
      <w:pPr>
        <w:ind w:left="3460" w:hanging="860"/>
        <w:spacing w:after="0"/>
        <w:tabs>
          <w:tab w:leader="none" w:pos="3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Borrower may purchase, redeem, retire, or otherwise acquire its Equity Interests with the proceeds received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a substantially concurrent issue of new Equity Interests, provided that no Event of Default has occurred or would result therefrom;</w:t>
      </w:r>
    </w:p>
    <w:p>
      <w:pPr>
        <w:spacing w:after="0" w:line="210" w:lineRule="exact"/>
        <w:rPr>
          <w:rFonts w:ascii="Arial" w:cs="Arial" w:eastAsia="Arial" w:hAnsi="Arial"/>
          <w:sz w:val="16"/>
          <w:szCs w:val="16"/>
          <w:color w:val="auto"/>
        </w:rPr>
      </w:pPr>
    </w:p>
    <w:p>
      <w:pPr>
        <w:jc w:val="both"/>
        <w:ind w:firstLine="2600"/>
        <w:spacing w:after="0" w:line="279" w:lineRule="auto"/>
        <w:tabs>
          <w:tab w:leader="none" w:pos="3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Borrower may purchase, redeem, retire, or otherwise acquire its Equity Interests in an amount necessary to exercise its Call Option under (and as defined in) the Integrated Diagnostics APA if Borrower’s board of directors elects to exercise such Call Option, provided that (x) no Event of Default has occurred and is continuing or would result therefrom and (y) after giving pro forma effect to the consummation of such purchase, redemption, retirement or other acquisition, Remaining Months Liquidity is equal to at least twelve (12);</w:t>
      </w:r>
    </w:p>
    <w:p>
      <w:pPr>
        <w:spacing w:after="0" w:line="171" w:lineRule="exact"/>
        <w:rPr>
          <w:rFonts w:ascii="Arial" w:cs="Arial" w:eastAsia="Arial" w:hAnsi="Arial"/>
          <w:sz w:val="17"/>
          <w:szCs w:val="17"/>
          <w:color w:val="auto"/>
        </w:rPr>
      </w:pPr>
    </w:p>
    <w:p>
      <w:pPr>
        <w:jc w:val="both"/>
        <w:ind w:firstLine="2600"/>
        <w:spacing w:after="0" w:line="259" w:lineRule="auto"/>
        <w:tabs>
          <w:tab w:leader="none" w:pos="35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Borrower may additionally purchase, redeem, retire, or otherwise acquire its Equity Interests in an amount necessary to satisfy its obligation under the Integrated Diagnostics APA if Integrated Diagnostics elects to exercise the Put Option (as defined in the Integrated Diagnostics APA), provided that no Event of Default has occurred and is continuing or would occur immediately after giving effect thereto as of the date of exercise of such Put Option; or</w:t>
      </w:r>
    </w:p>
    <w:p>
      <w:pPr>
        <w:spacing w:after="0" w:line="186" w:lineRule="exact"/>
        <w:rPr>
          <w:rFonts w:ascii="Arial" w:cs="Arial" w:eastAsia="Arial" w:hAnsi="Arial"/>
          <w:sz w:val="18"/>
          <w:szCs w:val="18"/>
          <w:color w:val="auto"/>
        </w:rPr>
      </w:pPr>
    </w:p>
    <w:p>
      <w:pPr>
        <w:jc w:val="both"/>
        <w:ind w:firstLine="2600"/>
        <w:spacing w:after="0" w:line="263" w:lineRule="auto"/>
        <w:tabs>
          <w:tab w:leader="none" w:pos="3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Borrower may repurchase from managers, officers or employees pursuant to the terms of share purchase plans, restricted share purchase agreements or other similar agreements in an aggregate amount not to exceed Two Hundred Fifty Thousand Dollars ($250,000) in any fiscal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or (b) directly or indirectly make any Investment (including, without limitation, by the formation of any Subsidiary) other than Permitted Investments, or permit any of its Subsidiaries to do so.</w:t>
      </w:r>
    </w:p>
    <w:p>
      <w:pPr>
        <w:spacing w:after="0" w:line="16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Transactions with Affiliates</w:t>
      </w:r>
      <w:r>
        <w:rPr>
          <w:rFonts w:ascii="Arial" w:cs="Arial" w:eastAsia="Arial" w:hAnsi="Arial"/>
          <w:sz w:val="17"/>
          <w:szCs w:val="17"/>
          <w:color w:val="auto"/>
        </w:rPr>
        <w:t>.  Directly or indirectly enter into or permit to exist any material transaction with any Affiliate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Borrower (other than by and among the Borrower and/or any Subsidiary that is a co-Borrower or secured Guarantor hereunder), except:</w:t>
      </w:r>
    </w:p>
    <w:p>
      <w:pPr>
        <w:spacing w:after="0" w:line="211" w:lineRule="exact"/>
        <w:rPr>
          <w:sz w:val="20"/>
          <w:szCs w:val="20"/>
          <w:color w:val="auto"/>
        </w:rPr>
      </w:pPr>
    </w:p>
    <w:p>
      <w:pPr>
        <w:ind w:firstLine="1735"/>
        <w:spacing w:after="0" w:line="277" w:lineRule="auto"/>
        <w:tabs>
          <w:tab w:leader="none" w:pos="25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that are in the ordinary course of Borrower’s business, upon fair and reasonable terms that are no less favorable to Borrower than could reasonably be obtained in an arm’s length transaction with a non-affiliated Person;</w:t>
      </w:r>
    </w:p>
    <w:p>
      <w:pPr>
        <w:spacing w:after="0" w:line="170" w:lineRule="exact"/>
        <w:rPr>
          <w:rFonts w:ascii="Arial" w:cs="Arial" w:eastAsia="Arial" w:hAnsi="Arial"/>
          <w:sz w:val="18"/>
          <w:szCs w:val="18"/>
          <w:color w:val="auto"/>
        </w:rPr>
      </w:pPr>
    </w:p>
    <w:p>
      <w:pPr>
        <w:ind w:firstLine="1735"/>
        <w:spacing w:after="0" w:line="277" w:lineRule="auto"/>
        <w:tabs>
          <w:tab w:leader="none" w:pos="25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customary compensation and indemnification of, and other employment arrangements approved by Borrower’s board of directors with, directors, officers and employees of Borrower or any of its Subsidiaries in the ordinary course of business;</w:t>
      </w:r>
    </w:p>
    <w:p>
      <w:pPr>
        <w:spacing w:after="0" w:line="170" w:lineRule="exact"/>
        <w:rPr>
          <w:rFonts w:ascii="Arial" w:cs="Arial" w:eastAsia="Arial" w:hAnsi="Arial"/>
          <w:sz w:val="18"/>
          <w:szCs w:val="18"/>
          <w:color w:val="auto"/>
        </w:rPr>
      </w:pPr>
    </w:p>
    <w:p>
      <w:pPr>
        <w:jc w:val="both"/>
        <w:ind w:firstLine="1735"/>
        <w:spacing w:after="0" w:line="286" w:lineRule="auto"/>
        <w:tabs>
          <w:tab w:leader="none" w:pos="25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subject to limitations set forth in this Agreement regarding the payment of directors fees, reasonable and customary director, officer and employee compensation (including bonuses and stock option programs) and benefits arrangements, in each case, in the ordinary course of business and approved by the board of directors (or equivalent managing body) (or a committee thereof) of Borrower; and</w:t>
      </w:r>
    </w:p>
    <w:p>
      <w:pPr>
        <w:spacing w:after="0" w:line="165" w:lineRule="exact"/>
        <w:rPr>
          <w:rFonts w:ascii="Arial" w:cs="Arial" w:eastAsia="Arial" w:hAnsi="Arial"/>
          <w:sz w:val="17"/>
          <w:szCs w:val="17"/>
          <w:color w:val="auto"/>
        </w:rPr>
      </w:pPr>
    </w:p>
    <w:p>
      <w:pPr>
        <w:ind w:left="2600" w:hanging="865"/>
        <w:spacing w:after="0"/>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permitted by Section 7.7, to the extent permitted thereunder.</w:t>
      </w:r>
    </w:p>
    <w:p>
      <w:pPr>
        <w:spacing w:after="0" w:line="221"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(a) Make or permit any payment on any Subordinated Debt, except as permitted under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Secured Obligations owed to Bank.</w:t>
      </w:r>
    </w:p>
    <w:p>
      <w:pPr>
        <w:spacing w:after="0" w:line="18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 company”, under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give notice to the Pension Benefit Guaranty Corporation of a Reportable Event (as defined in ERISA) for which Borrower is required to give notice, or (c) comply with the Federal Labor Standards Act, the failure of any of the conditions in clauses (a) through</w:t>
      </w:r>
    </w:p>
    <w:p>
      <w:pPr>
        <w:spacing w:after="0" w:line="2" w:lineRule="exact"/>
        <w:rPr>
          <w:sz w:val="20"/>
          <w:szCs w:val="20"/>
          <w:color w:val="auto"/>
        </w:rPr>
      </w:pPr>
    </w:p>
    <w:p>
      <w:pPr>
        <w:jc w:val="both"/>
        <w:ind w:firstLine="8"/>
        <w:spacing w:after="0" w:line="253" w:lineRule="auto"/>
        <w:tabs>
          <w:tab w:leader="none" w:pos="2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which could reasonably be expected to have a Material Adverse Effect, or violate any other law or regulation, if the violation could reasonably be expected to have a Material Adverse Effect or permit any Subsidiaries to do so; withdraw or permit any Subsidiary to withdraw from participation in or permit partial or complete termination of any Plan which could reasonably be expected to result in any liability of Borrower including any liability to the Pension Benefit Guaranty Corporation or its successors or any other governmental agency in excess of Five Hundred Thousand Dollars ($500,000), individually or in the aggregate.</w:t>
      </w:r>
    </w:p>
    <w:p>
      <w:pPr>
        <w:spacing w:after="0" w:line="187" w:lineRule="exact"/>
        <w:rPr>
          <w:sz w:val="20"/>
          <w:szCs w:val="20"/>
          <w:color w:val="auto"/>
        </w:rPr>
      </w:pPr>
    </w:p>
    <w:p>
      <w:pPr>
        <w:ind w:left="1600" w:hanging="728"/>
        <w:spacing w:after="0"/>
        <w:tabs>
          <w:tab w:leader="none" w:pos="16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b w:val="1"/>
          <w:bCs w:val="1"/>
          <w:color w:val="auto"/>
        </w:rPr>
        <w:t>8.1 Payment Default</w:t>
      </w:r>
      <w:r>
        <w:rPr>
          <w:rFonts w:ascii="Arial" w:cs="Arial" w:eastAsia="Arial" w:hAnsi="Arial"/>
          <w:sz w:val="16"/>
          <w:szCs w:val="16"/>
          <w:color w:val="auto"/>
        </w:rPr>
        <w:t>. Borrower fails to (a) make any payment of principal on any Credit Extension when due, or (b) pay interest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Loan Advance or any other Secured Obligations within three (3) Business Days after such Secured Obligations are due and payable (which three</w:t>
      </w:r>
    </w:p>
    <w:p>
      <w:pPr>
        <w:spacing w:after="0" w:line="1" w:lineRule="exact"/>
        <w:rPr>
          <w:sz w:val="20"/>
          <w:szCs w:val="20"/>
          <w:color w:val="auto"/>
        </w:rPr>
      </w:pPr>
    </w:p>
    <w:p>
      <w:pPr>
        <w:ind w:firstLine="8"/>
        <w:spacing w:after="0" w:line="290" w:lineRule="auto"/>
        <w:tabs>
          <w:tab w:leader="none" w:pos="2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880"/>
        <w:spacing w:after="0"/>
        <w:tabs>
          <w:tab w:leader="none" w:pos="17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229" w:lineRule="exact"/>
        <w:rPr>
          <w:sz w:val="20"/>
          <w:szCs w:val="20"/>
          <w:color w:val="auto"/>
        </w:rPr>
      </w:pPr>
    </w:p>
    <w:p>
      <w:pPr>
        <w:ind w:left="2580" w:hanging="845"/>
        <w:spacing w:after="0"/>
        <w:tabs>
          <w:tab w:leader="none" w:pos="2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6.4, 6.5, 6.6, 6.7, 6.8(b), 6.10, 6.11 or violates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covenant in Section 7; or</w:t>
      </w:r>
    </w:p>
    <w:p>
      <w:pPr>
        <w:spacing w:after="0" w:line="210" w:lineRule="exact"/>
        <w:rPr>
          <w:rFonts w:ascii="Arial" w:cs="Arial" w:eastAsia="Arial" w:hAnsi="Arial"/>
          <w:sz w:val="16"/>
          <w:szCs w:val="16"/>
          <w:color w:val="auto"/>
        </w:rPr>
      </w:pPr>
    </w:p>
    <w:p>
      <w:pPr>
        <w:jc w:val="both"/>
        <w:ind w:firstLine="1735"/>
        <w:spacing w:after="0" w:line="271" w:lineRule="auto"/>
        <w:tabs>
          <w:tab w:leader="none" w:pos="25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Business Days after the occurrence thereof; provided, however, that if the default cannot by its nature be cured within the ten (10) Business Day period or cannot after diligent attempts by Borrower be cured within such ten (10) Business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8.3</w:t>
            </w:r>
          </w:p>
        </w:tc>
        <w:tc>
          <w:tcPr>
            <w:tcW w:w="4980" w:type="dxa"/>
            <w:vAlign w:val="bottom"/>
          </w:tcPr>
          <w:p>
            <w:pPr>
              <w:ind w:left="320"/>
              <w:spacing w:after="0"/>
              <w:rPr>
                <w:sz w:val="20"/>
                <w:szCs w:val="20"/>
                <w:color w:val="auto"/>
              </w:rPr>
            </w:pPr>
            <w:r>
              <w:rPr>
                <w:rFonts w:ascii="Arial" w:cs="Arial" w:eastAsia="Arial" w:hAnsi="Arial"/>
                <w:sz w:val="18"/>
                <w:szCs w:val="18"/>
                <w:b w:val="1"/>
                <w:bCs w:val="1"/>
                <w:color w:val="auto"/>
                <w:w w:val="91"/>
              </w:rPr>
              <w:t>Material Adverse Change</w:t>
            </w:r>
            <w:r>
              <w:rPr>
                <w:rFonts w:ascii="Arial" w:cs="Arial" w:eastAsia="Arial" w:hAnsi="Arial"/>
                <w:sz w:val="18"/>
                <w:szCs w:val="18"/>
                <w:color w:val="auto"/>
                <w:w w:val="91"/>
              </w:rPr>
              <w:t>. A Material Adverse Change occurs;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8.4</w:t>
            </w:r>
          </w:p>
        </w:tc>
        <w:tc>
          <w:tcPr>
            <w:tcW w:w="4980" w:type="dxa"/>
            <w:vAlign w:val="bottom"/>
          </w:tcPr>
          <w:p>
            <w:pPr>
              <w:ind w:left="320"/>
              <w:spacing w:after="0"/>
              <w:rPr>
                <w:sz w:val="20"/>
                <w:szCs w:val="20"/>
                <w:color w:val="auto"/>
              </w:rPr>
            </w:pPr>
            <w:r>
              <w:rPr>
                <w:rFonts w:ascii="Arial" w:cs="Arial" w:eastAsia="Arial" w:hAnsi="Arial"/>
                <w:sz w:val="18"/>
                <w:szCs w:val="18"/>
                <w:b w:val="1"/>
                <w:bCs w:val="1"/>
                <w:color w:val="auto"/>
              </w:rPr>
              <w:t>Attachment; Levy; Restraint on Business</w:t>
            </w:r>
            <w:r>
              <w:rPr>
                <w:rFonts w:ascii="Arial" w:cs="Arial" w:eastAsia="Arial" w:hAnsi="Arial"/>
                <w:sz w:val="18"/>
                <w:szCs w:val="18"/>
                <w:color w:val="auto"/>
              </w:rPr>
              <w:t>.</w:t>
            </w:r>
          </w:p>
        </w:tc>
      </w:tr>
    </w:tbl>
    <w:p>
      <w:pPr>
        <w:spacing w:after="0" w:line="202" w:lineRule="exact"/>
        <w:rPr>
          <w:sz w:val="20"/>
          <w:szCs w:val="20"/>
          <w:color w:val="auto"/>
        </w:rPr>
      </w:pPr>
    </w:p>
    <w:p>
      <w:pPr>
        <w:jc w:val="both"/>
        <w:ind w:firstLine="1735"/>
        <w:spacing w:after="0" w:line="301" w:lineRule="auto"/>
        <w:tabs>
          <w:tab w:leader="none" w:pos="2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Business Days after the occurrence thereof, discharged or stayed (whether through the posting of a bond or otherwise); provided, however, no Credit Extensions shall be made during any ten (10) Business Day cure period; or</w:t>
      </w:r>
    </w:p>
    <w:p>
      <w:pPr>
        <w:spacing w:after="0" w:line="157" w:lineRule="exact"/>
        <w:rPr>
          <w:rFonts w:ascii="Arial" w:cs="Arial" w:eastAsia="Arial" w:hAnsi="Arial"/>
          <w:sz w:val="16"/>
          <w:szCs w:val="16"/>
          <w:color w:val="auto"/>
        </w:rPr>
      </w:pPr>
    </w:p>
    <w:p>
      <w:pPr>
        <w:ind w:firstLine="1735"/>
        <w:spacing w:after="0" w:line="277" w:lineRule="auto"/>
        <w:tabs>
          <w:tab w:leader="none" w:pos="25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(a) Borrower or any of its Subsidiaries is unable to pay its debts (including trade debts) as they become due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80"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under any agreement to which Borrower or any Guarantor is a party with a third party or parties, (a)</w:t>
      </w:r>
      <w:r>
        <w:rPr>
          <w:rFonts w:ascii="Arial" w:cs="Arial" w:eastAsia="Arial" w:hAnsi="Arial"/>
          <w:sz w:val="17"/>
          <w:szCs w:val="17"/>
          <w:b w:val="1"/>
          <w:bCs w:val="1"/>
          <w:color w:val="auto"/>
        </w:rPr>
        <w:t xml:space="preserve"> </w:t>
      </w:r>
      <w:r>
        <w:rPr>
          <w:rFonts w:ascii="Arial" w:cs="Arial" w:eastAsia="Arial" w:hAnsi="Arial"/>
          <w:sz w:val="17"/>
          <w:szCs w:val="17"/>
          <w:color w:val="auto"/>
        </w:rPr>
        <w:t>any default resulting in a right by such third party or parties, whether or not exercised, after giving effect to any grace or notice period, to accelerate the maturity of any Indebtedness in an amount individually or in the aggregate in excess of Five Hundred Thousand Dollars ($500,000); or (b) any breach or default by Borrower or Guarantor, the result of which could reasonably be expected to have a Material Adverse Effect;</w:t>
      </w:r>
    </w:p>
    <w:p>
      <w:pPr>
        <w:spacing w:after="0" w:line="16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8.7 Judgments; Penalties</w:t>
      </w:r>
      <w:r>
        <w:rPr>
          <w:rFonts w:ascii="Arial" w:cs="Arial" w:eastAsia="Arial" w:hAnsi="Arial"/>
          <w:sz w:val="17"/>
          <w:szCs w:val="17"/>
          <w:color w:val="auto"/>
        </w:rPr>
        <w:t>. One or more fines, penalties or final judgments, orders or decrees for the payment of money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of at least Five Hundred Thousand Dollars ($500,000) (not covered by independent third-party insurance or indemnity as to which liability has been accepted by such insurance carrier or indemnifying party) shall be rendered against Borrower by any Governmental Authority, and the same are not, within ten (10) Business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864"/>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w:t>
      </w:r>
      <w:r>
        <w:rPr>
          <w:rFonts w:ascii="Arial" w:cs="Arial" w:eastAsia="Arial" w:hAnsi="Arial"/>
          <w:sz w:val="18"/>
          <w:szCs w:val="18"/>
          <w:b w:val="1"/>
          <w:bCs w:val="1"/>
          <w:color w:val="auto"/>
        </w:rPr>
        <w:t xml:space="preserve"> </w:t>
      </w:r>
      <w:r>
        <w:rPr>
          <w:rFonts w:ascii="Arial" w:cs="Arial" w:eastAsia="Arial" w:hAnsi="Arial"/>
          <w:sz w:val="18"/>
          <w:szCs w:val="18"/>
          <w:color w:val="auto"/>
        </w:rPr>
        <w:t>later in this 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8.9 Subordinated Debt</w:t>
      </w:r>
      <w:r>
        <w:rPr>
          <w:rFonts w:ascii="Arial" w:cs="Arial" w:eastAsia="Arial" w:hAnsi="Arial"/>
          <w:sz w:val="17"/>
          <w:szCs w:val="17"/>
          <w:color w:val="auto"/>
        </w:rPr>
        <w:t>. Any document, instrument, or agreement evidencing any Subordinated Debt shall for any reason be revoked</w:t>
      </w:r>
      <w:r>
        <w:rPr>
          <w:rFonts w:ascii="Arial" w:cs="Arial" w:eastAsia="Arial" w:hAnsi="Arial"/>
          <w:sz w:val="17"/>
          <w:szCs w:val="17"/>
          <w:b w:val="1"/>
          <w:bCs w:val="1"/>
          <w:color w:val="auto"/>
        </w:rPr>
        <w:t xml:space="preserve"> </w:t>
      </w:r>
      <w:r>
        <w:rPr>
          <w:rFonts w:ascii="Arial" w:cs="Arial" w:eastAsia="Arial" w:hAnsi="Arial"/>
          <w:sz w:val="17"/>
          <w:szCs w:val="17"/>
          <w:color w:val="auto"/>
        </w:rPr>
        <w:t>or invalidated or otherwise cease to be in full force and effect, any Person shall be in breach thereof or contest in any manner the validity or enforceability thereof or deny that it has any further liability or obligation thereunder, or the Secured Obligations shall for any reason be subordinated or shall not have the priority contemplated by this Agreement or the applicable subordination or intercreditor agreement;</w:t>
      </w:r>
    </w:p>
    <w:p>
      <w:pPr>
        <w:spacing w:after="0" w:line="16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7"/>
          <w:szCs w:val="17"/>
          <w:b w:val="1"/>
          <w:bCs w:val="1"/>
          <w:color w:val="auto"/>
        </w:rPr>
        <w:t>8.10 Guaranty</w:t>
      </w:r>
      <w:r>
        <w:rPr>
          <w:rFonts w:ascii="Arial" w:cs="Arial" w:eastAsia="Arial" w:hAnsi="Arial"/>
          <w:sz w:val="17"/>
          <w:szCs w:val="17"/>
          <w:color w:val="auto"/>
        </w:rPr>
        <w:t>. (a) Any guaranty of any Secured Obligations terminates or ceases for any reason to be in full force and effect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pursuant to the express terms thereof; (b) any Guarantor does not perform any obligation or covenant under any guaranty of the Secured Obligations;</w:t>
      </w:r>
    </w:p>
    <w:p>
      <w:pPr>
        <w:spacing w:after="0" w:line="1" w:lineRule="exact"/>
        <w:rPr>
          <w:sz w:val="20"/>
          <w:szCs w:val="20"/>
          <w:color w:val="auto"/>
        </w:rPr>
      </w:pPr>
    </w:p>
    <w:p>
      <w:pPr>
        <w:jc w:val="both"/>
        <w:ind w:firstLine="8"/>
        <w:spacing w:after="0" w:line="255" w:lineRule="auto"/>
        <w:tabs>
          <w:tab w:leader="none" w:pos="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circumstance described in Sections 8.3, 8.4, 8.5, 8.7, or 8.8 occurs with respect to any Guarantor, (d) the death, liquidation, winding up, or termination of existence of any Guarantor to the extent not permitted in this Agreement or the other Loan Documents; or (e) a material impairment in the perfection or priority of Bank’s Lien in the Collateral provided by Guarantor or in the value of such Collateral;</w:t>
      </w:r>
    </w:p>
    <w:p>
      <w:pPr>
        <w:spacing w:after="0" w:line="18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(a) revoked, rescinded, suspended, modified in an</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causes, or could reasonably be expected to cause, a Material Adverse Change; or</w:t>
      </w:r>
    </w:p>
    <w:p>
      <w:pPr>
        <w:spacing w:after="0" w:line="183"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There is a material impairment in the priority of Bank’s security interest in the Collateral (other than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or inaction by Bank).</w:t>
      </w:r>
    </w:p>
    <w:p>
      <w:pPr>
        <w:spacing w:after="0" w:line="162" w:lineRule="exact"/>
        <w:rPr>
          <w:sz w:val="20"/>
          <w:szCs w:val="20"/>
          <w:color w:val="auto"/>
        </w:rPr>
      </w:pPr>
    </w:p>
    <w:p>
      <w:pPr>
        <w:ind w:left="1600" w:hanging="728"/>
        <w:spacing w:after="0"/>
        <w:tabs>
          <w:tab w:leader="none" w:pos="16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right="20" w:firstLine="864"/>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166" w:lineRule="exact"/>
        <w:rPr>
          <w:sz w:val="20"/>
          <w:szCs w:val="20"/>
          <w:color w:val="auto"/>
        </w:rPr>
      </w:pPr>
    </w:p>
    <w:p>
      <w:pPr>
        <w:ind w:firstLine="1735"/>
        <w:spacing w:after="0" w:line="277" w:lineRule="auto"/>
        <w:tabs>
          <w:tab w:leader="none" w:pos="25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declare all Secured Obligations immediately due and payable (but if an Event of Default described in Section 8.5 occurs all Secured Obligations are immediately due and payable without any action by Bank);</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between Borrower and Bank;</w:t>
      </w:r>
    </w:p>
    <w:p>
      <w:pPr>
        <w:spacing w:after="0" w:line="210" w:lineRule="exact"/>
        <w:rPr>
          <w:rFonts w:ascii="Arial" w:cs="Arial" w:eastAsia="Arial" w:hAnsi="Arial"/>
          <w:sz w:val="16"/>
          <w:szCs w:val="16"/>
          <w:color w:val="auto"/>
        </w:rPr>
      </w:pPr>
    </w:p>
    <w:p>
      <w:pPr>
        <w:jc w:val="both"/>
        <w:ind w:firstLine="1735"/>
        <w:spacing w:after="0" w:line="293" w:lineRule="auto"/>
        <w:tabs>
          <w:tab w:leader="none" w:pos="25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demand that Borrower (i) deposit cash with Bank in an amount equal to (x) if such Letters of Credit are denominated in Dollars, then at least one hundred five percent (105.0%) and (y) if such Letters of Credit are denominated in a Foreign Currency, then at least one hundred ten percent (110.0%), of the Dollar Equivalent of the aggregate face amount of all Letters of Credit remaining undrawn (plus all interest, fees, and costs due or to become due with respect thereto (as estimated by Bank in its good faith business judgment)), to secure all of the Secured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64" w:lineRule="exact"/>
        <w:rPr>
          <w:rFonts w:ascii="Arial" w:cs="Arial" w:eastAsia="Arial" w:hAnsi="Arial"/>
          <w:sz w:val="16"/>
          <w:szCs w:val="16"/>
          <w:color w:val="auto"/>
        </w:rPr>
      </w:pPr>
    </w:p>
    <w:p>
      <w:pPr>
        <w:ind w:left="2600" w:hanging="865"/>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ind w:firstLine="1735"/>
        <w:spacing w:after="0" w:line="277" w:lineRule="auto"/>
        <w:tabs>
          <w:tab w:leader="none" w:pos="25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terms and in any order that Bank, in its good faith business judgment, considers advisable, and notify any Person owing Borrower money of Bank’s security interest in such funds;</w:t>
      </w:r>
    </w:p>
    <w:p>
      <w:pPr>
        <w:spacing w:after="0" w:line="170" w:lineRule="exact"/>
        <w:rPr>
          <w:sz w:val="20"/>
          <w:szCs w:val="20"/>
          <w:color w:val="auto"/>
        </w:rPr>
      </w:pPr>
    </w:p>
    <w:p>
      <w:pPr>
        <w:jc w:val="both"/>
        <w:ind w:firstLine="1735"/>
        <w:spacing w:after="0" w:line="257" w:lineRule="auto"/>
        <w:tabs>
          <w:tab w:leader="none" w:pos="25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7" w:lineRule="exact"/>
        <w:rPr>
          <w:rFonts w:ascii="Arial" w:cs="Arial" w:eastAsia="Arial" w:hAnsi="Arial"/>
          <w:sz w:val="18"/>
          <w:szCs w:val="18"/>
          <w:color w:val="auto"/>
        </w:rPr>
      </w:pPr>
    </w:p>
    <w:p>
      <w:pPr>
        <w:ind w:firstLine="1735"/>
        <w:spacing w:after="0" w:line="277" w:lineRule="auto"/>
        <w:tabs>
          <w:tab w:leader="none" w:pos="25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apply to the Secured Obligations any (i) balances and deposits of Borrower it holds, or (ii) any amount held by Bank owing to or for the credit or the account of Borrower;</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87" w:lineRule="exact"/>
        <w:rPr>
          <w:rFonts w:ascii="Arial" w:cs="Arial" w:eastAsia="Arial" w:hAnsi="Arial"/>
          <w:sz w:val="18"/>
          <w:szCs w:val="18"/>
          <w:color w:val="auto"/>
        </w:rPr>
      </w:pPr>
    </w:p>
    <w:p>
      <w:pPr>
        <w:ind w:firstLine="1735"/>
        <w:spacing w:after="0" w:line="308" w:lineRule="auto"/>
        <w:tabs>
          <w:tab w:leader="none" w:pos="25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46" w:lineRule="exact"/>
        <w:rPr>
          <w:rFonts w:ascii="Arial" w:cs="Arial" w:eastAsia="Arial" w:hAnsi="Arial"/>
          <w:sz w:val="17"/>
          <w:szCs w:val="17"/>
          <w:color w:val="auto"/>
        </w:rPr>
      </w:pPr>
    </w:p>
    <w:p>
      <w:pPr>
        <w:ind w:left="2560" w:hanging="825"/>
        <w:spacing w:after="0"/>
        <w:tabs>
          <w:tab w:leader="none" w:pos="2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provided Bank has commenced exercising its rights and remedies hereunder, demand and receive possession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Borrower’s Books; and</w:t>
      </w:r>
    </w:p>
    <w:p>
      <w:pPr>
        <w:spacing w:after="0" w:line="210" w:lineRule="exact"/>
        <w:rPr>
          <w:rFonts w:ascii="Arial" w:cs="Arial" w:eastAsia="Arial" w:hAnsi="Arial"/>
          <w:sz w:val="17"/>
          <w:szCs w:val="17"/>
          <w:color w:val="auto"/>
        </w:rPr>
      </w:pPr>
    </w:p>
    <w:p>
      <w:pPr>
        <w:ind w:firstLine="1735"/>
        <w:spacing w:after="0" w:line="277" w:lineRule="auto"/>
        <w:tabs>
          <w:tab w:leader="none" w:pos="25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 exercisable upon the occurrence</w:t>
      </w:r>
      <w:r>
        <w:rPr>
          <w:rFonts w:ascii="Arial" w:cs="Arial" w:eastAsia="Arial" w:hAnsi="Arial"/>
          <w:sz w:val="17"/>
          <w:szCs w:val="17"/>
          <w:b w:val="1"/>
          <w:bCs w:val="1"/>
          <w:color w:val="auto"/>
        </w:rPr>
        <w:t xml:space="preserve"> </w:t>
      </w:r>
      <w:r>
        <w:rPr>
          <w:rFonts w:ascii="Arial" w:cs="Arial" w:eastAsia="Arial" w:hAnsi="Arial"/>
          <w:sz w:val="17"/>
          <w:szCs w:val="17"/>
          <w:color w:val="auto"/>
        </w:rPr>
        <w:t>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Secured Obligations have been satisfied in full and Bank is under no further obligation to make Credit Extensions hereunder. Bank’s foregoing appointment as Borrower’s attorney in fact, and all of Bank’s rights and powers, coupled with an interest, are irrevocable until all Secured Obligations have been fully repaid and performed and Bank’s obligation to provide Credit Extensions terminates.</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 If Borrower fails to obtain the insurance called for by Section 6.5 or fails to pay any premium thereon or</w:t>
      </w:r>
      <w:r>
        <w:rPr>
          <w:rFonts w:ascii="Arial" w:cs="Arial" w:eastAsia="Arial" w:hAnsi="Arial"/>
          <w:sz w:val="18"/>
          <w:szCs w:val="18"/>
          <w:b w:val="1"/>
          <w:bCs w:val="1"/>
          <w:color w:val="auto"/>
        </w:rPr>
        <w:t xml:space="preserve"> </w:t>
      </w:r>
      <w:r>
        <w:rPr>
          <w:rFonts w:ascii="Arial" w:cs="Arial" w:eastAsia="Arial" w:hAnsi="Arial"/>
          <w:sz w:val="18"/>
          <w:szCs w:val="18"/>
          <w:color w:val="auto"/>
        </w:rPr>
        <w:t>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Default Rate,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864"/>
        <w:spacing w:after="0" w:line="255" w:lineRule="auto"/>
        <w:rPr>
          <w:sz w:val="20"/>
          <w:szCs w:val="20"/>
          <w:color w:val="auto"/>
        </w:rPr>
      </w:pPr>
      <w:r>
        <w:rPr>
          <w:rFonts w:ascii="Arial" w:cs="Arial" w:eastAsia="Arial" w:hAnsi="Arial"/>
          <w:sz w:val="18"/>
          <w:szCs w:val="18"/>
          <w:b w:val="1"/>
          <w:bCs w:val="1"/>
          <w:color w:val="auto"/>
        </w:rPr>
        <w:t>9.4 Application of Payments and Proceeds Upon Default</w:t>
      </w:r>
      <w:r>
        <w:rPr>
          <w:rFonts w:ascii="Arial" w:cs="Arial" w:eastAsia="Arial" w:hAnsi="Arial"/>
          <w:sz w:val="18"/>
          <w:szCs w:val="18"/>
          <w:color w:val="auto"/>
        </w:rPr>
        <w:t>. If an Event of Default has occurred and is continuing, Bank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apply in any order any funds in its possession, whether from Borrower account balances, payments, proceeds realized as the result of any collection of Accounts or other disposition of the Collateral, or otherwise, to the Secured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Secured Obligations by the principal amount of the purchase price or deferring the reduction of the Secured Obligations until the actual receipt by Bank of cash therefor.</w:t>
      </w:r>
    </w:p>
    <w:p>
      <w:pPr>
        <w:spacing w:after="0" w:line="189"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 regarding the safekeeping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Except as set forth in the preceding sentence, Borrower bears all risk of loss, damage or destruction of the Collateral.</w:t>
      </w:r>
    </w:p>
    <w:p>
      <w:pPr>
        <w:spacing w:after="0" w:line="18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1700" w:hanging="828"/>
        <w:spacing w:after="0"/>
        <w:tabs>
          <w:tab w:leader="none" w:pos="1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240"/>
          </w:cols>
          <w:pgMar w:left="320" w:top="337" w:right="339" w:bottom="1440" w:gutter="0" w:footer="0" w:header="0"/>
        </w:sectPr>
      </w:pPr>
    </w:p>
    <w:p>
      <w:pPr>
        <w:spacing w:after="0" w:line="17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Robin H. Cowie,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robin.cowie@biodesix.com</w:t>
      </w:r>
    </w:p>
    <w:p>
      <w:pPr>
        <w:spacing w:after="0" w:line="200" w:lineRule="exact"/>
        <w:rPr>
          <w:sz w:val="20"/>
          <w:szCs w:val="20"/>
          <w:color w:val="auto"/>
        </w:rPr>
      </w:pPr>
    </w:p>
    <w:p>
      <w:pPr>
        <w:sectPr>
          <w:pgSz w:w="11900" w:h="16838" w:orient="portrait"/>
          <w:cols w:equalWidth="0" w:num="2">
            <w:col w:w="3060" w:space="720"/>
            <w:col w:w="7460"/>
          </w:cols>
          <w:pgMar w:left="320" w:top="337"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337"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ind w:left="17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2970 Wilderness Place, Suite 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Affairs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legalaffairs@biodesix.com</w:t>
      </w:r>
    </w:p>
    <w:p>
      <w:pPr>
        <w:spacing w:after="0" w:line="200" w:lineRule="exact"/>
        <w:rPr>
          <w:sz w:val="20"/>
          <w:szCs w:val="20"/>
          <w:color w:val="auto"/>
        </w:rPr>
      </w:pPr>
    </w:p>
    <w:p>
      <w:pPr>
        <w:sectPr>
          <w:pgSz w:w="11900" w:h="16838" w:orient="portrait"/>
          <w:cols w:equalWidth="0" w:num="2">
            <w:col w:w="3060" w:space="720"/>
            <w:col w:w="7460"/>
          </w:cols>
          <w:pgMar w:left="320" w:top="341" w:right="339" w:bottom="1440" w:gutter="0" w:footer="0" w:header="0"/>
        </w:sectPr>
      </w:pPr>
    </w:p>
    <w:p>
      <w:pPr>
        <w:spacing w:after="0" w:line="4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4370 La Jolla Village Drive, Suite 1050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Kristine Rohmer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KRohmer@svb.com</w:t>
      </w:r>
    </w:p>
    <w:p>
      <w:pPr>
        <w:spacing w:after="0" w:line="200" w:lineRule="exact"/>
        <w:rPr>
          <w:sz w:val="20"/>
          <w:szCs w:val="20"/>
          <w:color w:val="auto"/>
        </w:rPr>
      </w:pPr>
    </w:p>
    <w:p>
      <w:pPr>
        <w:sectPr>
          <w:pgSz w:w="11900" w:h="16838" w:orient="portrait"/>
          <w:cols w:equalWidth="0" w:num="2">
            <w:col w:w="3060" w:space="720"/>
            <w:col w:w="7460"/>
          </w:cols>
          <w:pgMar w:left="320" w:top="341" w:right="339" w:bottom="1440" w:gutter="0" w:footer="0" w:header="0"/>
          <w:type w:val="continuous"/>
        </w:sectPr>
      </w:pPr>
    </w:p>
    <w:p>
      <w:pPr>
        <w:spacing w:after="0" w:line="7" w:lineRule="exact"/>
        <w:rPr>
          <w:sz w:val="20"/>
          <w:szCs w:val="20"/>
          <w:color w:val="auto"/>
        </w:rPr>
      </w:pPr>
    </w:p>
    <w:p>
      <w:pPr>
        <w:ind w:left="1680" w:hanging="808"/>
        <w:spacing w:after="0"/>
        <w:tabs>
          <w:tab w:leader="none" w:pos="1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Except as otherwise expressly provided in any of the Loan Documents, New York law governs the Loan Documents without regard to principles of conflicts of law. Borrower and Bank each submit to the exclusive jurisdiction of the State and Federal courts in the Borough of Manhattan, New York, New York; provided, however, that nothing in this Agreement shall be deemed to operate to preclude Bank from bringing suit or taking other legal action in any other jurisdiction to realize on the Collateral or any other security for the Secured Obligations, or to enforce a judgment or other court order in favor of Bank. Each of Borrower and Bank expressly submits and consents in advance to such jurisdiction in any action or suit commenced in any such court, and each of Borrower and Bank hereby waives any objection that it may have based upon lack of personal jurisdiction, improper venue, or forum non conveniens and hereby consents to the granting of such legal or equitable relief as is deemed appropriate by such court. Each of Borrower and Bank hereby waives personal service of the summons, complaints, and other process issued in such action or suit and agrees that service of such summons, complaints, and other process may be made by registered or certified mail addressed to Borrower or Bank, as applicable, at the address set forth in, or subsequently provided by Borrower or Bank, as applicable, in accordance with, Section 10 of this Agreement and that service so made shall be deemed completed upon the earlier to occur of Borrower’s or Bank’s, as applicable, actual receipt thereof or three (3) Business Days after deposit in the U.S. mails, proper postage prepaid.</w:t>
      </w:r>
    </w:p>
    <w:p>
      <w:pPr>
        <w:spacing w:after="0" w:line="175"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700" w:hanging="828"/>
        <w:spacing w:after="0"/>
        <w:tabs>
          <w:tab w:leader="none" w:pos="1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12.1 Termination Prior to Term Loan Maturity Date; Survival</w:t>
      </w:r>
      <w:r>
        <w:rPr>
          <w:rFonts w:ascii="Arial" w:cs="Arial" w:eastAsia="Arial" w:hAnsi="Arial"/>
          <w:sz w:val="18"/>
          <w:szCs w:val="18"/>
          <w:color w:val="auto"/>
        </w:rPr>
        <w:t>. All covenants, representations and warranties made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in full force until this Agreement has terminated pursuant to its terms and all Secured Obligations have been satisfied. So long as Borrower has satisfied the Secured Obligations (other than inchoate indemnity obligations, any other obligations which, by their terms, are to survive the termination of this Agreement, and any Secured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89"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12.2 Successors and Assigns</w:t>
      </w:r>
      <w:r>
        <w:rPr>
          <w:rFonts w:ascii="Arial" w:cs="Arial" w:eastAsia="Arial" w:hAnsi="Arial"/>
          <w:sz w:val="18"/>
          <w:szCs w:val="18"/>
          <w:color w:val="auto"/>
        </w:rPr>
        <w:t>. This Agreement binds and is for the benefit of the successors and permitted assigns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Borrower may not assign this Agreement or any rights or obligations under it without Bank’s prior written consent (which may be granted or withheld in Bank’s discretion). Bank has the right,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without the consent of or notice to Borrower, to sell, transfer, assign, negotiate, or grant participation in all or any part of, or any interest in, Bank’s obligations, rights, and benefits under this Agreement and the other Loan Documents; provided, that so long as an Event of Default has not occurred and is not continuing, Bank shall endeavor to provide Borrower contemporaneous notice of any such sale, transfer, assignment, or participation hereunder, but the failure of Bank to provide such notice shall not be deemed a breach of this Agreement by Bank. Notwithstanding the foregoing, so long as no Event of Default shall have occurred and is continuing, Bank shall not assign its interest in the Loan Documents to any Person who in the reasonable estimation of Bank is (a) a direct competitor of Borrower, or (b) a vulture fund or distressed debt fund.</w:t>
      </w:r>
    </w:p>
    <w:p>
      <w:pPr>
        <w:spacing w:after="0" w:line="17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12.3 Indemnification</w:t>
      </w:r>
      <w:r>
        <w:rPr>
          <w:rFonts w:ascii="Arial" w:cs="Arial" w:eastAsia="Arial" w:hAnsi="Arial"/>
          <w:sz w:val="17"/>
          <w:szCs w:val="17"/>
          <w:color w:val="auto"/>
        </w:rPr>
        <w:t>. Borrower agrees to indemnify, defend and hold Bank and its directors, officers, employees, agents, attorneys,</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other 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and documented attorneys’ fees and expenses), except for Claims and/or losses directly caused by such Indemnified Person’s gross negligence or willful misconduct.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have run.</w:t>
      </w:r>
    </w:p>
    <w:p>
      <w:pPr>
        <w:spacing w:after="0" w:line="207"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Secured Obligations in this Agreement.</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 provision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provision.</w:t>
      </w:r>
    </w:p>
    <w:p>
      <w:pPr>
        <w:spacing w:after="0" w:line="162"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b w:val="1"/>
          <w:bCs w:val="1"/>
          <w:color w:val="auto"/>
        </w:rPr>
        <w:t>12.6 Correction of Loan Documents</w:t>
      </w:r>
      <w:r>
        <w:rPr>
          <w:rFonts w:ascii="Arial" w:cs="Arial" w:eastAsia="Arial" w:hAnsi="Arial"/>
          <w:sz w:val="16"/>
          <w:szCs w:val="16"/>
          <w:color w:val="auto"/>
        </w:rPr>
        <w:t>. Bank may correct patent errors and fill in any blanks in the Loan Documents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agreement of the parties so long as Bank provides Borrower with written notice of such correction and allows Borrower not less than ten (10) Business Days to object to such correction. In the event of such objection, such correction shall not be made except by an amendment signed by Bank and Borrower.</w:t>
      </w:r>
    </w:p>
    <w:p>
      <w:pPr>
        <w:spacing w:after="0" w:line="14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color w:val="auto"/>
        </w:rPr>
        <w:t>12.7 Amendments in Writing; Waiver; Integration</w:t>
      </w:r>
      <w:r>
        <w:rPr>
          <w:rFonts w:ascii="Arial" w:cs="Arial" w:eastAsia="Arial" w:hAnsi="Arial"/>
          <w:sz w:val="18"/>
          <w:szCs w:val="18"/>
          <w:color w:val="auto"/>
        </w:rPr>
        <w:t>. No purported amendment or modification of any Loan Document,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 parties on separate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executed and delivered, is an original, and all taken together, constitute one Agreement.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12.9 Confidentiality</w:t>
      </w:r>
      <w:r>
        <w:rPr>
          <w:rFonts w:ascii="Arial" w:cs="Arial" w:eastAsia="Arial" w:hAnsi="Arial"/>
          <w:sz w:val="18"/>
          <w:szCs w:val="18"/>
          <w:color w:val="auto"/>
        </w:rPr>
        <w:t>. In handling any confidential information, Bank shall exercise the same degree of care that it exercises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proprietary information, but disclosure of information (other than Confidential Healthcare Information) may be made: (a) to Bank’s Subsidiaries or Affiliates (such Subsidiaries and Affiliates, together with Bank, collectively, “</w:t>
      </w:r>
      <w:r>
        <w:rPr>
          <w:rFonts w:ascii="Arial" w:cs="Arial" w:eastAsia="Arial" w:hAnsi="Arial"/>
          <w:sz w:val="18"/>
          <w:szCs w:val="18"/>
          <w:b w:val="1"/>
          <w:bCs w:val="1"/>
          <w:color w:val="auto"/>
        </w:rPr>
        <w:t>Bank Entities</w:t>
      </w:r>
      <w:r>
        <w:rPr>
          <w:rFonts w:ascii="Arial" w:cs="Arial" w:eastAsia="Arial" w:hAnsi="Arial"/>
          <w:sz w:val="18"/>
          <w:szCs w:val="18"/>
          <w:color w:val="auto"/>
        </w:rPr>
        <w:t>”); (b) to prospective transferees or purchasers of any interest in the Credit Extensions (provided, however, that any prospective transferee or purchaser shall have entered into an agreement continuing provisions substantially the same as those in this Section 12.9); (c) as required by law, regulation, subpoena, or other order; (d) to Bank’s regulators or as otherwise required in connection with Bank’s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spacing w:after="0" w:line="296" w:lineRule="auto"/>
        <w:rPr>
          <w:sz w:val="20"/>
          <w:szCs w:val="20"/>
          <w:color w:val="auto"/>
        </w:rPr>
      </w:pPr>
      <w:r>
        <w:rPr>
          <w:rFonts w:ascii="Arial" w:cs="Arial" w:eastAsia="Arial" w:hAnsi="Arial"/>
          <w:sz w:val="16"/>
          <w:szCs w:val="16"/>
          <w:color w:val="auto"/>
        </w:rPr>
        <w:t>examination or audit; (e) as Bank, in its good faith business judgment,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61" w:lineRule="exact"/>
        <w:rPr>
          <w:sz w:val="20"/>
          <w:szCs w:val="20"/>
          <w:color w:val="auto"/>
        </w:rPr>
      </w:pPr>
    </w:p>
    <w:p>
      <w:pPr>
        <w:jc w:val="both"/>
        <w:ind w:firstLine="1727"/>
        <w:spacing w:after="0" w:line="263" w:lineRule="auto"/>
        <w:rPr>
          <w:sz w:val="20"/>
          <w:szCs w:val="20"/>
          <w:color w:val="auto"/>
        </w:rPr>
      </w:pPr>
      <w:r>
        <w:rPr>
          <w:rFonts w:ascii="Arial" w:cs="Arial" w:eastAsia="Arial" w:hAnsi="Arial"/>
          <w:sz w:val="18"/>
          <w:szCs w:val="18"/>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12.10 Attorneys’ Fees, Costs and Expenses</w:t>
      </w:r>
      <w:r>
        <w:rPr>
          <w:rFonts w:ascii="Arial" w:cs="Arial" w:eastAsia="Arial" w:hAnsi="Arial"/>
          <w:sz w:val="18"/>
          <w:szCs w:val="18"/>
          <w:color w:val="auto"/>
        </w:rPr>
        <w:t>. In any action or proceeding between Borrower and Bank arising out of or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the prevailing party shall be entitled to recover its reasonable and documented attorneys’ fees and other costs and expenses incurred, in addition to any other relief to which it may be entitled.</w:t>
      </w:r>
    </w:p>
    <w:p>
      <w:pPr>
        <w:spacing w:after="0" w:line="17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shall be deemed to include images of manually executed signatures transmitted by facsimile or other electronic format (including, without limitation, “.pdf”, “.tif”, or “.jpg”) and other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8"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b w:val="1"/>
          <w:bCs w:val="1"/>
          <w:color w:val="auto"/>
        </w:rPr>
        <w:t xml:space="preserve">12.12 Right of Setoff. </w:t>
      </w:r>
      <w:r>
        <w:rPr>
          <w:rFonts w:ascii="Arial" w:cs="Arial" w:eastAsia="Arial" w:hAnsi="Arial"/>
          <w:sz w:val="16"/>
          <w:szCs w:val="16"/>
          <w:color w:val="auto"/>
        </w:rPr>
        <w:t>Borrower hereby grants to Bank a Lien and a right of setoff as security for all Secured Obligations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now existing or 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Secured Obligation of Borrower even though unmatured and regardless of the adequacy of any other collateral securing the Secured Obligations. ANY AND ALL RIGHTS TO REQUIRE BANK TO EXERCISE ITS RIGHTS OR REMEDIES WITH RESPECT TO ANY OTHER COLLATERAL WHICH SECURES THE SECURED OBLIGATIONS, PRIOR TO EXERCISING ITS RIGHT OF SETOFF WITH RESPECT TO SUCH DEPOSITS, CREDITS OR OTHER PROPERTY OF BORROWER, ARE HEREBY KNOWINGLY, VOLUNTARILY AND IRREVOCABLY WAIVED.</w:t>
      </w:r>
    </w:p>
    <w:p>
      <w:pPr>
        <w:spacing w:after="0" w:line="159" w:lineRule="exact"/>
        <w:rPr>
          <w:sz w:val="20"/>
          <w:szCs w:val="20"/>
          <w:color w:val="auto"/>
        </w:rPr>
      </w:pPr>
    </w:p>
    <w:p>
      <w:pPr>
        <w:ind w:left="880"/>
        <w:spacing w:after="0"/>
        <w:tabs>
          <w:tab w:leader="none" w:pos="1900" w:val="left"/>
          <w:tab w:leader="none" w:pos="280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8"/>
          <w:szCs w:val="18"/>
          <w:b w:val="1"/>
          <w:bCs w:val="1"/>
          <w:color w:val="auto"/>
        </w:rPr>
        <w:t>Captions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headings used in this Agreement are for convenience only and shall not affect the interpretation of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12.14 Construction of Agreement</w:t>
      </w:r>
      <w:r>
        <w:rPr>
          <w:rFonts w:ascii="Arial" w:cs="Arial" w:eastAsia="Arial" w:hAnsi="Arial"/>
          <w:sz w:val="18"/>
          <w:szCs w:val="18"/>
          <w:color w:val="auto"/>
        </w:rPr>
        <w:t>. The parties mutually acknowledge that they and their attorneys have participated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preparation and 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12.15 Relationship</w:t>
      </w:r>
      <w:r>
        <w:rPr>
          <w:rFonts w:ascii="Arial" w:cs="Arial" w:eastAsia="Arial" w:hAnsi="Arial"/>
          <w:sz w:val="18"/>
          <w:szCs w:val="18"/>
          <w:color w:val="auto"/>
        </w:rPr>
        <w:t>. The relationship of the parties to this Agreement is determined solely by the provisions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do not 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12.16 Third Parties</w:t>
      </w:r>
      <w:r>
        <w:rPr>
          <w:rFonts w:ascii="Arial" w:cs="Arial" w:eastAsia="Arial" w:hAnsi="Arial"/>
          <w:sz w:val="18"/>
          <w:szCs w:val="18"/>
          <w:color w:val="auto"/>
        </w:rPr>
        <w:t>. Nothing in this Agreement, whether express or implied, is intended to: (a) confer any benefits, rights or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firstLine="864"/>
        <w:spacing w:after="0" w:line="261" w:lineRule="auto"/>
        <w:rPr>
          <w:sz w:val="20"/>
          <w:szCs w:val="20"/>
          <w:color w:val="auto"/>
        </w:rPr>
      </w:pPr>
      <w:r>
        <w:rPr>
          <w:rFonts w:ascii="Arial" w:cs="Arial" w:eastAsia="Arial" w:hAnsi="Arial"/>
          <w:sz w:val="18"/>
          <w:szCs w:val="18"/>
          <w:b w:val="1"/>
          <w:bCs w:val="1"/>
          <w:color w:val="auto"/>
        </w:rPr>
        <w:t>12.17 Patriot Act</w:t>
      </w:r>
      <w:r>
        <w:rPr>
          <w:rFonts w:ascii="Arial" w:cs="Arial" w:eastAsia="Arial" w:hAnsi="Arial"/>
          <w:sz w:val="18"/>
          <w:szCs w:val="18"/>
          <w:color w:val="auto"/>
        </w:rPr>
        <w:t>. Bank hereby notifies Borrower that pursuant to the requirements of the USA PATRIOT Act, it is required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verify and record information that identifies Borrower and each of its Subsidiaries, which information includes the names and addresses of Borrower and each of its Subsidiaries and other information that will allow Bank, as applicable, to identify Borrower and each of its Subsidiaries in accordance with the USA PATRIOT Act.</w:t>
      </w:r>
    </w:p>
    <w:p>
      <w:pPr>
        <w:spacing w:after="0" w:line="180" w:lineRule="exact"/>
        <w:rPr>
          <w:sz w:val="20"/>
          <w:szCs w:val="20"/>
          <w:color w:val="auto"/>
        </w:rPr>
      </w:pPr>
    </w:p>
    <w:p>
      <w:pPr>
        <w:ind w:left="1700" w:hanging="828"/>
        <w:spacing w:after="0"/>
        <w:tabs>
          <w:tab w:leader="none" w:pos="1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b w:val="1"/>
          <w:bCs w:val="1"/>
          <w:color w:val="auto"/>
        </w:rPr>
        <w:t>13.1 Definitions</w:t>
      </w:r>
      <w:r>
        <w:rPr>
          <w:rFonts w:ascii="Arial" w:cs="Arial" w:eastAsia="Arial" w:hAnsi="Arial"/>
          <w:sz w:val="17"/>
          <w:szCs w:val="17"/>
          <w:color w:val="auto"/>
        </w:rPr>
        <w:t>. As used in the Loan Documents, the word “shall” is mandatory, the word “may” is permissive, the word “or” is not</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Unless the context otherwise requires, (a) any definition of or reference to any agreement, instrument or other document (including any Operating Documents) shall be construed as referring to such agreement, instrument or other document as from time to time amended, supplemented or otherwise modified (subject to any restrictions on such amendments, supplements or modifications set forth herein or in any other Loan Document) and (b) if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As used in this Agreement, the following capitalized terms have the following meanings:</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is defined in Section 7.3.</w:t>
      </w:r>
    </w:p>
    <w:p>
      <w:pPr>
        <w:spacing w:after="0" w:line="22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this definition, the term “control” of a Person means the possession, direct or indirect, of the power to direct or cause the direction of the management or policies of such Person, whether through the ability to exercise voting power, by contract or otherwise, and the terms “controlled by” and “under common control with” shall have correlative meanings.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Aging Reports</w:t>
      </w:r>
      <w:r>
        <w:rPr>
          <w:rFonts w:ascii="Arial" w:cs="Arial" w:eastAsia="Arial" w:hAnsi="Arial"/>
          <w:sz w:val="18"/>
          <w:szCs w:val="18"/>
          <w:color w:val="auto"/>
        </w:rPr>
        <w:t>” is defined in Section 6.2(c).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Start Date</w:t>
      </w:r>
      <w:r>
        <w:rPr>
          <w:rFonts w:ascii="Arial" w:cs="Arial" w:eastAsia="Arial" w:hAnsi="Arial"/>
          <w:sz w:val="18"/>
          <w:szCs w:val="18"/>
          <w:color w:val="auto"/>
        </w:rPr>
        <w:t>” means the Payment Date next following the end of the Interest-Only Period.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is defined in Section 6.2(f).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 Agings</w:t>
      </w:r>
      <w:r>
        <w:rPr>
          <w:rFonts w:ascii="Arial" w:cs="Arial" w:eastAsia="Arial" w:hAnsi="Arial"/>
          <w:sz w:val="18"/>
          <w:szCs w:val="18"/>
          <w:color w:val="auto"/>
        </w:rPr>
        <w:t>” is defined in Section 6.2(c).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Agings</w:t>
      </w:r>
      <w:r>
        <w:rPr>
          <w:rFonts w:ascii="Arial" w:cs="Arial" w:eastAsia="Arial" w:hAnsi="Arial"/>
          <w:sz w:val="18"/>
          <w:szCs w:val="18"/>
          <w:color w:val="auto"/>
        </w:rPr>
        <w:t>” is defined in Section 6.2(c).</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on the incumbency certificate delivered by Borrower to Bank who is authorized to execute the Loan Documents, including any Credit Extension request, on behalf of Borrower.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audit fees and expenses, costs, and expenses (including reasonable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58" w:lineRule="exact"/>
        <w:rPr>
          <w:sz w:val="20"/>
          <w:szCs w:val="20"/>
          <w:color w:val="auto"/>
        </w:rPr>
      </w:pPr>
    </w:p>
    <w:p>
      <w:pPr>
        <w:jc w:val="both"/>
        <w:ind w:firstLine="86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with respect to any Person, any lease of real or personal property by such Person as lessee which is required under GAAP to be capitalized on the balance sheet of such Person.</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w:t>
      </w:r>
      <w:r>
        <w:rPr>
          <w:rFonts w:ascii="Arial" w:cs="Arial" w:eastAsia="Arial" w:hAnsi="Arial"/>
          <w:sz w:val="18"/>
          <w:szCs w:val="18"/>
          <w:color w:val="auto"/>
        </w:rPr>
        <w:t>” means, as to any Person, any obligation of such Person to pay rent or other amounts under a lease of (or other agreement conveying the right to use) real or personal property, which obligations are required to be classified and accounted for as a Capital Lease on a balance sheet of such Person under GAAP and, for purposes of this Agreement, the amount of any such obligation shall be the capitalized amount thereof, determined in accordance with GAAP.</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Burn</w:t>
      </w:r>
      <w:r>
        <w:rPr>
          <w:rFonts w:ascii="Arial" w:cs="Arial" w:eastAsia="Arial" w:hAnsi="Arial"/>
          <w:sz w:val="18"/>
          <w:szCs w:val="18"/>
          <w:color w:val="auto"/>
        </w:rPr>
        <w:t>” means, calculated on a trailing three (3) month basis as of any date of determination, the sum of (a) Net Income plus (b) amortization and depreciation plus (c) any other non-cash expenditure, charge or loss for such period (including, without limitation, (i) changes in fair value recognized in accordance with GAAP, (ii) non-cash interest expense, and (iii) any other non-cash items that require recognition in accordance with GAAP).</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6.3(b) of the Loan Agreement.</w:t>
      </w:r>
    </w:p>
    <w:p>
      <w:pPr>
        <w:spacing w:after="0" w:line="22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or by an instrumentality or agency of them with an equivalent credit rating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87" w:lineRule="exact"/>
        <w:rPr>
          <w:sz w:val="20"/>
          <w:szCs w:val="20"/>
          <w:color w:val="auto"/>
        </w:rPr>
      </w:pPr>
    </w:p>
    <w:p>
      <w:pPr>
        <w:jc w:val="both"/>
        <w:ind w:firstLine="864"/>
        <w:spacing w:after="0" w:line="21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7"/>
          <w:szCs w:val="17"/>
          <w:color w:val="auto"/>
        </w:rPr>
        <w:t>‑</w:t>
      </w:r>
      <w:r>
        <w:rPr>
          <w:rFonts w:ascii="Arial" w:cs="Arial" w:eastAsia="Arial" w:hAnsi="Arial"/>
          <w:sz w:val="17"/>
          <w:szCs w:val="17"/>
          <w:color w:val="auto"/>
        </w:rPr>
        <w:t>5 under the Exchange Act), directly or indirectly, of thirty-five percent (35%) or more of the ordinary voting power for the election of directors of Borrower (determined on a fully diluted basis) other than (i) any Permitted Holder or (ii)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or (b) at any time, Borrower shall cease to own and control, of record and beneficially, directly or indirectly, one hundred percent (100%) of each class of outstanding capital stock of each subsidiary of Borrower free and clear of all Liens (except Permitted Liens).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Chase</w:t>
      </w:r>
      <w:r>
        <w:rPr>
          <w:rFonts w:ascii="Arial" w:cs="Arial" w:eastAsia="Arial" w:hAnsi="Arial"/>
          <w:sz w:val="18"/>
          <w:szCs w:val="18"/>
          <w:color w:val="auto"/>
        </w:rPr>
        <w:t>” means J.P. Morgan Chase Bank, N.A.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w:t>
      </w:r>
      <w:r>
        <w:rPr>
          <w:rFonts w:ascii="Arial" w:cs="Arial" w:eastAsia="Arial" w:hAnsi="Arial"/>
          <w:sz w:val="18"/>
          <w:szCs w:val="18"/>
          <w:b w:val="1"/>
          <w:bCs w:val="1"/>
          <w:color w:val="auto"/>
        </w:rPr>
        <w:t>Code</w:t>
      </w:r>
      <w:r>
        <w:rPr>
          <w:rFonts w:ascii="Arial" w:cs="Arial" w:eastAsia="Arial" w:hAnsi="Arial"/>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Healthcare Information</w:t>
      </w:r>
      <w:r>
        <w:rPr>
          <w:rFonts w:ascii="Arial" w:cs="Arial" w:eastAsia="Arial" w:hAnsi="Arial"/>
          <w:sz w:val="18"/>
          <w:szCs w:val="18"/>
          <w:color w:val="auto"/>
        </w:rPr>
        <w:t>” is defined in Section 6.10(b) hereof.</w:t>
      </w:r>
    </w:p>
    <w:p>
      <w:pPr>
        <w:spacing w:after="0" w:line="225" w:lineRule="exact"/>
        <w:rPr>
          <w:sz w:val="20"/>
          <w:szCs w:val="20"/>
          <w:color w:val="auto"/>
        </w:rPr>
      </w:pPr>
    </w:p>
    <w:p>
      <w:pPr>
        <w:jc w:val="both"/>
        <w:ind w:firstLine="864"/>
        <w:spacing w:after="0" w:line="218"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payment obligation of another such as an obligation, in each case, directly or indirectly guaranteed, endorsed, co</w:t>
      </w:r>
      <w:r>
        <w:rPr>
          <w:rFonts w:ascii="MS PGothic" w:cs="MS PGothic" w:eastAsia="MS PGothic" w:hAnsi="MS PGothic"/>
          <w:sz w:val="17"/>
          <w:szCs w:val="17"/>
          <w:color w:val="auto"/>
        </w:rPr>
        <w:t>‑</w:t>
      </w:r>
      <w:r>
        <w:rPr>
          <w:rFonts w:ascii="Arial" w:cs="Arial" w:eastAsia="Arial" w:hAnsi="Arial"/>
          <w:sz w:val="17"/>
          <w:szCs w:val="17"/>
          <w:color w:val="auto"/>
        </w:rPr>
        <w:t>made, discounted or sold with recourse by that Person, or for which that Person is directly or indirectly liable; (b) any payment obligations for undrawn letters of credit for the account of that Person; and (c) all net mark-to-market payment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3"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the extension of the Term Loan Advance on the Effective Date, the issuance of any Letter of Credit, the entering into of any FX Contract or other Bank Services Agreement or any other extension of credit by Bank for Borrower’s benefit.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multicurrency account denominated in Dollars, account number XXXXXX3298, maintained by Borrower with Bank.</w:t>
      </w:r>
    </w:p>
    <w:p>
      <w:pPr>
        <w:spacing w:after="0" w:line="162"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means, with respect to any Person, any and all shares, interests, participations or other equivalents, including membership interests (however designated, and whether voting or nonvoting), representing equity ownership or participation of such Person, including, if such Person is a partnership, partnership interests (whether general or limited) and any other interest or participation that confers on another Person the right to receive a share of the profits and losses of, or distributions of property of, such Person.</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the regulations adopted thereunder.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practices adopted pursuant to any intergovernmental agreement, treaty or convention among Governmental Authorities and implementing such Sections of the Internal Revenue Code.</w:t>
      </w:r>
    </w:p>
    <w:p>
      <w:pPr>
        <w:spacing w:after="0" w:line="16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a substitution for the regular monthly payments of principal plus accrued interest) in an amount equal to Two Million Four Hundred Thousand Dollars ($2,400,000) and due on the earliest to occur of (a) the Term Loan Maturity Date, (b) the acceleration of the Term Loan Advance, or (c) the prepayment of the Term Loan Advance pursuant to Section 2.2.1(c).</w:t>
      </w:r>
    </w:p>
    <w:p>
      <w:pPr>
        <w:spacing w:after="0" w:line="15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 Repository</w:t>
      </w:r>
      <w:r>
        <w:rPr>
          <w:rFonts w:ascii="Arial" w:cs="Arial" w:eastAsia="Arial" w:hAnsi="Arial"/>
          <w:sz w:val="18"/>
          <w:szCs w:val="18"/>
          <w:color w:val="auto"/>
        </w:rPr>
        <w:t>” is SWLSReporting@svb.com or such other means of collecting information approved and designated by Bank after providing notice thereof to Borrower from time to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United States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as in effect from time to time.</w:t>
      </w:r>
    </w:p>
    <w:p>
      <w:pPr>
        <w:spacing w:after="0" w:line="180"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Secured Obligations, as the same may from time to time be amended, restated, modified or otherwise supplemented.</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Law</w:t>
      </w:r>
      <w:r>
        <w:rPr>
          <w:rFonts w:ascii="Arial" w:cs="Arial" w:eastAsia="Arial" w:hAnsi="Arial"/>
          <w:sz w:val="18"/>
          <w:szCs w:val="18"/>
          <w:color w:val="auto"/>
        </w:rPr>
        <w:t>” means any law relating to the practice or delivery of health care or related services, or reimbursement therefor, including without limitation, such laws regarding professional licensure, scope of practice, fraud and abuse, kickbacks, self-referrals, fee-splitting, false claims, and health information privacy and security, and any specific agreements entered into by Borrower or any Guarantor with any Governmental Authority, which include commitments related to healthcare matters.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HIPAA</w:t>
      </w:r>
      <w:r>
        <w:rPr>
          <w:rFonts w:ascii="Arial" w:cs="Arial" w:eastAsia="Arial" w:hAnsi="Arial"/>
          <w:sz w:val="16"/>
          <w:szCs w:val="16"/>
          <w:color w:val="auto"/>
        </w:rPr>
        <w:t>” means, collectively, the Health Insurance Portability and Accountability Act of 1996, as amended, and its implementing regulations.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Innovatus</w:t>
      </w:r>
      <w:r>
        <w:rPr>
          <w:rFonts w:ascii="Arial" w:cs="Arial" w:eastAsia="Arial" w:hAnsi="Arial"/>
          <w:sz w:val="18"/>
          <w:szCs w:val="18"/>
          <w:color w:val="auto"/>
        </w:rPr>
        <w:t>” is defined in Section 3.1(e).</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Integrated Diagnostics</w:t>
      </w:r>
      <w:r>
        <w:rPr>
          <w:rFonts w:ascii="Arial" w:cs="Arial" w:eastAsia="Arial" w:hAnsi="Arial"/>
          <w:sz w:val="18"/>
          <w:szCs w:val="18"/>
          <w:color w:val="auto"/>
        </w:rPr>
        <w:t>” is Integrated Diagnostics, Inc., a Delaware corporation.</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Integrated Diagnostics APA</w:t>
      </w:r>
      <w:r>
        <w:rPr>
          <w:rFonts w:ascii="Arial" w:cs="Arial" w:eastAsia="Arial" w:hAnsi="Arial"/>
          <w:sz w:val="18"/>
          <w:szCs w:val="18"/>
          <w:color w:val="auto"/>
        </w:rPr>
        <w:t>” means that certain Asset Purchase Agreement and Plan of Reorganization, dated as of June 30, 2018, by and between Borrower, Integrated Diagnostics and the stockholders of Integrated Diagnostics set forth on Exhibit A thereto.</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580" w:hanging="845"/>
        <w:spacing w:after="0"/>
        <w:tabs>
          <w:tab w:leader="none" w:pos="2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know-how, and operating manuals;</w:t>
      </w:r>
    </w:p>
    <w:p>
      <w:pPr>
        <w:spacing w:after="0" w:line="210" w:lineRule="exact"/>
        <w:rPr>
          <w:rFonts w:ascii="Arial" w:cs="Arial" w:eastAsia="Arial" w:hAnsi="Arial"/>
          <w:sz w:val="17"/>
          <w:szCs w:val="17"/>
          <w:color w:val="auto"/>
        </w:rPr>
      </w:pPr>
    </w:p>
    <w:p>
      <w:pPr>
        <w:ind w:left="2580" w:hanging="845"/>
        <w:spacing w:after="0"/>
        <w:tabs>
          <w:tab w:leader="none" w:pos="2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firstLine="1735"/>
        <w:spacing w:after="0" w:line="308" w:lineRule="auto"/>
        <w:tabs>
          <w:tab w:leader="none" w:pos="257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2560" w:hanging="825"/>
        <w:spacing w:after="0"/>
        <w:tabs>
          <w:tab w:leader="none" w:pos="2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Interest-Only Period</w:t>
      </w:r>
      <w:r>
        <w:rPr>
          <w:rFonts w:ascii="Arial" w:cs="Arial" w:eastAsia="Arial" w:hAnsi="Arial"/>
          <w:sz w:val="18"/>
          <w:szCs w:val="18"/>
          <w:color w:val="auto"/>
        </w:rPr>
        <w:t>” is the period of time from the Effective Date through February 28, 2023; provided, however, if Borrower achieves the TTM Revenue Milestone, the Interest-Only Period shall automatically, with no further action required by the parties hereto, be extended through February 28, 2024.</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is the Internal Revenue Code of 1986, as amended, and the Treasury Regulations adopted thereunder.</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Report</w:t>
      </w:r>
      <w:r>
        <w:rPr>
          <w:rFonts w:ascii="Arial" w:cs="Arial" w:eastAsia="Arial" w:hAnsi="Arial"/>
          <w:sz w:val="18"/>
          <w:szCs w:val="18"/>
          <w:color w:val="auto"/>
        </w:rPr>
        <w:t>” is a report of Borrower’s Inventory containing information in reasonable detail describing the type of inventory, most recent production run, aging information, quantity on hand and on hand value, and distinguishes between Inventory in transit and Inventory located in a warehouse.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Scott Hutton as of the Effective Date and (b) Chief Financial Officer, who is Robin Cowie as of the Effective Date.</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means, as of any date of determination, the sum of (i) Borrower’s unrestricted cash held at Bank or Bank’s Affiliates (subject to a Control Agreement in favor of Bank) as of such date, plus (ii) Borrower’s net billed Accounts receivable, as of the last day of the most recently completed calendar month.</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Ratio</w:t>
      </w:r>
      <w:r>
        <w:rPr>
          <w:rFonts w:ascii="Arial" w:cs="Arial" w:eastAsia="Arial" w:hAnsi="Arial"/>
          <w:sz w:val="18"/>
          <w:szCs w:val="18"/>
          <w:color w:val="auto"/>
        </w:rPr>
        <w:t xml:space="preserve">” means, as of any date of determination, a ratio of (a) Liquidity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(b) the aggregate outstanding principal amount of the Term Loan Advance as of such date.</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in connection with this Agreement, all as amended, restated, or otherwise modified.</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Secured Obligations.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the business or operations of the Borrower.</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for any period as at any date of determination, the net profit (or loss), after provision for taxes, of Borrower for such period taken as a single accounting period, determined in accordance with GAAP.</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60" w:lineRule="auto"/>
        <w:tabs>
          <w:tab w:leader="none" w:pos="2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81"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first (1st) calendar day of each month.</w:t>
      </w:r>
    </w:p>
    <w:p>
      <w:pPr>
        <w:spacing w:after="0" w:line="225"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Processor Accounts</w:t>
      </w:r>
      <w:r>
        <w:rPr>
          <w:rFonts w:ascii="Arial" w:cs="Arial" w:eastAsia="Arial" w:hAnsi="Arial"/>
          <w:sz w:val="18"/>
          <w:szCs w:val="18"/>
          <w:color w:val="auto"/>
        </w:rPr>
        <w:t>” means Borrower’s payment processor accounts listed in Section 5(c) of the Perfection Certificate delivered to Bank on or prior to the Effective Date.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Acquisition(s) in which:</w:t>
      </w:r>
    </w:p>
    <w:p>
      <w:pPr>
        <w:spacing w:after="0" w:line="229" w:lineRule="exact"/>
        <w:rPr>
          <w:sz w:val="20"/>
          <w:szCs w:val="20"/>
          <w:color w:val="auto"/>
        </w:rPr>
      </w:pPr>
    </w:p>
    <w:p>
      <w:pPr>
        <w:ind w:left="2580" w:hanging="845"/>
        <w:spacing w:after="0"/>
        <w:tabs>
          <w:tab w:leader="none" w:pos="2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Borrower’s Board of Directors has approved;</w:t>
      </w:r>
    </w:p>
    <w:p>
      <w:pPr>
        <w:spacing w:after="0" w:line="221" w:lineRule="exact"/>
        <w:rPr>
          <w:rFonts w:ascii="Arial" w:cs="Arial" w:eastAsia="Arial" w:hAnsi="Arial"/>
          <w:sz w:val="18"/>
          <w:szCs w:val="18"/>
          <w:color w:val="auto"/>
        </w:rPr>
      </w:pPr>
    </w:p>
    <w:p>
      <w:pPr>
        <w:ind w:left="2600" w:hanging="865"/>
        <w:spacing w:after="0"/>
        <w:tabs>
          <w:tab w:leader="none" w:pos="2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Person so acquired (the “</w:t>
      </w:r>
      <w:r>
        <w:rPr>
          <w:rFonts w:ascii="Arial" w:cs="Arial" w:eastAsia="Arial" w:hAnsi="Arial"/>
          <w:sz w:val="17"/>
          <w:szCs w:val="17"/>
          <w:b w:val="1"/>
          <w:bCs w:val="1"/>
          <w:color w:val="auto"/>
        </w:rPr>
        <w:t>Target</w:t>
      </w:r>
      <w:r>
        <w:rPr>
          <w:rFonts w:ascii="Arial" w:cs="Arial" w:eastAsia="Arial" w:hAnsi="Arial"/>
          <w:sz w:val="17"/>
          <w:szCs w:val="17"/>
          <w:color w:val="auto"/>
        </w:rPr>
        <w:t>”) is in a similar line of business or a business ancillary, incidental or otherwise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related thereto;</w:t>
      </w:r>
    </w:p>
    <w:p>
      <w:pPr>
        <w:spacing w:after="0" w:line="210" w:lineRule="exact"/>
        <w:rPr>
          <w:rFonts w:ascii="Arial" w:cs="Arial" w:eastAsia="Arial" w:hAnsi="Arial"/>
          <w:sz w:val="17"/>
          <w:szCs w:val="17"/>
          <w:color w:val="auto"/>
        </w:rPr>
      </w:pPr>
    </w:p>
    <w:p>
      <w:pPr>
        <w:ind w:left="2580" w:hanging="845"/>
        <w:spacing w:after="0"/>
        <w:tabs>
          <w:tab w:leader="none" w:pos="2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merger or consolidation with Borrower, Borrower is the survivor thereof;</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transactions in connection therewith shall be consummated, in all material respects, in accordance with all applicable law and in conformity with all applicable Governmental Approvals;</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the Acquisition of all of the Equity Interests of such Target, (i) all of the Equity Interests (except for any such Equity Interests in the nature of directors’ qualifying Equity Interest required pursuant to any law) acquired, or otherwise issued by such Target or any newly formed Subsidiary of Borrower in connection with such acquisition, shall be owned one hundred percent (100%) by Borrower or any other Subsidiary, and (ii) there shall exist no event or circumstance that could reasonably be expected to prevent Borrower or such acquiring Subsidiary from satisfying and completing all actions required pursuant to Section 6.11, to the extent applicable;</w:t>
      </w:r>
    </w:p>
    <w:p>
      <w:pPr>
        <w:spacing w:after="0" w:line="187" w:lineRule="exact"/>
        <w:rPr>
          <w:rFonts w:ascii="Arial" w:cs="Arial" w:eastAsia="Arial" w:hAnsi="Arial"/>
          <w:sz w:val="18"/>
          <w:szCs w:val="18"/>
          <w:color w:val="auto"/>
        </w:rPr>
      </w:pPr>
    </w:p>
    <w:p>
      <w:pPr>
        <w:jc w:val="both"/>
        <w:ind w:firstLine="1735"/>
        <w:spacing w:after="0" w:line="263" w:lineRule="auto"/>
        <w:tabs>
          <w:tab w:leader="none" w:pos="25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consideration for such Acquisition, when taken together with the total consideration for all other Acquisitions consummated or effected during any calendar year, in each case inclusive of any seller notes, deferred payment obligations or similar deferred payments, does not exceed Two Million Dollars ($2,000,000) in the aggregate;</w:t>
      </w:r>
    </w:p>
    <w:p>
      <w:pPr>
        <w:spacing w:after="0" w:line="183" w:lineRule="exact"/>
        <w:rPr>
          <w:rFonts w:ascii="Arial" w:cs="Arial" w:eastAsia="Arial" w:hAnsi="Arial"/>
          <w:sz w:val="18"/>
          <w:szCs w:val="18"/>
          <w:color w:val="auto"/>
        </w:rPr>
      </w:pPr>
    </w:p>
    <w:p>
      <w:pPr>
        <w:ind w:right="20" w:firstLine="1735"/>
        <w:spacing w:after="0" w:line="277" w:lineRule="auto"/>
        <w:tabs>
          <w:tab w:leader="none" w:pos="2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any such Acquisition, any Target acquired is an entity formed in the United States and its primary assets acquired are located in the United States;</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Acquisition is not a hostile acquisition;</w:t>
      </w:r>
    </w:p>
    <w:p>
      <w:pPr>
        <w:spacing w:after="0" w:line="225" w:lineRule="exact"/>
        <w:rPr>
          <w:rFonts w:ascii="Arial" w:cs="Arial" w:eastAsia="Arial" w:hAnsi="Arial"/>
          <w:sz w:val="18"/>
          <w:szCs w:val="18"/>
          <w:color w:val="auto"/>
        </w:rPr>
      </w:pPr>
    </w:p>
    <w:p>
      <w:pPr>
        <w:ind w:firstLine="1735"/>
        <w:spacing w:after="0" w:line="277" w:lineRule="auto"/>
        <w:tabs>
          <w:tab w:leader="none" w:pos="25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time of the Acquisition and after giving effect to the Acquisition, there shall not exist any Event of Default under this Agreement or any of the Loan Documents;</w:t>
      </w:r>
    </w:p>
    <w:p>
      <w:pPr>
        <w:spacing w:after="0" w:line="170" w:lineRule="exact"/>
        <w:rPr>
          <w:rFonts w:ascii="Arial" w:cs="Arial" w:eastAsia="Arial" w:hAnsi="Arial"/>
          <w:sz w:val="18"/>
          <w:szCs w:val="18"/>
          <w:color w:val="auto"/>
        </w:rPr>
      </w:pPr>
    </w:p>
    <w:p>
      <w:pPr>
        <w:ind w:left="2560" w:hanging="825"/>
        <w:spacing w:after="0"/>
        <w:tabs>
          <w:tab w:leader="none" w:pos="25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Borrower shall have provided Bank with at least ten (10) Business Days’ prior written notice of the consummation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any such Acquisition;</w:t>
      </w:r>
    </w:p>
    <w:p>
      <w:pPr>
        <w:spacing w:after="0" w:line="210" w:lineRule="exact"/>
        <w:rPr>
          <w:rFonts w:ascii="Arial" w:cs="Arial" w:eastAsia="Arial" w:hAnsi="Arial"/>
          <w:sz w:val="17"/>
          <w:szCs w:val="17"/>
          <w:color w:val="auto"/>
        </w:rPr>
      </w:pPr>
    </w:p>
    <w:p>
      <w:pPr>
        <w:ind w:firstLine="1735"/>
        <w:spacing w:after="0" w:line="277" w:lineRule="auto"/>
        <w:tabs>
          <w:tab w:leader="none" w:pos="2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entity or assets acquired in such acquisition shall not be subject to any Lien other (x) the first priority Liens granted in favor of Bank and (y) Permitted Liens;</w:t>
      </w:r>
    </w:p>
    <w:p>
      <w:pPr>
        <w:spacing w:after="0" w:line="170" w:lineRule="exact"/>
        <w:rPr>
          <w:rFonts w:ascii="Arial" w:cs="Arial" w:eastAsia="Arial" w:hAnsi="Arial"/>
          <w:sz w:val="18"/>
          <w:szCs w:val="18"/>
          <w:color w:val="auto"/>
        </w:rPr>
      </w:pPr>
    </w:p>
    <w:p>
      <w:pPr>
        <w:ind w:right="20" w:firstLine="1735"/>
        <w:spacing w:after="0" w:line="277" w:lineRule="auto"/>
        <w:tabs>
          <w:tab w:leader="none" w:pos="25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Indebtedness will be incurred, assumed, or would exist with respect to Borrower or its Subsidiaries as a result of the contemplated transaction, other than Permitted Indebtedness;</w:t>
      </w:r>
    </w:p>
    <w:p>
      <w:pPr>
        <w:spacing w:after="0" w:line="170" w:lineRule="exact"/>
        <w:rPr>
          <w:rFonts w:ascii="Arial" w:cs="Arial" w:eastAsia="Arial" w:hAnsi="Arial"/>
          <w:sz w:val="18"/>
          <w:szCs w:val="18"/>
          <w:color w:val="auto"/>
        </w:rPr>
      </w:pPr>
    </w:p>
    <w:p>
      <w:pPr>
        <w:ind w:left="2640" w:hanging="905"/>
        <w:spacing w:after="0"/>
        <w:tabs>
          <w:tab w:leader="none" w:pos="2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entity or assets acquired in connection with such transaction are accretive to Borrower’s business; and</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Bank shall have received a certificate of a Responsible Officer of Borrower (prepared in reasonable detail), certifying as to any contingent liabilities, earn-out payments or similar deferred purchase price obligations and prospective research and development costs associated with the Target or assets being acquired.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Holder</w:t>
      </w:r>
      <w:r>
        <w:rPr>
          <w:rFonts w:ascii="Arial" w:cs="Arial" w:eastAsia="Arial" w:hAnsi="Arial"/>
          <w:sz w:val="16"/>
          <w:szCs w:val="16"/>
          <w:color w:val="auto"/>
        </w:rPr>
        <w:t>” means (a) Jack W. Schuler, (b) John Patience, (c) spouses, parents and grandparents and any lineal descendants (including adopted children and their lineal descendants) of any Person described in the foregoing clauses (a) through (b), and (d) any personal investment vehicle, trust or entity owned by, or established for the benefit of, or the estate of, any Person described in the foregoing clauses (a) through (c).</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580" w:hanging="845"/>
        <w:spacing w:after="0"/>
        <w:tabs>
          <w:tab w:leader="none" w:pos="25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accounts payable and other liabilities incurred in the ordinary course of business and not past due by more than ninety</w:t>
      </w:r>
    </w:p>
    <w:p>
      <w:pPr>
        <w:spacing w:after="0" w:line="46" w:lineRule="exact"/>
        <w:rPr>
          <w:rFonts w:ascii="Arial" w:cs="Arial" w:eastAsia="Arial" w:hAnsi="Arial"/>
          <w:sz w:val="16"/>
          <w:szCs w:val="16"/>
          <w:color w:val="auto"/>
        </w:rPr>
      </w:pPr>
    </w:p>
    <w:p>
      <w:pPr>
        <w:ind w:firstLine="8"/>
        <w:spacing w:after="0" w:line="260" w:lineRule="auto"/>
        <w:tabs>
          <w:tab w:leader="none" w:pos="3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days, unless after such ninety (90) day period such payables or liabilities are being actively contested in a matter consistent with past practices of Borrower;</w:t>
      </w:r>
    </w:p>
    <w:p>
      <w:pPr>
        <w:spacing w:after="0" w:line="185" w:lineRule="exact"/>
        <w:rPr>
          <w:rFonts w:ascii="Arial" w:cs="Arial" w:eastAsia="Arial" w:hAnsi="Arial"/>
          <w:sz w:val="18"/>
          <w:szCs w:val="18"/>
          <w:color w:val="auto"/>
        </w:rPr>
      </w:pPr>
    </w:p>
    <w:p>
      <w:pPr>
        <w:ind w:left="2560" w:hanging="825"/>
        <w:spacing w:after="0"/>
        <w:tabs>
          <w:tab w:leader="none" w:pos="25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36" w:lineRule="exact"/>
        <w:rPr>
          <w:rFonts w:ascii="Arial" w:cs="Arial" w:eastAsia="Arial" w:hAnsi="Arial"/>
          <w:sz w:val="17"/>
          <w:szCs w:val="17"/>
          <w:color w:val="auto"/>
        </w:rPr>
      </w:pPr>
    </w:p>
    <w:p>
      <w:pPr>
        <w:ind w:left="2600" w:hanging="865"/>
        <w:spacing w:after="0"/>
        <w:tabs>
          <w:tab w:leader="none" w:pos="26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Indebtedness secured by Liens permitted under clauses (a) and (c) of the definition of “Permitted Liens” hereunder;</w:t>
      </w:r>
    </w:p>
    <w:p>
      <w:pPr>
        <w:spacing w:after="0" w:line="248" w:lineRule="exact"/>
        <w:rPr>
          <w:rFonts w:ascii="Arial" w:cs="Arial" w:eastAsia="Arial" w:hAnsi="Arial"/>
          <w:sz w:val="16"/>
          <w:szCs w:val="16"/>
          <w:color w:val="auto"/>
        </w:rPr>
      </w:pPr>
    </w:p>
    <w:p>
      <w:pPr>
        <w:jc w:val="both"/>
        <w:ind w:firstLine="1735"/>
        <w:spacing w:after="0" w:line="257" w:lineRule="auto"/>
        <w:tabs>
          <w:tab w:leader="none" w:pos="258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 Indebtedness of any Borrower or secured Guarantor hereunder owed to any other Borrower or secured Guarantor hereunder; (ii) Indebtedness of any Subsidiary that is not a Borrower or secured Guarantor hereunder owed to any other Subsidiary that is not a Borrower or secured Guarantor hereunder; (iii) Indebtedness of Subsidiaries that are not Borrowers or secured Guarantors hereunder owed to Borrower in an aggregate amount not to exceed, together with the Investments permitted pursuant to clause (g) of the definition of “Permitted Investments”, One Million Dollars ($1,000,000) at any time;</w:t>
      </w:r>
    </w:p>
    <w:p>
      <w:pPr>
        <w:spacing w:after="0" w:line="187" w:lineRule="exact"/>
        <w:rPr>
          <w:rFonts w:ascii="Arial" w:cs="Arial" w:eastAsia="Arial" w:hAnsi="Arial"/>
          <w:sz w:val="18"/>
          <w:szCs w:val="18"/>
          <w:color w:val="auto"/>
        </w:rPr>
      </w:pPr>
    </w:p>
    <w:p>
      <w:pPr>
        <w:jc w:val="both"/>
        <w:ind w:firstLine="1735"/>
        <w:spacing w:after="0" w:line="257" w:lineRule="auto"/>
        <w:tabs>
          <w:tab w:leader="none" w:pos="2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Indebtedness of Borrower and/or any Subsidiary (i) pursuant to tenders, statutory obligations (including health, safety and environmental obligations), bids, leases, governmental contracts, trade contracts, surety, indemnity, stay, customs, judgment, appeal, performance, completion and/or return of money bonds or guaranties, contract manufacturer obligations or other similar obligations incurred in the ordinary course of business, and (ii) in respect of letters of credit, bank guaranties, surety bonds, performance bonds or similar instruments to support any of the foregoing items;</w:t>
      </w:r>
    </w:p>
    <w:p>
      <w:pPr>
        <w:spacing w:after="0" w:line="187" w:lineRule="exact"/>
        <w:rPr>
          <w:rFonts w:ascii="Arial" w:cs="Arial" w:eastAsia="Arial" w:hAnsi="Arial"/>
          <w:sz w:val="18"/>
          <w:szCs w:val="18"/>
          <w:color w:val="auto"/>
        </w:rPr>
      </w:pPr>
    </w:p>
    <w:p>
      <w:pPr>
        <w:ind w:firstLine="1735"/>
        <w:spacing w:after="0" w:line="277" w:lineRule="auto"/>
        <w:tabs>
          <w:tab w:leader="none" w:pos="2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85"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unsecured Indebtedness incurred in connection with corporate credit cards issued by financial institutions other than Bank or its Affiliates in an aggregate principal amount not to exceed Five Hundred Thousand Dollars ($500,000) at any time outstanding, but only if Borrower is permitted to incur such credit card Indebtedness in accordance with the terms of Section 6.6(b) hereof;</w:t>
      </w:r>
    </w:p>
    <w:p>
      <w:pPr>
        <w:spacing w:after="0" w:line="183" w:lineRule="exact"/>
        <w:rPr>
          <w:rFonts w:ascii="Arial" w:cs="Arial" w:eastAsia="Arial" w:hAnsi="Arial"/>
          <w:sz w:val="18"/>
          <w:szCs w:val="18"/>
          <w:color w:val="auto"/>
        </w:rPr>
      </w:pPr>
    </w:p>
    <w:p>
      <w:pPr>
        <w:ind w:firstLine="1735"/>
        <w:spacing w:after="0" w:line="277" w:lineRule="auto"/>
        <w:tabs>
          <w:tab w:leader="none" w:pos="2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hereunder, in an aggregate maximum amount not to exceed Five Hundred Thousand Dollars ($500,000) at any time;</w:t>
      </w:r>
    </w:p>
    <w:p>
      <w:pPr>
        <w:spacing w:after="0" w:line="170" w:lineRule="exact"/>
        <w:rPr>
          <w:rFonts w:ascii="Arial" w:cs="Arial" w:eastAsia="Arial" w:hAnsi="Arial"/>
          <w:sz w:val="18"/>
          <w:szCs w:val="18"/>
          <w:color w:val="auto"/>
        </w:rPr>
      </w:pPr>
    </w:p>
    <w:p>
      <w:pPr>
        <w:jc w:val="both"/>
        <w:ind w:firstLine="1735"/>
        <w:spacing w:after="0" w:line="286" w:lineRule="auto"/>
        <w:tabs>
          <w:tab w:leader="none" w:pos="2635" w:val="left"/>
        </w:tabs>
        <w:numPr>
          <w:ilvl w:val="1"/>
          <w:numId w:val="56"/>
        </w:numPr>
        <w:rPr>
          <w:rFonts w:ascii="Arial" w:cs="Arial" w:eastAsia="Arial" w:hAnsi="Arial"/>
          <w:sz w:val="17"/>
          <w:szCs w:val="17"/>
          <w:color w:val="auto"/>
        </w:rPr>
      </w:pPr>
      <w:r>
        <w:rPr>
          <w:rFonts w:ascii="Arial" w:cs="Arial" w:eastAsia="Arial" w:hAnsi="Arial"/>
          <w:sz w:val="17"/>
          <w:szCs w:val="17"/>
          <w:color w:val="auto"/>
        </w:rPr>
        <w:t>obligations incurred in the ordinary course of business, in amounts and in a manner consistent with past practices, in respect of workers’ compensation claims, unemployment insurance (including premiums related thereto), payroll and other employee benefit-related obligations (not otherwise in violation of this Agreement), and property, casualty and/or liability insurance or self-insurance;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1735"/>
        <w:spacing w:after="0" w:line="263" w:lineRule="auto"/>
        <w:tabs>
          <w:tab w:leader="none" w:pos="2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(m) above, provided that (i) the principal amount thereof is not increased and (ii) taken as a whole, the terms thereof are not modified to impose more burdensome terms upon Borrower or its Subsidiary, as the case may be.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existing on the Effective Date and shown on the Perfection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firstLine="1735"/>
        <w:spacing w:after="0" w:line="342" w:lineRule="auto"/>
        <w:tabs>
          <w:tab w:leader="none" w:pos="258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Investments consisting of cash and Cash Equivalents, and Investments permitted by Borrower’s investment policy, as amended from time to time, provided that such investment policy (and any such amendments thereto) has been approved in advance, in writing, by Bank;</w:t>
      </w:r>
    </w:p>
    <w:p>
      <w:pPr>
        <w:spacing w:after="0" w:line="123" w:lineRule="exact"/>
        <w:rPr>
          <w:rFonts w:ascii="Arial" w:cs="Arial" w:eastAsia="Arial" w:hAnsi="Arial"/>
          <w:sz w:val="16"/>
          <w:szCs w:val="16"/>
          <w:color w:val="auto"/>
        </w:rPr>
      </w:pPr>
    </w:p>
    <w:p>
      <w:pPr>
        <w:ind w:left="2580" w:hanging="845"/>
        <w:spacing w:after="0"/>
        <w:tabs>
          <w:tab w:leader="none" w:pos="2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ordinary course of Borrower;</w:t>
      </w:r>
    </w:p>
    <w:p>
      <w:pPr>
        <w:spacing w:after="0" w:line="210" w:lineRule="exact"/>
        <w:rPr>
          <w:rFonts w:ascii="Arial" w:cs="Arial" w:eastAsia="Arial" w:hAnsi="Arial"/>
          <w:sz w:val="16"/>
          <w:szCs w:val="16"/>
          <w:color w:val="auto"/>
        </w:rPr>
      </w:pPr>
    </w:p>
    <w:p>
      <w:pPr>
        <w:ind w:left="2600" w:hanging="865"/>
        <w:spacing w:after="0"/>
        <w:tabs>
          <w:tab w:leader="none" w:pos="2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Bank has a perfected security interest;</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firstLine="1735"/>
        <w:spacing w:after="0" w:line="277" w:lineRule="auto"/>
        <w:tabs>
          <w:tab w:leader="none" w:pos="25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(i) by Borrower or any secured Guarantor in any other Borrower or secured Guarantor hereunder, (ii) of any Subsidiary that is not a Borrower or secured Guarantor hereunder in any other Subsidiary that is not a Borrower or secured Guarantor hereunder, (iii) by Borrower or any secured Guarantor in Subsidiaries that are not either Borrowers or secured Guarantors hereunder, in an aggregate amount for all Investments under this clause (iii) not to exceed, together with the Indebtedness permitted pursuant to clause (h) of the defined term “Permitted Indebtedness”, One Million Dollars ($1,000,000) at any time;</w:t>
      </w:r>
    </w:p>
    <w:p>
      <w:pPr>
        <w:spacing w:after="0" w:line="187"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Interests of Borrower or its Subsidiaries pursuant to employee stock purchase plans or agreements approved by Borrower’s board of directors;</w:t>
      </w:r>
    </w:p>
    <w:p>
      <w:pPr>
        <w:spacing w:after="0" w:line="183" w:lineRule="exact"/>
        <w:rPr>
          <w:rFonts w:ascii="Arial" w:cs="Arial" w:eastAsia="Arial" w:hAnsi="Arial"/>
          <w:sz w:val="18"/>
          <w:szCs w:val="18"/>
          <w:color w:val="auto"/>
        </w:rPr>
      </w:pPr>
    </w:p>
    <w:p>
      <w:pPr>
        <w:ind w:firstLine="1735"/>
        <w:spacing w:after="0" w:line="342" w:lineRule="auto"/>
        <w:tabs>
          <w:tab w:leader="none" w:pos="254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123" w:lineRule="exact"/>
        <w:rPr>
          <w:rFonts w:ascii="Arial" w:cs="Arial" w:eastAsia="Arial" w:hAnsi="Arial"/>
          <w:sz w:val="16"/>
          <w:szCs w:val="16"/>
          <w:color w:val="auto"/>
        </w:rPr>
      </w:pPr>
    </w:p>
    <w:p>
      <w:pPr>
        <w:jc w:val="both"/>
        <w:ind w:firstLine="1735"/>
        <w:spacing w:after="0" w:line="263" w:lineRule="auto"/>
        <w:tabs>
          <w:tab w:leader="none" w:pos="25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Investments consisting of security deposits with utilities and other like Persons made in the ordinary course of business;</w:t>
      </w:r>
    </w:p>
    <w:p>
      <w:pPr>
        <w:spacing w:after="0" w:line="248" w:lineRule="exact"/>
        <w:rPr>
          <w:rFonts w:ascii="Arial" w:cs="Arial" w:eastAsia="Arial" w:hAnsi="Arial"/>
          <w:sz w:val="16"/>
          <w:szCs w:val="16"/>
          <w:color w:val="auto"/>
        </w:rPr>
      </w:pPr>
    </w:p>
    <w:p>
      <w:pPr>
        <w:ind w:firstLine="1735"/>
        <w:spacing w:after="0" w:line="277" w:lineRule="auto"/>
        <w:tabs>
          <w:tab w:leader="none" w:pos="25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w:t>
      </w:r>
    </w:p>
    <w:p>
      <w:pPr>
        <w:spacing w:after="0" w:line="170" w:lineRule="exact"/>
        <w:rPr>
          <w:rFonts w:ascii="Arial" w:cs="Arial" w:eastAsia="Arial" w:hAnsi="Arial"/>
          <w:sz w:val="18"/>
          <w:szCs w:val="18"/>
          <w:color w:val="auto"/>
        </w:rPr>
      </w:pPr>
    </w:p>
    <w:p>
      <w:pPr>
        <w:ind w:left="2640" w:hanging="905"/>
        <w:spacing w:after="0"/>
        <w:tabs>
          <w:tab w:leader="none" w:pos="2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Permitted Acquisitions (including the formation and capitalization of Subsidiaries solely in connection with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Permitted Acquisition);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2600" w:hanging="865"/>
        <w:spacing w:after="0"/>
        <w:tabs>
          <w:tab w:leader="none" w:pos="2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other Investments not otherwise permitted hereunder, in an aggregate maximum amount not to exceed One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 ($1,000,000).</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“Permitted Licenses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licenses of over-the-counter software that is commercially available to the public;</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licenses of open-source software that is commercially available to the public;</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immaterial Intellectual Property licensed to Borrower or any of its Subsidiaries; and</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Caprion License.</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Loan Documents;</w:t>
      </w:r>
    </w:p>
    <w:p>
      <w:pPr>
        <w:spacing w:after="0" w:line="211" w:lineRule="exact"/>
        <w:rPr>
          <w:sz w:val="20"/>
          <w:szCs w:val="20"/>
          <w:color w:val="auto"/>
        </w:rPr>
      </w:pPr>
    </w:p>
    <w:p>
      <w:pPr>
        <w:jc w:val="both"/>
        <w:ind w:firstLine="1735"/>
        <w:spacing w:after="0" w:line="263" w:lineRule="auto"/>
        <w:tabs>
          <w:tab w:leader="none" w:pos="25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purchase money Liens or Capital Leases (i) on Equipment acquired or held by Borrower incurred for financing the acquisition of the Equipment securing no more than One Million Dollars ($1,000,000) in the aggregate amount outstanding, or (ii) existing on Equipment when acquired, if the Lien is confined to the property and improvements and the proceeds of the Equipment;</w:t>
      </w:r>
    </w:p>
    <w:p>
      <w:pPr>
        <w:spacing w:after="0" w:line="183" w:lineRule="exact"/>
        <w:rPr>
          <w:rFonts w:ascii="Arial" w:cs="Arial" w:eastAsia="Arial" w:hAnsi="Arial"/>
          <w:sz w:val="18"/>
          <w:szCs w:val="18"/>
          <w:color w:val="auto"/>
        </w:rPr>
      </w:pPr>
    </w:p>
    <w:p>
      <w:pPr>
        <w:jc w:val="both"/>
        <w:ind w:firstLine="1735"/>
        <w:spacing w:after="0" w:line="259" w:lineRule="auto"/>
        <w:tabs>
          <w:tab w:leader="none" w:pos="25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firstLine="1735"/>
        <w:spacing w:after="0" w:line="277" w:lineRule="auto"/>
        <w:tabs>
          <w:tab w:leader="none" w:pos="25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jc w:val="both"/>
        <w:ind w:firstLine="1735"/>
        <w:spacing w:after="0" w:line="279" w:lineRule="auto"/>
        <w:tabs>
          <w:tab w:leader="none" w:pos="25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71" w:lineRule="exact"/>
        <w:rPr>
          <w:rFonts w:ascii="Arial" w:cs="Arial" w:eastAsia="Arial" w:hAnsi="Arial"/>
          <w:sz w:val="17"/>
          <w:szCs w:val="17"/>
          <w:color w:val="auto"/>
        </w:rPr>
      </w:pPr>
    </w:p>
    <w:p>
      <w:pPr>
        <w:ind w:left="2600" w:hanging="865"/>
        <w:spacing w:after="0"/>
        <w:tabs>
          <w:tab w:leader="none" w:pos="2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225" w:lineRule="exact"/>
        <w:rPr>
          <w:rFonts w:ascii="Arial" w:cs="Arial" w:eastAsia="Arial" w:hAnsi="Arial"/>
          <w:sz w:val="18"/>
          <w:szCs w:val="18"/>
          <w:color w:val="auto"/>
        </w:rPr>
      </w:pPr>
    </w:p>
    <w:p>
      <w:pPr>
        <w:ind w:firstLine="1735"/>
        <w:spacing w:after="0" w:line="277" w:lineRule="auto"/>
        <w:tabs>
          <w:tab w:leader="none" w:pos="25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credit card accounts and other accounts; provided that such accounts are permitted to be maintained pursuant to Section 6.6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firstLine="1735"/>
        <w:spacing w:after="0" w:line="277" w:lineRule="auto"/>
        <w:tabs>
          <w:tab w:leader="none" w:pos="25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deposits to secure the performance of bids, statutory obligations, surety and appeal bonds (other than bonds related to judgments or litigation), and performance bonds, in each case in the ordinary course of business;</w:t>
      </w:r>
    </w:p>
    <w:p>
      <w:pPr>
        <w:spacing w:after="0" w:line="170" w:lineRule="exact"/>
        <w:rPr>
          <w:rFonts w:ascii="Arial" w:cs="Arial" w:eastAsia="Arial" w:hAnsi="Arial"/>
          <w:sz w:val="18"/>
          <w:szCs w:val="18"/>
          <w:color w:val="auto"/>
        </w:rPr>
      </w:pPr>
    </w:p>
    <w:p>
      <w:pPr>
        <w:ind w:firstLine="1735"/>
        <w:spacing w:after="0" w:line="277" w:lineRule="auto"/>
        <w:tabs>
          <w:tab w:leader="none" w:pos="25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w:t>
      </w:r>
    </w:p>
    <w:p>
      <w:pPr>
        <w:spacing w:after="0" w:line="170" w:lineRule="exact"/>
        <w:rPr>
          <w:rFonts w:ascii="Arial" w:cs="Arial" w:eastAsia="Arial" w:hAnsi="Arial"/>
          <w:sz w:val="18"/>
          <w:szCs w:val="18"/>
          <w:color w:val="auto"/>
        </w:rPr>
      </w:pPr>
    </w:p>
    <w:p>
      <w:pPr>
        <w:ind w:firstLine="1735"/>
        <w:spacing w:after="0" w:line="277" w:lineRule="auto"/>
        <w:tabs>
          <w:tab w:leader="none" w:pos="25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2640" w:hanging="905"/>
        <w:spacing w:after="0"/>
        <w:tabs>
          <w:tab w:leader="none" w:pos="2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236" w:lineRule="exact"/>
        <w:rPr>
          <w:rFonts w:ascii="Arial" w:cs="Arial" w:eastAsia="Arial" w:hAnsi="Arial"/>
          <w:sz w:val="17"/>
          <w:szCs w:val="17"/>
          <w:color w:val="auto"/>
        </w:rPr>
      </w:pPr>
    </w:p>
    <w:p>
      <w:pPr>
        <w:ind w:firstLine="1735"/>
        <w:spacing w:after="0" w:line="277" w:lineRule="auto"/>
        <w:tabs>
          <w:tab w:leader="none" w:pos="25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bankers’ liens, rights of setoff and similar Liens incurred on deposits held in Deposit Accounts permitted to be maintained in accordance with Section 6.6(a) of this Agreement; and</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Sections 8.4 and 8.7.</w:t>
      </w:r>
    </w:p>
    <w:p>
      <w:pPr>
        <w:spacing w:after="0" w:line="20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Locations</w:t>
      </w:r>
      <w:r>
        <w:rPr>
          <w:rFonts w:ascii="Arial" w:cs="Arial" w:eastAsia="Arial" w:hAnsi="Arial"/>
          <w:sz w:val="17"/>
          <w:szCs w:val="17"/>
          <w:color w:val="auto"/>
        </w:rPr>
        <w:t>” means, collectively, the following locations where Collateral may be located from time to time: (a) locations identified in the Perfection Certificate (as the same may be updated from time to time as permitted hereunder), (b) locations with respect to which Borrowers have complied with the requirements of Section 7.2, (c) locations where mobile office equipment (e.g. laptops, mobile phones and the like) may be located with employees in the ordinary course of business, (d) customer sites where testing supplies, samples and lower-level assembly materials are maintained for contracted test performance in the ordinary course of business, (e) other locations where, in the aggregate for all such locations, less than Fifty Thousand Dollars ($50,000) of Collateral is located and (f) in transit between any of the foregoing</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Lockbox Account</w:t>
      </w:r>
      <w:r>
        <w:rPr>
          <w:rFonts w:ascii="Arial" w:cs="Arial" w:eastAsia="Arial" w:hAnsi="Arial"/>
          <w:sz w:val="18"/>
          <w:szCs w:val="18"/>
          <w:color w:val="auto"/>
        </w:rPr>
        <w:t>” means Borrower’s lockbox account no. x72933 at Chase.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Accounts</w:t>
      </w:r>
      <w:r>
        <w:rPr>
          <w:rFonts w:ascii="Arial" w:cs="Arial" w:eastAsia="Arial" w:hAnsi="Arial"/>
          <w:sz w:val="18"/>
          <w:szCs w:val="18"/>
          <w:color w:val="auto"/>
        </w:rPr>
        <w:t>” means (a) the Payment Processor Accounts and (b) the Permitted Lockbox Account.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Transfers of Inventory in the ordinary course of business;</w:t>
      </w:r>
    </w:p>
    <w:p>
      <w:pPr>
        <w:spacing w:after="0" w:line="225" w:lineRule="exact"/>
        <w:rPr>
          <w:rFonts w:ascii="Arial" w:cs="Arial" w:eastAsia="Arial" w:hAnsi="Arial"/>
          <w:sz w:val="18"/>
          <w:szCs w:val="18"/>
          <w:color w:val="auto"/>
        </w:rPr>
      </w:pPr>
    </w:p>
    <w:p>
      <w:pPr>
        <w:ind w:firstLine="1735"/>
        <w:spacing w:after="0" w:line="223" w:lineRule="exact"/>
        <w:tabs>
          <w:tab w:leader="none" w:pos="25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Transfers of surplus, worn</w:t>
      </w:r>
      <w:r>
        <w:rPr>
          <w:rFonts w:ascii="MS PGothic" w:cs="MS PGothic" w:eastAsia="MS PGothic" w:hAnsi="MS PGothic"/>
          <w:sz w:val="18"/>
          <w:szCs w:val="18"/>
          <w:color w:val="auto"/>
        </w:rPr>
        <w:t>‑</w:t>
      </w:r>
      <w:r>
        <w:rPr>
          <w:rFonts w:ascii="Arial" w:cs="Arial" w:eastAsia="Arial" w:hAnsi="Arial"/>
          <w:sz w:val="18"/>
          <w:szCs w:val="18"/>
          <w:color w:val="auto"/>
        </w:rPr>
        <w:t>out or obsolete Equipment or other property that is, in the reasonable judgment of Borrower, no longer economically practicable to maintain or useful in the ordinary course of business of Borrower;</w:t>
      </w:r>
    </w:p>
    <w:p>
      <w:pPr>
        <w:spacing w:after="0" w:line="202" w:lineRule="exact"/>
        <w:rPr>
          <w:rFonts w:ascii="Arial" w:cs="Arial" w:eastAsia="Arial" w:hAnsi="Arial"/>
          <w:sz w:val="18"/>
          <w:szCs w:val="18"/>
          <w:color w:val="auto"/>
        </w:rPr>
      </w:pPr>
    </w:p>
    <w:p>
      <w:pPr>
        <w:ind w:left="2580" w:hanging="845"/>
        <w:spacing w:after="0"/>
        <w:tabs>
          <w:tab w:leader="none" w:pos="2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Transfers consisting of Permitted Liens, Permitted Investments and Permitted Licenses;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Transfers consisting of the sale or issuance of any stock of Borrower permitted under Section 7.2 of this Agreement;</w:t>
      </w:r>
    </w:p>
    <w:p>
      <w:pPr>
        <w:spacing w:after="0" w:line="248" w:lineRule="exact"/>
        <w:rPr>
          <w:rFonts w:ascii="Arial" w:cs="Arial" w:eastAsia="Arial" w:hAnsi="Arial"/>
          <w:sz w:val="16"/>
          <w:szCs w:val="16"/>
          <w:color w:val="auto"/>
        </w:rPr>
      </w:pPr>
    </w:p>
    <w:p>
      <w:pPr>
        <w:ind w:firstLine="1735"/>
        <w:spacing w:after="0" w:line="277" w:lineRule="auto"/>
        <w:tabs>
          <w:tab w:leader="none" w:pos="25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Transfers consisting of Borrower’s use or transfer of money or Cash Equivalents in a manner that is not prohibited by the terms of this Agreement or the other Loan Documents;</w:t>
      </w:r>
    </w:p>
    <w:p>
      <w:pPr>
        <w:spacing w:after="0" w:line="170" w:lineRule="exact"/>
        <w:rPr>
          <w:rFonts w:ascii="Arial" w:cs="Arial" w:eastAsia="Arial" w:hAnsi="Arial"/>
          <w:sz w:val="18"/>
          <w:szCs w:val="18"/>
          <w:color w:val="auto"/>
        </w:rPr>
      </w:pPr>
    </w:p>
    <w:p>
      <w:pPr>
        <w:ind w:left="2560" w:hanging="825"/>
        <w:spacing w:after="0"/>
        <w:tabs>
          <w:tab w:leader="none" w:pos="2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Transfers to customers’ of Equipment located at a customer’s site for research and collaboration;</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abandonments, cancellations or lapses of Intellectual Property rights or issuances or registrations, or applications for issuances or registrations, of Intellectual Property rights in the ordinary course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business, which, in the good faith determination of Borrower, are not material to the conduct of the business of Borrower or its Subsidiaries;</w:t>
      </w:r>
    </w:p>
    <w:p>
      <w:pPr>
        <w:spacing w:after="0" w:line="225" w:lineRule="exact"/>
        <w:rPr>
          <w:sz w:val="20"/>
          <w:szCs w:val="20"/>
          <w:color w:val="auto"/>
        </w:rPr>
      </w:pPr>
    </w:p>
    <w:p>
      <w:pPr>
        <w:ind w:left="2600" w:hanging="865"/>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leasing or subleasing of real property in the ordinary course of business;</w:t>
      </w:r>
    </w:p>
    <w:p>
      <w:pPr>
        <w:spacing w:after="0" w:line="225" w:lineRule="exact"/>
        <w:rPr>
          <w:rFonts w:ascii="Arial" w:cs="Arial" w:eastAsia="Arial" w:hAnsi="Arial"/>
          <w:sz w:val="18"/>
          <w:szCs w:val="18"/>
          <w:color w:val="auto"/>
        </w:rPr>
      </w:pPr>
    </w:p>
    <w:p>
      <w:pPr>
        <w:jc w:val="both"/>
        <w:ind w:firstLine="1735"/>
        <w:spacing w:after="0" w:line="259" w:lineRule="auto"/>
        <w:tabs>
          <w:tab w:leader="none" w:pos="25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Transfers and/or terminations of, or constituting, leases, subleases, licenses, sublicenses or cross-licenses (including the provision of software under any open source license and any related Transfer of improvements made to leased real property resulting therefrom), the Transfers or terminations of which (i) do not materially interfere with the business of Borrower and its Subsidiaries, (ii) relate to closed facilities or the discontinuation of any product line or (iii) are made in the ordinary course of business;</w:t>
      </w:r>
    </w:p>
    <w:p>
      <w:pPr>
        <w:spacing w:after="0" w:line="186" w:lineRule="exact"/>
        <w:rPr>
          <w:rFonts w:ascii="Arial" w:cs="Arial" w:eastAsia="Arial" w:hAnsi="Arial"/>
          <w:sz w:val="18"/>
          <w:szCs w:val="18"/>
          <w:color w:val="auto"/>
        </w:rPr>
      </w:pPr>
    </w:p>
    <w:p>
      <w:pPr>
        <w:ind w:left="2560" w:hanging="825"/>
        <w:spacing w:after="0"/>
        <w:tabs>
          <w:tab w:leader="none" w:pos="2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expiration of any option agreement in respect of real or personal property;</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surrender or waiver of contractual rights or the settlement, release or surrender of contractual rights or litigation claims (including in tort) in the ordinary course of business;</w:t>
      </w:r>
    </w:p>
    <w:p>
      <w:pPr>
        <w:spacing w:after="0" w:line="170" w:lineRule="exact"/>
        <w:rPr>
          <w:rFonts w:ascii="Arial" w:cs="Arial" w:eastAsia="Arial" w:hAnsi="Arial"/>
          <w:sz w:val="18"/>
          <w:szCs w:val="18"/>
          <w:color w:val="auto"/>
        </w:rPr>
      </w:pPr>
    </w:p>
    <w:p>
      <w:pPr>
        <w:ind w:left="2560" w:hanging="825"/>
        <w:spacing w:after="0"/>
        <w:tabs>
          <w:tab w:leader="none" w:pos="2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distribution, dividends and other payments permitted under Section 7.7;</w:t>
      </w:r>
    </w:p>
    <w:p>
      <w:pPr>
        <w:spacing w:after="0" w:line="225" w:lineRule="exact"/>
        <w:rPr>
          <w:rFonts w:ascii="Arial" w:cs="Arial" w:eastAsia="Arial" w:hAnsi="Arial"/>
          <w:sz w:val="18"/>
          <w:szCs w:val="18"/>
          <w:color w:val="auto"/>
        </w:rPr>
      </w:pPr>
    </w:p>
    <w:p>
      <w:pPr>
        <w:ind w:left="2640" w:hanging="905"/>
        <w:spacing w:after="0"/>
        <w:tabs>
          <w:tab w:leader="none" w:pos="2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non-exclusive licenses for the use of Borrower’s or any Subsidiary’s Intellectual Property entered into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jc w:val="both"/>
        <w:ind w:firstLine="1735"/>
        <w:spacing w:after="0" w:line="273" w:lineRule="auto"/>
        <w:tabs>
          <w:tab w:leader="none" w:pos="258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exclusive licenses for the use of non-material and non-core Intellectual Property owned or co-owned by Borrower or any Subsidiary, which in the good faith business judgment of Borrower is expected to remain non-material and non-core to Borrower in perpetuity, entered into in the ordinary course of business; provided that (i) Borrower must deliver ten (10) days’ prior written notice and a brief summary of the terms of the proposed license to Bank and deliver to Bank copies of the final executed licensing documents in connection with the exclusive license promptly upon consummation thereof, and (ii) any such license could not result in a legal transfer of title of the licensed property but may be exclusive in respects other than territory and may be exclusive as to territory only as to discrete geographical areas outside of the United States; and</w:t>
      </w:r>
    </w:p>
    <w:p>
      <w:pPr>
        <w:spacing w:after="0" w:line="177" w:lineRule="exact"/>
        <w:rPr>
          <w:rFonts w:ascii="Arial" w:cs="Arial" w:eastAsia="Arial" w:hAnsi="Arial"/>
          <w:sz w:val="17"/>
          <w:szCs w:val="17"/>
          <w:color w:val="auto"/>
        </w:rPr>
      </w:pPr>
    </w:p>
    <w:p>
      <w:pPr>
        <w:jc w:val="both"/>
        <w:ind w:right="20" w:firstLine="1735"/>
        <w:spacing w:after="0" w:line="263" w:lineRule="auto"/>
        <w:tabs>
          <w:tab w:leader="none" w:pos="25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Transfers not otherwise permitted in clauses (a) through (l) involving assets having a fair market value of not more than One Million Dollars ($1,000,000) in the aggregate in any fiscal year so long as no Event of Default has occurred or would occurs immediately following any such Transfer.</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 employee pension benefit plan which is covered by Title IV of ERISA or subject to the minimum funding standards under Section 412 and 430 of the Internal Revenue Code and is either (i) maintained by Borrower or a Subsidiary of Borrower for the employees of Borrower or its Subsidiaries or (ii) maintained pursuant to a collective bargaining agreement or any other arrangement under which more than one employer makes contributions and to which Borrower or a Subsidiary of Borrower is then making or accruing an obligation to make contributions or has within the preceding five plan years made contributions.</w:t>
      </w:r>
    </w:p>
    <w:p>
      <w:pPr>
        <w:spacing w:after="0" w:line="183"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Fee</w:t>
      </w:r>
      <w:r>
        <w:rPr>
          <w:rFonts w:ascii="Arial" w:cs="Arial" w:eastAsia="Arial" w:hAnsi="Arial"/>
          <w:sz w:val="16"/>
          <w:szCs w:val="16"/>
          <w:color w:val="auto"/>
        </w:rPr>
        <w:t>” means a fee due upon prepayment (whether voluntary or otherwise) of the Term Loan Advance equal to (a) three percent (3.00%) of the outstanding principal balance of the Term Loan Advance if the prepayment is made prior to the first (1st) anniversary of the Effective Date,</w:t>
      </w:r>
    </w:p>
    <w:p>
      <w:pPr>
        <w:spacing w:after="0" w:line="1" w:lineRule="exact"/>
        <w:rPr>
          <w:sz w:val="20"/>
          <w:szCs w:val="20"/>
          <w:color w:val="auto"/>
        </w:rPr>
      </w:pPr>
    </w:p>
    <w:p>
      <w:pPr>
        <w:jc w:val="both"/>
        <w:ind w:firstLine="8"/>
        <w:spacing w:after="0" w:line="273" w:lineRule="auto"/>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two percent (2.00%) of the outstanding principal balance of the Term Loan Advance if the prepayment is made on or after the first (1st) anniversary of the Effective Date but prior to the second (2nd) anniversary of the Effective Date, (c) one percent (1.00%) of the outstanding principal balance of the Term Loan Advance if the prepayment is made on or after the second (2nd) anniversary of the Effective Date but prior to October 19, 2025, or (d) zero percent (0.00%) of the outstanding principal balance of the Term Loan Advance if such prepayment occurs at any time thereafter.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86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Reconciliations</w:t>
      </w:r>
      <w:r>
        <w:rPr>
          <w:rFonts w:ascii="Arial" w:cs="Arial" w:eastAsia="Arial" w:hAnsi="Arial"/>
          <w:sz w:val="18"/>
          <w:szCs w:val="18"/>
          <w:color w:val="auto"/>
        </w:rPr>
        <w:t>” is defined in Section 6.2(c)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Months Liquidity</w:t>
      </w:r>
      <w:r>
        <w:rPr>
          <w:rFonts w:ascii="Arial" w:cs="Arial" w:eastAsia="Arial" w:hAnsi="Arial"/>
          <w:sz w:val="18"/>
          <w:szCs w:val="18"/>
          <w:color w:val="auto"/>
        </w:rPr>
        <w:t>” means, as of any date of determination, the result of (a) Liquidity divided by (b) Cash Burn.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Chief Accounting Officer of Borrower.</w:t>
      </w:r>
    </w:p>
    <w:p>
      <w:pPr>
        <w:spacing w:after="0" w:line="23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all or any material portion of the Collateral.</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Obligations</w:t>
      </w:r>
      <w:r>
        <w:rPr>
          <w:rFonts w:ascii="Arial" w:cs="Arial" w:eastAsia="Arial" w:hAnsi="Arial"/>
          <w:sz w:val="17"/>
          <w:szCs w:val="17"/>
          <w:color w:val="auto"/>
        </w:rPr>
        <w:t>” are Borrower’s obligations to pay when due any debts, principal, interest, fees, Bank Expenses, the Prepayment Fee, the Final Payment, and other amounts Borrower owes Bank now or later, whether under this Agreement, the or any other Loan Documents, or otherwise, including, without limitation, all obligations relating to letters of credit (including reimbursement obligations for drawn and undrawn letters of credit), cash management services, and foreign exchange contracts, and including interest accruing after Insolvency Proceedings begin and debts, liabilities, or obligations of Borrower assigned to Bank, and to perform Borrower’s duties under the Loan Documents.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37"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the Secured Obligations pursuant to a subordination, intercreditor, or other similar agreement in form and substance reasonably satisfactory to Bank and entered into between Bank and the other creditor.</w:t>
      </w:r>
    </w:p>
    <w:p>
      <w:pPr>
        <w:spacing w:after="0" w:line="14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Payment</w:t>
      </w:r>
      <w:r>
        <w:rPr>
          <w:rFonts w:ascii="Arial" w:cs="Arial" w:eastAsia="Arial" w:hAnsi="Arial"/>
          <w:sz w:val="18"/>
          <w:szCs w:val="18"/>
          <w:color w:val="auto"/>
        </w:rPr>
        <w:t>” is defined in Section 2.1.1(b).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March 1, 2026.</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TTM Revenue Milestone</w:t>
      </w:r>
      <w:r>
        <w:rPr>
          <w:rFonts w:ascii="Arial" w:cs="Arial" w:eastAsia="Arial" w:hAnsi="Arial"/>
          <w:sz w:val="18"/>
          <w:szCs w:val="18"/>
          <w:color w:val="auto"/>
        </w:rPr>
        <w:t>” means Bank’s receipt, after the Effective Date but on or prior to March 19, 2023 of evidence reasonably satisfactory to Bank (based on financial statements prepared in accordance with GAAP) confirming that Borrower has, as of the end of any calendar month ending on or prior to September 30, 2022, achieved at least Sixty-Five Million Dollars ($65,000,000) in revenue (measured in accordance with GAAP on a trailing twelve (12) month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8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BORROWERS: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Scott Hutton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KRISTINE ROHMER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Kristine Rohmer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[Signature Page to Loan and Security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Notwithstanding the foregoing, the Collateral does not include</w:t>
      </w:r>
    </w:p>
    <w:p>
      <w:pPr>
        <w:spacing w:after="0" w:line="225" w:lineRule="exact"/>
        <w:rPr>
          <w:sz w:val="20"/>
          <w:szCs w:val="20"/>
          <w:color w:val="auto"/>
        </w:rPr>
      </w:pPr>
    </w:p>
    <w:p>
      <w:pPr>
        <w:jc w:val="both"/>
        <w:ind w:left="1300" w:hanging="442"/>
        <w:spacing w:after="0" w:line="301"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more than sixty-five percent (65%) of the presently existing and hereafter arising issued and outstanding shares of capital stock owned by Borrower of a foreign subsidiary which shares entitle the holder thereof to vote for directors or any other matter, but only if Borrower can demonstrate to Bank’s reasonable satisfaction that pledging in excess of sixty-five percent (65%) of the outstanding shares of capital stock of such foreign subsidiary would cause an adverse tax consequence for Borrower or the applicable foreign subsidiary;</w:t>
      </w:r>
    </w:p>
    <w:p>
      <w:pPr>
        <w:spacing w:after="0" w:line="157" w:lineRule="exact"/>
        <w:rPr>
          <w:rFonts w:ascii="Arial" w:cs="Arial" w:eastAsia="Arial" w:hAnsi="Arial"/>
          <w:sz w:val="16"/>
          <w:szCs w:val="16"/>
          <w:color w:val="auto"/>
        </w:rPr>
      </w:pPr>
    </w:p>
    <w:p>
      <w:pPr>
        <w:jc w:val="both"/>
        <w:ind w:left="1300" w:hanging="442"/>
        <w:spacing w:after="0" w:line="25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w:t>
      </w:r>
    </w:p>
    <w:p>
      <w:pPr>
        <w:spacing w:after="0" w:line="18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rights held under a license that are not assignable by their terms without the consent of the licensor thereof (but only to the extent such restriction on assignment is enforceable under applicable law;</w:t>
      </w:r>
    </w:p>
    <w:p>
      <w:pPr>
        <w:spacing w:after="0" w:line="170" w:lineRule="exact"/>
        <w:rPr>
          <w:rFonts w:ascii="Arial" w:cs="Arial" w:eastAsia="Arial" w:hAnsi="Arial"/>
          <w:sz w:val="18"/>
          <w:szCs w:val="18"/>
          <w:color w:val="auto"/>
        </w:rPr>
      </w:pPr>
    </w:p>
    <w:p>
      <w:pPr>
        <w:jc w:val="both"/>
        <w:ind w:left="1300" w:hanging="442"/>
        <w:spacing w:after="0" w:line="259"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w:t>
      </w:r>
    </w:p>
    <w:p>
      <w:pPr>
        <w:spacing w:after="0" w:line="186"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deposit accounts specifically and exclusively used for payroll, payroll taxes and other employee wage and benefit plans to or for the benefit of Borrower’s employees,</w:t>
      </w:r>
    </w:p>
    <w:p>
      <w:pPr>
        <w:spacing w:after="0" w:line="170" w:lineRule="exact"/>
        <w:rPr>
          <w:rFonts w:ascii="Arial" w:cs="Arial" w:eastAsia="Arial" w:hAnsi="Arial"/>
          <w:sz w:val="18"/>
          <w:szCs w:val="18"/>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firstLine="864"/>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2140" w:type="dxa"/>
            <w:vAlign w:val="bottom"/>
            <w:gridSpan w:val="2"/>
          </w:tcPr>
          <w:p>
            <w:pPr>
              <w:spacing w:after="0"/>
              <w:rPr>
                <w:sz w:val="17"/>
                <w:szCs w:val="17"/>
                <w:color w:val="auto"/>
              </w:rPr>
            </w:pPr>
          </w:p>
        </w:tc>
      </w:tr>
      <w:tr>
        <w:trPr>
          <w:trHeight w:val="412"/>
        </w:trPr>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40" w:type="dxa"/>
            <w:vAlign w:val="bottom"/>
            <w:gridSpan w:val="5"/>
          </w:tcPr>
          <w:p>
            <w:pPr>
              <w:jc w:val="center"/>
              <w:ind w:right="610"/>
              <w:spacing w:after="0"/>
              <w:rPr>
                <w:sz w:val="20"/>
                <w:szCs w:val="20"/>
                <w:color w:val="auto"/>
              </w:rPr>
            </w:pPr>
            <w:r>
              <w:rPr>
                <w:rFonts w:ascii="Arial" w:cs="Arial" w:eastAsia="Arial" w:hAnsi="Arial"/>
                <w:sz w:val="18"/>
                <w:szCs w:val="18"/>
                <w:b w:val="1"/>
                <w:bCs w:val="1"/>
                <w:color w:val="auto"/>
              </w:rPr>
              <w:t>COMPLIANCE STATEMENT</w:t>
            </w:r>
          </w:p>
        </w:tc>
      </w:tr>
      <w:tr>
        <w:trPr>
          <w:trHeight w:val="475"/>
        </w:trPr>
        <w:tc>
          <w:tcPr>
            <w:tcW w:w="720" w:type="dxa"/>
            <w:vAlign w:val="bottom"/>
          </w:tcPr>
          <w:p>
            <w:pPr>
              <w:spacing w:after="0"/>
              <w:rPr>
                <w:sz w:val="20"/>
                <w:szCs w:val="20"/>
                <w:color w:val="auto"/>
              </w:rPr>
            </w:pPr>
            <w:r>
              <w:rPr>
                <w:rFonts w:ascii="Arial" w:cs="Arial" w:eastAsia="Arial" w:hAnsi="Arial"/>
                <w:sz w:val="18"/>
                <w:szCs w:val="18"/>
                <w:color w:val="auto"/>
              </w:rPr>
              <w:t>TO:</w:t>
            </w:r>
          </w:p>
        </w:tc>
        <w:tc>
          <w:tcPr>
            <w:tcW w:w="2980" w:type="dxa"/>
            <w:vAlign w:val="bottom"/>
          </w:tcPr>
          <w:p>
            <w:pPr>
              <w:ind w:left="160"/>
              <w:spacing w:after="0"/>
              <w:rPr>
                <w:sz w:val="20"/>
                <w:szCs w:val="20"/>
                <w:color w:val="auto"/>
              </w:rPr>
            </w:pPr>
            <w:r>
              <w:rPr>
                <w:rFonts w:ascii="Arial" w:cs="Arial" w:eastAsia="Arial" w:hAnsi="Arial"/>
                <w:sz w:val="18"/>
                <w:szCs w:val="18"/>
                <w:b w:val="1"/>
                <w:bCs w:val="1"/>
                <w:color w:val="auto"/>
              </w:rPr>
              <w:t>SILICON VALLEY BANK</w:t>
            </w:r>
          </w:p>
        </w:tc>
        <w:tc>
          <w:tcPr>
            <w:tcW w:w="7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w w:val="83"/>
              </w:rPr>
              <w:t>Date:</w:t>
            </w:r>
          </w:p>
        </w:tc>
      </w:tr>
      <w:tr>
        <w:trPr>
          <w:trHeight w:val="234"/>
        </w:trPr>
        <w:tc>
          <w:tcPr>
            <w:tcW w:w="720" w:type="dxa"/>
            <w:vAlign w:val="bottom"/>
          </w:tcPr>
          <w:p>
            <w:pPr>
              <w:spacing w:after="0"/>
              <w:rPr>
                <w:sz w:val="20"/>
                <w:szCs w:val="20"/>
                <w:color w:val="auto"/>
              </w:rPr>
            </w:pPr>
            <w:r>
              <w:rPr>
                <w:rFonts w:ascii="Arial" w:cs="Arial" w:eastAsia="Arial" w:hAnsi="Arial"/>
                <w:sz w:val="18"/>
                <w:szCs w:val="18"/>
                <w:color w:val="auto"/>
              </w:rPr>
              <w:t>FROM:</w:t>
            </w:r>
          </w:p>
        </w:tc>
        <w:tc>
          <w:tcPr>
            <w:tcW w:w="2980" w:type="dxa"/>
            <w:vAlign w:val="bottom"/>
          </w:tcPr>
          <w:p>
            <w:pPr>
              <w:ind w:left="160"/>
              <w:spacing w:after="0"/>
              <w:rPr>
                <w:sz w:val="20"/>
                <w:szCs w:val="20"/>
                <w:color w:val="auto"/>
              </w:rPr>
            </w:pPr>
            <w:r>
              <w:rPr>
                <w:rFonts w:ascii="Arial" w:cs="Arial" w:eastAsia="Arial" w:hAnsi="Arial"/>
                <w:sz w:val="18"/>
                <w:szCs w:val="18"/>
                <w:b w:val="1"/>
                <w:bCs w:val="1"/>
                <w:color w:val="auto"/>
              </w:rPr>
              <w:t>BIODESIX, INC.</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-145415</wp:posOffset>
            </wp:positionV>
            <wp:extent cx="1731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9" w:lineRule="exact"/>
        <w:rPr>
          <w:sz w:val="20"/>
          <w:szCs w:val="20"/>
          <w:color w:val="auto"/>
        </w:rPr>
      </w:pPr>
    </w:p>
    <w:p>
      <w:pPr>
        <w:jc w:val="both"/>
        <w:ind w:firstLine="1727"/>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Borrower and Bank (the “Agreement”): Borrower is in compliance in all material respects for the period ending _______________ with all required covenants except as noted below. Attached are the required</w:t>
      </w:r>
    </w:p>
    <w:p>
      <w:pPr>
        <w:jc w:val="both"/>
        <w:spacing w:after="0" w:line="255" w:lineRule="auto"/>
        <w:rPr>
          <w:sz w:val="20"/>
          <w:szCs w:val="20"/>
          <w:color w:val="auto"/>
        </w:rPr>
      </w:pPr>
      <w:r>
        <w:rPr>
          <w:rFonts w:ascii="Arial" w:cs="Arial" w:eastAsia="Arial" w:hAnsi="Arial"/>
          <w:sz w:val="18"/>
          <w:szCs w:val="18"/>
          <w:color w:val="auto"/>
        </w:rPr>
        <w:t>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53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Reporting Covenants</w:t>
            </w:r>
          </w:p>
        </w:tc>
        <w:tc>
          <w:tcPr>
            <w:tcW w:w="3760" w:type="dxa"/>
            <w:vAlign w:val="bottom"/>
            <w:tcBorders>
              <w:top w:val="single" w:sz="8" w:color="auto"/>
              <w:right w:val="single" w:sz="8" w:color="auto"/>
            </w:tcBorders>
            <w:gridSpan w:val="3"/>
          </w:tcPr>
          <w:p>
            <w:pPr>
              <w:ind w:left="1540"/>
              <w:spacing w:after="0" w:line="189" w:lineRule="exact"/>
              <w:rPr>
                <w:sz w:val="20"/>
                <w:szCs w:val="20"/>
                <w:color w:val="auto"/>
              </w:rPr>
            </w:pPr>
            <w:r>
              <w:rPr>
                <w:rFonts w:ascii="Arial" w:cs="Arial" w:eastAsia="Arial" w:hAnsi="Arial"/>
                <w:sz w:val="18"/>
                <w:szCs w:val="18"/>
                <w:b w:val="1"/>
                <w:bCs w:val="1"/>
                <w:color w:val="auto"/>
              </w:rPr>
              <w:t>Required</w:t>
            </w:r>
          </w:p>
        </w:tc>
        <w:tc>
          <w:tcPr>
            <w:tcW w:w="68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b w:val="1"/>
                <w:bCs w:val="1"/>
                <w:color w:val="auto"/>
              </w:rPr>
              <w:t>Complies</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Quarterly financial statements with Compliance Statement</w:t>
            </w:r>
          </w:p>
        </w:tc>
        <w:tc>
          <w:tcPr>
            <w:tcW w:w="37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Within 5 Business Days following the date</w:t>
            </w:r>
          </w:p>
        </w:tc>
        <w:tc>
          <w:tcPr>
            <w:tcW w:w="68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9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Borrower is required to file its Form 10-Q</w:t>
            </w: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Annual financial statements (CPA Audited)</w:t>
            </w:r>
          </w:p>
        </w:tc>
        <w:tc>
          <w:tcPr>
            <w:tcW w:w="37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Within 5 Business Days following the date</w:t>
            </w:r>
          </w:p>
        </w:tc>
        <w:tc>
          <w:tcPr>
            <w:tcW w:w="68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9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Borrower is required to file its Form 10-K</w:t>
            </w: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A/R &amp; A/P Agings and a Detailed Listing of Borrower’s Account</w:t>
            </w:r>
          </w:p>
        </w:tc>
        <w:tc>
          <w:tcPr>
            <w:tcW w:w="37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Monthly within 10 Business Days</w:t>
            </w:r>
          </w:p>
        </w:tc>
        <w:tc>
          <w:tcPr>
            <w:tcW w:w="68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9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5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Debtors</w:t>
            </w:r>
          </w:p>
        </w:tc>
        <w:tc>
          <w:tcPr>
            <w:tcW w:w="1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Inventory Reports</w:t>
            </w:r>
          </w:p>
        </w:tc>
        <w:tc>
          <w:tcPr>
            <w:tcW w:w="3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Monthly within 30 days</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6"/>
              </w:rPr>
              <w:t>Yes</w:t>
            </w:r>
          </w:p>
        </w:tc>
        <w:tc>
          <w:tcPr>
            <w:tcW w:w="9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No</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532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3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Within 5 Business Days after filing with SEC</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6"/>
              </w:rPr>
              <w:t>Yes</w:t>
            </w:r>
          </w:p>
        </w:tc>
        <w:tc>
          <w:tcPr>
            <w:tcW w:w="9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No</w:t>
            </w:r>
          </w:p>
        </w:tc>
      </w:tr>
      <w:tr>
        <w:trPr>
          <w:trHeight w:val="195"/>
        </w:trPr>
        <w:tc>
          <w:tcPr>
            <w:tcW w:w="120" w:type="dxa"/>
            <w:vAlign w:val="bottom"/>
            <w:tcBorders>
              <w:left w:val="single" w:sz="8" w:color="auto"/>
            </w:tcBorders>
          </w:tcPr>
          <w:p>
            <w:pPr>
              <w:spacing w:after="0"/>
              <w:rPr>
                <w:sz w:val="16"/>
                <w:szCs w:val="16"/>
                <w:color w:val="auto"/>
              </w:rPr>
            </w:pPr>
          </w:p>
        </w:tc>
        <w:tc>
          <w:tcPr>
            <w:tcW w:w="5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Board approved projections</w:t>
            </w:r>
          </w:p>
        </w:tc>
        <w:tc>
          <w:tcPr>
            <w:tcW w:w="37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w w:val="99"/>
              </w:rPr>
              <w:t>Within 75 days after FYE, or, if earlier, the 7th</w:t>
            </w:r>
          </w:p>
        </w:tc>
        <w:tc>
          <w:tcPr>
            <w:tcW w:w="68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9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No</w:t>
            </w:r>
          </w:p>
        </w:tc>
      </w:tr>
      <w:tr>
        <w:trPr>
          <w:trHeight w:val="216"/>
        </w:trPr>
        <w:tc>
          <w:tcPr>
            <w:tcW w:w="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Business Day following approval by the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Borrower’s board of directors, and within seven</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(7) Business Days of any material</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updates/amendments thereto</w:t>
            </w: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5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Financial Covenants</w:t>
            </w:r>
          </w:p>
        </w:tc>
        <w:tc>
          <w:tcPr>
            <w:tcW w:w="1960" w:type="dxa"/>
            <w:vAlign w:val="bottom"/>
            <w:tcBorders>
              <w:top w:val="single" w:sz="8" w:color="auto"/>
              <w:right w:val="single" w:sz="8" w:color="auto"/>
            </w:tcBorders>
            <w:gridSpan w:val="3"/>
          </w:tcPr>
          <w:p>
            <w:pPr>
              <w:ind w:left="640"/>
              <w:spacing w:after="0" w:line="189" w:lineRule="exact"/>
              <w:rPr>
                <w:sz w:val="20"/>
                <w:szCs w:val="20"/>
                <w:color w:val="auto"/>
              </w:rPr>
            </w:pPr>
            <w:r>
              <w:rPr>
                <w:rFonts w:ascii="Arial" w:cs="Arial" w:eastAsia="Arial" w:hAnsi="Arial"/>
                <w:sz w:val="18"/>
                <w:szCs w:val="18"/>
                <w:b w:val="1"/>
                <w:bCs w:val="1"/>
                <w:color w:val="auto"/>
              </w:rPr>
              <w:t>Required</w:t>
            </w:r>
          </w:p>
        </w:tc>
        <w:tc>
          <w:tcPr>
            <w:tcW w:w="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w w:val="98"/>
              </w:rPr>
              <w:t>Actual</w:t>
            </w:r>
          </w:p>
        </w:tc>
        <w:tc>
          <w:tcPr>
            <w:tcW w:w="700" w:type="dxa"/>
            <w:vAlign w:val="bottom"/>
            <w:tcBorders>
              <w:top w:val="single" w:sz="8" w:color="auto"/>
              <w:right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b w:val="1"/>
                <w:bCs w:val="1"/>
                <w:color w:val="auto"/>
              </w:rPr>
              <w:t>Complies</w:t>
            </w:r>
          </w:p>
        </w:tc>
      </w:tr>
      <w:tr>
        <w:trPr>
          <w:trHeight w:val="20"/>
        </w:trPr>
        <w:tc>
          <w:tcPr>
            <w:tcW w:w="112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2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210"/>
        </w:trPr>
        <w:tc>
          <w:tcPr>
            <w:tcW w:w="554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Minimum Liquidity Ratio (maintain at all times)</w:t>
            </w: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0.95:1.0</w:t>
            </w:r>
          </w:p>
        </w:tc>
        <w:tc>
          <w:tcPr>
            <w:tcW w:w="6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_____:1.0</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7"/>
              </w:rPr>
              <w:t>Yes</w:t>
            </w:r>
          </w:p>
        </w:tc>
        <w:tc>
          <w:tcPr>
            <w:tcW w:w="84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No</w:t>
            </w:r>
          </w:p>
        </w:tc>
      </w:tr>
      <w:tr>
        <w:trPr>
          <w:trHeight w:val="210"/>
        </w:trPr>
        <w:tc>
          <w:tcPr>
            <w:tcW w:w="554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Minimum Revenue (trailing six (6) month basis) (tested quarterly)</w:t>
            </w:r>
          </w:p>
        </w:tc>
        <w:tc>
          <w:tcPr>
            <w:tcW w:w="1960" w:type="dxa"/>
            <w:vAlign w:val="bottom"/>
            <w:tcBorders>
              <w:bottom w:val="single" w:sz="8" w:color="auto"/>
              <w:right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__________</w:t>
            </w:r>
          </w:p>
        </w:tc>
        <w:tc>
          <w:tcPr>
            <w:tcW w:w="2080" w:type="dxa"/>
            <w:vAlign w:val="bottom"/>
            <w:tcBorders>
              <w:bottom w:val="single" w:sz="8" w:color="auto"/>
              <w:right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$______________</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7"/>
              </w:rPr>
              <w:t>Yes</w:t>
            </w:r>
          </w:p>
        </w:tc>
        <w:tc>
          <w:tcPr>
            <w:tcW w:w="84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No</w:t>
            </w:r>
          </w:p>
        </w:tc>
      </w:tr>
      <w:tr>
        <w:trPr>
          <w:trHeight w:val="412"/>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Other Matters</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120" w:type="dxa"/>
            <w:vAlign w:val="bottom"/>
            <w:tcBorders>
              <w:left w:val="single" w:sz="8" w:color="auto"/>
            </w:tcBorders>
            <w:shd w:val="clear" w:color="auto" w:fill="000000"/>
          </w:tcPr>
          <w:p>
            <w:pPr>
              <w:spacing w:after="0" w:line="20" w:lineRule="exact"/>
              <w:rPr>
                <w:sz w:val="1"/>
                <w:szCs w:val="1"/>
                <w:color w:val="auto"/>
              </w:rPr>
            </w:pPr>
          </w:p>
        </w:tc>
        <w:tc>
          <w:tcPr>
            <w:tcW w:w="77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5"/>
        </w:trPr>
        <w:tc>
          <w:tcPr>
            <w:tcW w:w="8880" w:type="dxa"/>
            <w:vAlign w:val="bottom"/>
            <w:gridSpan w:val="10"/>
          </w:tcPr>
          <w:p>
            <w:pPr>
              <w:spacing w:after="0"/>
              <w:rPr>
                <w:sz w:val="20"/>
                <w:szCs w:val="20"/>
                <w:color w:val="auto"/>
              </w:rPr>
            </w:pPr>
            <w:r>
              <w:rPr>
                <w:rFonts w:ascii="Arial" w:cs="Arial" w:eastAsia="Arial" w:hAnsi="Arial"/>
                <w:sz w:val="18"/>
                <w:szCs w:val="18"/>
                <w:color w:val="auto"/>
                <w:w w:val="97"/>
              </w:rPr>
              <w:t>Have there been any amendments of or other changes to the capitalization table of Borrower and to the Operating</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8880" w:type="dxa"/>
            <w:vAlign w:val="bottom"/>
            <w:gridSpan w:val="10"/>
          </w:tcPr>
          <w:p>
            <w:pPr>
              <w:spacing w:after="0"/>
              <w:rPr>
                <w:sz w:val="20"/>
                <w:szCs w:val="20"/>
                <w:color w:val="auto"/>
              </w:rPr>
            </w:pPr>
            <w:r>
              <w:rPr>
                <w:rFonts w:ascii="Arial" w:cs="Arial" w:eastAsia="Arial" w:hAnsi="Arial"/>
                <w:sz w:val="18"/>
                <w:szCs w:val="18"/>
                <w:color w:val="auto"/>
                <w:w w:val="97"/>
              </w:rPr>
              <w:t>Documents of Borrower or any of its Subsidiaries? If yes, provide copies of any such amendments or changes with</w:t>
            </w:r>
          </w:p>
        </w:tc>
        <w:tc>
          <w:tcPr>
            <w:tcW w:w="700" w:type="dxa"/>
            <w:vAlign w:val="bottom"/>
          </w:tcPr>
          <w:p>
            <w:pPr>
              <w:ind w:left="4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No</w:t>
            </w:r>
          </w:p>
        </w:tc>
      </w:tr>
      <w:tr>
        <w:trPr>
          <w:trHeight w:val="230"/>
        </w:trPr>
        <w:tc>
          <w:tcPr>
            <w:tcW w:w="5540" w:type="dxa"/>
            <w:vAlign w:val="bottom"/>
            <w:gridSpan w:val="4"/>
          </w:tcPr>
          <w:p>
            <w:pPr>
              <w:spacing w:after="0"/>
              <w:rPr>
                <w:sz w:val="20"/>
                <w:szCs w:val="20"/>
                <w:color w:val="auto"/>
              </w:rPr>
            </w:pPr>
            <w:r>
              <w:rPr>
                <w:rFonts w:ascii="Arial" w:cs="Arial" w:eastAsia="Arial" w:hAnsi="Arial"/>
                <w:sz w:val="18"/>
                <w:szCs w:val="18"/>
                <w:color w:val="auto"/>
              </w:rPr>
              <w:t>this Compliance Statement.</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ind w:firstLine="864"/>
        <w:spacing w:after="0" w:line="277" w:lineRule="auto"/>
        <w:rPr>
          <w:sz w:val="20"/>
          <w:szCs w:val="20"/>
          <w:color w:val="auto"/>
        </w:rPr>
      </w:pPr>
      <w:r>
        <w:rPr>
          <w:rFonts w:ascii="Arial" w:cs="Arial" w:eastAsia="Arial" w:hAnsi="Arial"/>
          <w:sz w:val="18"/>
          <w:szCs w:val="18"/>
          <w:color w:val="auto"/>
        </w:rPr>
        <w:t>The following financial covenant analysis and information set forth in Schedule 1 attached hereto are true and accurate as of the date of this Compliance Statement.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WEST\292770674.6</w:t>
      </w:r>
    </w:p>
    <w:p>
      <w:pPr>
        <w:sectPr>
          <w:pgSz w:w="11900" w:h="16838" w:orient="portrait"/>
          <w:cols w:equalWidth="0" w:num="1">
            <w:col w:w="11240"/>
          </w:cols>
          <w:pgMar w:left="320" w:top="34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154305</wp:posOffset>
            </wp:positionV>
            <wp:extent cx="2245995" cy="702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Biodesix Announces Closing of New $30 Million Term Loan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Increases Company’s Net Liquidity Position and Reduces Near-Term Cash Interest Costs</w:t>
      </w:r>
    </w:p>
    <w:p>
      <w:pPr>
        <w:spacing w:after="0" w:line="221"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Boulder, CO, March 23, 2021</w:t>
      </w:r>
      <w:r>
        <w:rPr>
          <w:rFonts w:ascii="Arial" w:cs="Arial" w:eastAsia="Arial" w:hAnsi="Arial"/>
          <w:sz w:val="17"/>
          <w:szCs w:val="17"/>
          <w:color w:val="auto"/>
        </w:rPr>
        <w:t>- Biodesix, Inc. (NASDAQ: BDSX; “Biodesix” or the “Company”) a leading data-driven diagnostic solutions company with</w:t>
      </w:r>
      <w:r>
        <w:rPr>
          <w:rFonts w:ascii="Arial" w:cs="Arial" w:eastAsia="Arial" w:hAnsi="Arial"/>
          <w:sz w:val="17"/>
          <w:szCs w:val="17"/>
          <w:b w:val="1"/>
          <w:bCs w:val="1"/>
          <w:color w:val="auto"/>
        </w:rPr>
        <w:t xml:space="preserve"> </w:t>
      </w:r>
      <w:r>
        <w:rPr>
          <w:rFonts w:ascii="Arial" w:cs="Arial" w:eastAsia="Arial" w:hAnsi="Arial"/>
          <w:sz w:val="17"/>
          <w:szCs w:val="17"/>
          <w:color w:val="auto"/>
        </w:rPr>
        <w:t>a focus in lung disease, announced today that it has closed on a new $30 million term loan (New Term Loan) which matures on March 1, 2026.</w:t>
      </w:r>
    </w:p>
    <w:p>
      <w:pPr>
        <w:spacing w:after="0" w:line="14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Biodesix used the proceeds to repay outstanding borrowings of $25.9 million under the Company’s existing term loan with Innovatus Life Sciences Lending Fund I, LP (Innovatus), which was terminated upon payment, and the remaining proceeds of approximately $4 million will enhance existing liquidity for general corporate purposes. The transaction will provide Biodesix with additional operational and financial flexibility to continue the growth of its commercial organization and expansion of its clinical pipeline while extending our maturities and reducing our near-term cash interest costs.</w:t>
      </w:r>
    </w:p>
    <w:p>
      <w:pPr>
        <w:spacing w:after="0" w:line="15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are pleased with the successful execution of this refinancing and our efforts to enhance liquidity and strengthen the balance sheet while improving the terms from our prior facility. The successful closing of this New Term Loan following the on-going disruptions caused by the COVID-19 global pandemic demonstrates the confidence lenders have in our current and long-term plans,“ stated Scott Hutton, Chief Executive Officer of Biodesix.</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details regarding the New Term Loan will be available in Biodesix’s Current Report on Form 8-K to be filed with the Securities and Exchange Commission later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About Biodesix</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Biodesix is a leading diagnostic company with a focus in lung disease. The Company develops diagnostic tests addressing important clinical questions by combining multi-omics through the power of artificial intelligence. Biodesix is the first company to offer six non-invasive tests for patients with diseases of the lung. Biodesix launched the Bio-Rad SARS-CoV-2 ddPCR™ test and the Platelia SARS-CoV-2 Total Ab in response to the global pandemic and virus that impacts the lung and causes COVID-19. The blood-based Biodesix Lung Reflex® strategy for lung cancer patients integrates the GeneStrat® and VeriStrat® tests to support treatment decisions with results in 72 hours, expediting time to treatment. The blood-based Nodify Lung™ nodule risk assessment testing strategy, consisting of the Nodify XL2® and the Nodify CDT™ tests, evaluates the risk of malignancy in incidental pulmonary nodules, enabling physicians to better triage patients to the most appropriate course of action. Biodesix also collaborates with many of the world’s leading biotechnology and pharmaceutical companies to solve complex diagnostic challenges in lung disease. For more information about Biodesix, visit biodesix.com.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the COVID-19 pandemic on Biodesix and its operations, it is possible or assumed future results of operations, including descriptions of its revenues, profitability, outlook and overall business strategy. Forward-looking statements are inherently subject to risks and uncertainties, some of which cannot be predicted or quantified. Factors that could cause actual results to differ materially from those contemplated in this press release can be found in the Risk Factors section of Biodesix’s most recent annual report on Form 10-K, filed March 16, 2021.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Jordona Jackson Smith for Biodesix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Jordona@jacksonbio.com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(805) 674-7347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Feffer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jeremy@lifesciadvisors.com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915-2568</w:t>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1)"/>
      <w:numFmt w:val="lowerLetter"/>
      <w:start w:val="4"/>
    </w:lvl>
  </w:abstractNum>
  <w:abstractNum w:abstractNumId="2">
    <w:nsid w:val="440BADFC"/>
    <w:multiLevelType w:val="hybridMultilevel"/>
    <w:lvl w:ilvl="0">
      <w:lvlJc w:val="left"/>
      <w:lvlText w:val="1"/>
      <w:numFmt w:val="bullet"/>
      <w:start w:val="1"/>
    </w:lvl>
  </w:abstractNum>
  <w:abstractNum w:abstractNumId="3">
    <w:nsid w:val="5072367"/>
    <w:multiLevelType w:val="hybridMultilevel"/>
    <w:lvl w:ilvl="0">
      <w:lvlJc w:val="left"/>
      <w:lvlText w:val="2"/>
      <w:numFmt w:val="bullet"/>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1)"/>
      <w:numFmt w:val="lowerRoman"/>
      <w:start w:val="1"/>
    </w:lvl>
  </w:abstractNum>
  <w:abstractNum w:abstractNumId="6">
    <w:nsid w:val="7724C67E"/>
    <w:multiLevelType w:val="hybridMultilevel"/>
    <w:lvl w:ilvl="0">
      <w:lvlJc w:val="left"/>
      <w:lvlText w:val="(%1)"/>
      <w:numFmt w:val="lowerRoman"/>
      <w:start w:val="2"/>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4"/>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3"/>
      <w:numFmt w:val="bullet"/>
      <w:start w:val="1"/>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11"/>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4"/>
      <w:numFmt w:val="bullet"/>
      <w:start w:val="1"/>
    </w:lvl>
  </w:abstractNum>
  <w:abstractNum w:abstractNumId="17">
    <w:nsid w:val="2A487CB0"/>
    <w:multiLevelType w:val="hybridMultilevel"/>
    <w:lvl w:ilvl="0">
      <w:lvlJc w:val="left"/>
      <w:lvlText w:val="5"/>
      <w:numFmt w:val="bullet"/>
      <w:start w:val="1"/>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6"/>
      <w:numFmt w:val="bullet"/>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upperLetter"/>
      <w:start w:val="1"/>
    </w:lvl>
    <w:lvl w:ilvl="1">
      <w:lvlJc w:val="left"/>
      <w:lvlText w:val="(%2)"/>
      <w:numFmt w:val="lowerLetter"/>
      <w:start w:val="3"/>
    </w:lvl>
  </w:abstractNum>
  <w:abstractNum w:abstractNumId="23">
    <w:nsid w:val="4B588F54"/>
    <w:multiLevelType w:val="hybridMultilevel"/>
    <w:lvl w:ilvl="0">
      <w:lvlJc w:val="left"/>
      <w:lvlText w:val="(%1)"/>
      <w:numFmt w:val="upperLetter"/>
      <w:start w:val="3"/>
    </w:lvl>
    <w:lvl w:ilvl="1">
      <w:lvlJc w:val="left"/>
      <w:lvlText w:val="(%2)"/>
      <w:numFmt w:val="lowerLetter"/>
      <w:start w:val="4"/>
    </w:lvl>
  </w:abstractNum>
  <w:abstractNum w:abstractNumId="24">
    <w:nsid w:val="542289EC"/>
    <w:multiLevelType w:val="hybridMultilevel"/>
    <w:lvl w:ilvl="0">
      <w:lvlJc w:val="left"/>
      <w:lvlText w:val="(%1)"/>
      <w:numFmt w:val="lowerLetter"/>
      <w:start w:val="1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3"/>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1"/>
    </w:lvl>
    <w:lvl w:ilvl="1">
      <w:lvlJc w:val="left"/>
      <w:lvlText w:val="(%2)"/>
      <w:numFmt w:val="lowerLetter"/>
      <w:start w:val="1"/>
    </w:lvl>
  </w:abstractNum>
  <w:abstractNum w:abstractNumId="33">
    <w:nsid w:val="1BA026FA"/>
    <w:multiLevelType w:val="hybridMultilevel"/>
    <w:lvl w:ilvl="0">
      <w:lvlJc w:val="left"/>
      <w:lvlText w:val="(%1)"/>
      <w:numFmt w:val="lowerLetter"/>
      <w:start w:val="35"/>
    </w:lvl>
    <w:lvl w:ilvl="1">
      <w:lvlJc w:val="left"/>
      <w:lvlText w:val="%2"/>
      <w:numFmt w:val="lowerLetter"/>
      <w:start w:val="1"/>
    </w:lvl>
  </w:abstractNum>
  <w:abstractNum w:abstractNumId="34">
    <w:nsid w:val="79A1DEAA"/>
    <w:multiLevelType w:val="hybridMultilevel"/>
    <w:lvl w:ilvl="0">
      <w:lvlJc w:val="left"/>
      <w:lvlText w:val="7"/>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lowerRoman"/>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3"/>
    </w:lvl>
  </w:abstractNum>
  <w:abstractNum w:abstractNumId="39">
    <w:nsid w:val="374A3FE6"/>
    <w:multiLevelType w:val="hybridMultilevel"/>
    <w:lvl w:ilvl="0">
      <w:lvlJc w:val="left"/>
      <w:lvlText w:val="8"/>
      <w:numFmt w:val="bullet"/>
      <w:start w:val="1"/>
    </w:lvl>
  </w:abstractNum>
  <w:abstractNum w:abstractNumId="40">
    <w:nsid w:val="4F4EF005"/>
    <w:multiLevelType w:val="hybridMultilevel"/>
    <w:lvl w:ilvl="0">
      <w:lvlJc w:val="left"/>
      <w:lvlText w:val="(%1)"/>
      <w:numFmt w:val="decimal"/>
      <w:start w:val="3"/>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3"/>
    </w:lvl>
  </w:abstractNum>
  <w:abstractNum w:abstractNumId="44">
    <w:nsid w:val="39386575"/>
    <w:multiLevelType w:val="hybridMultilevel"/>
    <w:lvl w:ilvl="0">
      <w:lvlJc w:val="left"/>
      <w:lvlText w:val="9"/>
      <w:numFmt w:val="bullet"/>
      <w:start w:val="1"/>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Letter"/>
      <w:start w:val="6"/>
    </w:lvl>
  </w:abstractNum>
  <w:abstractNum w:abstractNumId="47">
    <w:nsid w:val="235BA861"/>
    <w:multiLevelType w:val="hybridMultilevel"/>
    <w:lvl w:ilvl="0">
      <w:lvlJc w:val="left"/>
      <w:lvlText w:val="%1"/>
      <w:numFmt w:val="decimal"/>
      <w:start w:val="10"/>
    </w:lvl>
  </w:abstractNum>
  <w:abstractNum w:abstractNumId="48">
    <w:nsid w:val="47398C89"/>
    <w:multiLevelType w:val="hybridMultilevel"/>
    <w:lvl w:ilvl="0">
      <w:lvlJc w:val="left"/>
      <w:lvlText w:val="%1"/>
      <w:numFmt w:val="decimal"/>
      <w:start w:val="11"/>
    </w:lvl>
  </w:abstractNum>
  <w:abstractNum w:abstractNumId="49">
    <w:nsid w:val="354FE9F9"/>
    <w:multiLevelType w:val="hybridMultilevel"/>
    <w:lvl w:ilvl="0">
      <w:lvlJc w:val="left"/>
      <w:lvlText w:val="%1"/>
      <w:numFmt w:val="decimal"/>
      <w:start w:val="12"/>
    </w:lvl>
  </w:abstractNum>
  <w:abstractNum w:abstractNumId="50">
    <w:nsid w:val="15B5AF5C"/>
    <w:multiLevelType w:val="hybridMultilevel"/>
    <w:lvl w:ilvl="0">
      <w:lvlJc w:val="left"/>
      <w:lvlText w:val="%1"/>
      <w:numFmt w:val="decimal"/>
      <w:start w:val="13"/>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decimal"/>
      <w:start w:val="1"/>
    </w:lvl>
    <w:lvl w:ilvl="1">
      <w:lvlJc w:val="left"/>
      <w:lvlText w:val="(%2)"/>
      <w:numFmt w:val="lowerLetter"/>
      <w:start w:val="1"/>
    </w:lvl>
  </w:abstractNum>
  <w:abstractNum w:abstractNumId="55">
    <w:nsid w:val="61574095"/>
    <w:multiLevelType w:val="hybridMultilevel"/>
    <w:lvl w:ilvl="0">
      <w:lvlJc w:val="left"/>
      <w:lvlText w:val="(%1)"/>
      <w:numFmt w:val="decimal"/>
      <w:start w:val="90"/>
    </w:lvl>
    <w:lvl w:ilvl="1">
      <w:lvlJc w:val="left"/>
      <w:lvlText w:val="(%2)"/>
      <w:numFmt w:val="lowerLetter"/>
      <w:start w:val="6"/>
    </w:lvl>
  </w:abstractNum>
  <w:abstractNum w:abstractNumId="56">
    <w:nsid w:val="7E0C57B1"/>
    <w:multiLevelType w:val="hybridMultilevel"/>
    <w:lvl w:ilvl="0">
      <w:lvlJc w:val="left"/>
      <w:lvlText w:val="(%1)"/>
      <w:numFmt w:val="lowerLetter"/>
      <w:start w:val="14"/>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lowerLetter"/>
      <w:start w:val="14"/>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2"/>
    </w:lvl>
  </w:abstractNum>
  <w:abstractNum w:abstractNumId="63">
    <w:nsid w:val="1DBABF00"/>
    <w:multiLevelType w:val="hybridMultilevel"/>
    <w:lvl w:ilvl="0">
      <w:lvlJc w:val="left"/>
      <w:lvlText w:val="(%1)"/>
      <w:numFmt w:val="lowerLetter"/>
      <w:start w:val="10"/>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8"/>
    </w:lvl>
  </w:abstractNum>
  <w:abstractNum w:abstractNumId="66">
    <w:nsid w:val="1381823A"/>
    <w:multiLevelType w:val="hybridMultilevel"/>
    <w:lvl w:ilvl="0">
      <w:lvlJc w:val="left"/>
      <w:lvlText w:val="(%1)"/>
      <w:numFmt w:val="lowerLetter"/>
      <w:start w:val="2"/>
    </w:lvl>
  </w:abstractNum>
  <w:abstractNum w:abstractNumId="67">
    <w:nsid w:val="5DB70AE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2021-03-25T17:24:58Z</dcterms:created>
  <dcterms:modified xsi:type="dcterms:W3CDTF">2021-03-25T17:24:58Z</dcterms:modified>
</cp:coreProperties>
</file>