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55880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83820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-81915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60" w:right="760" w:hanging="452"/>
        <w:spacing w:after="0"/>
        <w:tabs>
          <w:tab w:leader="none" w:pos="460" w:val="left"/>
        </w:tabs>
        <w:numPr>
          <w:ilvl w:val="0"/>
          <w:numId w:val="2"/>
        </w:numPr>
        <w:rPr>
          <w:rFonts w:ascii="MS PGothic" w:cs="MS PGothic" w:eastAsia="MS PGothic" w:hAnsi="MS PGothic"/>
          <w:sz w:val="29"/>
          <w:szCs w:val="29"/>
          <w:color w:val="auto"/>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-145415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68580</wp:posOffset>
            </wp:positionV>
            <wp:extent cx="548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Biodesix,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45" w:lineRule="exact"/>
        <w:rPr>
          <w:sz w:val="24"/>
          <w:szCs w:val="24"/>
          <w:color w:val="auto"/>
        </w:rPr>
      </w:pPr>
    </w:p>
    <w:tbl>
      <w:tblPr>
        <w:tblLayout w:type="fixed"/>
        <w:tblInd w:w="1560" w:type="dxa"/>
        <w:tblCellMar>
          <w:top w:w="0" w:type="dxa"/>
          <w:left w:w="0" w:type="dxa"/>
          <w:bottom w:w="0" w:type="dxa"/>
          <w:right w:w="0" w:type="dxa"/>
        </w:tblCellMar>
      </w:tblPr>
      <w:tr>
        <w:trPr>
          <w:trHeight w:val="216"/>
        </w:trPr>
        <w:tc>
          <w:tcPr>
            <w:tcW w:w="4440" w:type="dxa"/>
            <w:vAlign w:val="bottom"/>
          </w:tcPr>
          <w:p>
            <w:pPr>
              <w:jc w:val="center"/>
              <w:ind w:right="1844"/>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20-3986492</w:t>
            </w:r>
          </w:p>
        </w:tc>
      </w:tr>
      <w:tr>
        <w:trPr>
          <w:trHeight w:val="135"/>
        </w:trPr>
        <w:tc>
          <w:tcPr>
            <w:tcW w:w="444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20" w:type="dxa"/>
            <w:vAlign w:val="bottom"/>
          </w:tcPr>
          <w:p>
            <w:pPr>
              <w:jc w:val="center"/>
              <w:ind w:left="18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440" w:type="dxa"/>
            <w:vAlign w:val="bottom"/>
          </w:tcPr>
          <w:p>
            <w:pPr>
              <w:jc w:val="center"/>
              <w:ind w:right="184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20" w:type="dxa"/>
            <w:vAlign w:val="bottom"/>
          </w:tcPr>
          <w:p>
            <w:pPr>
              <w:jc w:val="center"/>
              <w:ind w:left="18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440" w:type="dxa"/>
            <w:vAlign w:val="bottom"/>
          </w:tcPr>
          <w:p>
            <w:pPr>
              <w:jc w:val="center"/>
              <w:ind w:right="1844"/>
              <w:spacing w:after="0"/>
              <w:rPr>
                <w:sz w:val="20"/>
                <w:szCs w:val="20"/>
                <w:color w:val="auto"/>
              </w:rPr>
            </w:pPr>
            <w:r>
              <w:rPr>
                <w:rFonts w:ascii="Arial" w:cs="Arial" w:eastAsia="Arial" w:hAnsi="Arial"/>
                <w:sz w:val="18"/>
                <w:szCs w:val="18"/>
                <w:b w:val="1"/>
                <w:bCs w:val="1"/>
                <w:color w:val="auto"/>
                <w:w w:val="89"/>
              </w:rPr>
              <w:t>2970 Wilderness Place, Suite 100</w:t>
            </w:r>
          </w:p>
        </w:tc>
        <w:tc>
          <w:tcPr>
            <w:tcW w:w="2920" w:type="dxa"/>
            <w:vAlign w:val="bottom"/>
          </w:tcPr>
          <w:p>
            <w:pPr>
              <w:spacing w:after="0"/>
              <w:rPr>
                <w:sz w:val="18"/>
                <w:szCs w:val="18"/>
                <w:color w:val="auto"/>
              </w:rPr>
            </w:pPr>
          </w:p>
        </w:tc>
      </w:tr>
      <w:tr>
        <w:trPr>
          <w:trHeight w:val="216"/>
        </w:trPr>
        <w:tc>
          <w:tcPr>
            <w:tcW w:w="4440" w:type="dxa"/>
            <w:vAlign w:val="bottom"/>
          </w:tcPr>
          <w:p>
            <w:pPr>
              <w:jc w:val="center"/>
              <w:ind w:right="1844"/>
              <w:spacing w:after="0"/>
              <w:rPr>
                <w:sz w:val="20"/>
                <w:szCs w:val="20"/>
                <w:color w:val="auto"/>
              </w:rPr>
            </w:pPr>
            <w:r>
              <w:rPr>
                <w:rFonts w:ascii="Arial" w:cs="Arial" w:eastAsia="Arial" w:hAnsi="Arial"/>
                <w:sz w:val="18"/>
                <w:szCs w:val="18"/>
                <w:b w:val="1"/>
                <w:bCs w:val="1"/>
                <w:color w:val="auto"/>
                <w:w w:val="91"/>
              </w:rPr>
              <w:t>Boulder, CO</w:t>
            </w:r>
          </w:p>
        </w:tc>
        <w:tc>
          <w:tcPr>
            <w:tcW w:w="2920" w:type="dxa"/>
            <w:vAlign w:val="bottom"/>
          </w:tcPr>
          <w:p>
            <w:pPr>
              <w:jc w:val="right"/>
              <w:ind w:right="186"/>
              <w:spacing w:after="0"/>
              <w:rPr>
                <w:sz w:val="20"/>
                <w:szCs w:val="20"/>
                <w:color w:val="auto"/>
              </w:rPr>
            </w:pPr>
            <w:r>
              <w:rPr>
                <w:rFonts w:ascii="Arial" w:cs="Arial" w:eastAsia="Arial" w:hAnsi="Arial"/>
                <w:sz w:val="18"/>
                <w:szCs w:val="18"/>
                <w:b w:val="1"/>
                <w:bCs w:val="1"/>
                <w:color w:val="auto"/>
              </w:rPr>
              <w:t>80301</w:t>
            </w:r>
          </w:p>
        </w:tc>
      </w:tr>
      <w:tr>
        <w:trPr>
          <w:trHeight w:val="164"/>
        </w:trPr>
        <w:tc>
          <w:tcPr>
            <w:tcW w:w="4440" w:type="dxa"/>
            <w:vAlign w:val="bottom"/>
          </w:tcPr>
          <w:p>
            <w:pPr>
              <w:jc w:val="center"/>
              <w:ind w:right="184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90"/>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76200</wp:posOffset>
            </wp:positionV>
            <wp:extent cx="548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2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40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color w:val="auto"/>
              </w:rPr>
              <w:t>Common Stock, par value $0.001 per share</w:t>
            </w:r>
          </w:p>
        </w:tc>
        <w:tc>
          <w:tcPr>
            <w:tcW w:w="120" w:type="dxa"/>
            <w:vAlign w:val="bottom"/>
          </w:tcPr>
          <w:p>
            <w:pPr>
              <w:spacing w:after="0"/>
              <w:rPr>
                <w:sz w:val="13"/>
                <w:szCs w:val="13"/>
                <w:color w:val="auto"/>
              </w:rPr>
            </w:pPr>
          </w:p>
        </w:tc>
        <w:tc>
          <w:tcPr>
            <w:tcW w:w="22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5"/>
                <w:szCs w:val="15"/>
                <w:color w:val="auto"/>
                <w:w w:val="97"/>
              </w:rPr>
              <w:t>BDSX</w:t>
            </w:r>
          </w:p>
        </w:tc>
        <w:tc>
          <w:tcPr>
            <w:tcW w:w="100" w:type="dxa"/>
            <w:vAlign w:val="bottom"/>
          </w:tcPr>
          <w:p>
            <w:pPr>
              <w:spacing w:after="0"/>
              <w:rPr>
                <w:sz w:val="13"/>
                <w:szCs w:val="13"/>
                <w:color w:val="auto"/>
              </w:rPr>
            </w:pPr>
          </w:p>
        </w:tc>
        <w:tc>
          <w:tcPr>
            <w:tcW w:w="43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5"/>
                <w:szCs w:val="15"/>
                <w:color w:val="auto"/>
                <w:w w:val="97"/>
              </w:rPr>
              <w:t>The NASDAQ Global Market</w:t>
            </w:r>
          </w:p>
        </w:tc>
        <w:tc>
          <w:tcPr>
            <w:tcW w:w="0" w:type="dxa"/>
            <w:vAlign w:val="bottom"/>
          </w:tcPr>
          <w:p>
            <w:pPr>
              <w:spacing w:after="0"/>
              <w:rPr>
                <w:sz w:val="1"/>
                <w:szCs w:val="1"/>
                <w:color w:val="auto"/>
              </w:rPr>
            </w:pPr>
          </w:p>
        </w:tc>
      </w:tr>
      <w:tr>
        <w:trPr>
          <w:trHeight w:val="186"/>
        </w:trPr>
        <w:tc>
          <w:tcPr>
            <w:tcW w:w="45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540"/>
        <w:spacing w:after="0" w:line="21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right="20"/>
        <w:spacing w:after="0" w:line="253" w:lineRule="auto"/>
        <w:rPr>
          <w:sz w:val="20"/>
          <w:szCs w:val="20"/>
          <w:color w:val="auto"/>
        </w:rPr>
      </w:pPr>
      <w:r>
        <w:rPr>
          <w:rFonts w:ascii="Arial" w:cs="Arial" w:eastAsia="Arial" w:hAnsi="Arial"/>
          <w:sz w:val="13"/>
          <w:szCs w:val="13"/>
          <w:color w:val="auto"/>
        </w:rPr>
        <w:t>The aggregate market value of the Registrant’s common stock, par value $.001 per share (the “Common Stock”) held by non-affiliates was approximately $344,635,079 based upon the December 31, 2020, closing price of $20.16 as reported by the Nasdaq Global Select Market. The Registrant has elected to use December 31, 2020 as the calculation date, which was the last trading date of the registrant’s most recently completed fiscal year, because on June 30, 2020 (the last business day of the registrant’s second fiscal quarter), the Registrant was a privately held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12, 2021 was 26,577,782.</w:t>
      </w:r>
    </w:p>
    <w:p>
      <w:pPr>
        <w:spacing w:after="0" w:line="2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ind w:right="2920"/>
        <w:spacing w:after="0" w:line="275" w:lineRule="auto"/>
        <w:rPr>
          <w:sz w:val="20"/>
          <w:szCs w:val="20"/>
          <w:color w:val="auto"/>
        </w:rPr>
      </w:pPr>
      <w:r>
        <w:rPr>
          <w:rFonts w:ascii="Arial" w:cs="Arial" w:eastAsia="Arial" w:hAnsi="Arial"/>
          <w:sz w:val="14"/>
          <w:szCs w:val="14"/>
          <w:color w:val="auto"/>
        </w:rPr>
        <w:t>Portions of the Company’s definitive Proxy Statement for its 2021 Annual Meeting of Shareholders are to be incorporated by reference into Part III, as specifically set forth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2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2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20" w:type="dxa"/>
            <w:vAlign w:val="bottom"/>
          </w:tcPr>
          <w:p>
            <w:pPr>
              <w:ind w:left="2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20" w:type="dxa"/>
            <w:vAlign w:val="bottom"/>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Unresolved Staff Comments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20" w:type="dxa"/>
            <w:vAlign w:val="bottom"/>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Properties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20" w:type="dxa"/>
            <w:vAlign w:val="bottom"/>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20" w:type="dxa"/>
            <w:vAlign w:val="bottom"/>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20" w:type="dxa"/>
            <w:vAlign w:val="bottom"/>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20" w:type="dxa"/>
            <w:vAlign w:val="bottom"/>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Selected Financial Data</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2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20" w:type="dxa"/>
            <w:vAlign w:val="bottom"/>
          </w:tcPr>
          <w:p>
            <w:pPr>
              <w:ind w:left="20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20" w:type="dxa"/>
            <w:vAlign w:val="bottom"/>
          </w:tcPr>
          <w:p>
            <w:pPr>
              <w:ind w:left="20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Financial Statements and Supplementary Data</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20" w:type="dxa"/>
            <w:vAlign w:val="bottom"/>
          </w:tcPr>
          <w:p>
            <w:pPr>
              <w:ind w:left="20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Changes in and Disagreements with Accountants on Accounting and Financial Disclosure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20" w:type="dxa"/>
            <w:vAlign w:val="bottom"/>
          </w:tcPr>
          <w:p>
            <w:pPr>
              <w:ind w:left="20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20" w:type="dxa"/>
            <w:vAlign w:val="bottom"/>
          </w:tcPr>
          <w:p>
            <w:pPr>
              <w:ind w:left="20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20" w:type="dxa"/>
            <w:vAlign w:val="bottom"/>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Directors, Executive Officers and Corporate Governance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20" w:type="dxa"/>
            <w:vAlign w:val="bottom"/>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Executive Compensation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20" w:type="dxa"/>
            <w:vAlign w:val="bottom"/>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Security Ownership of Certain Beneficial Owners and Management and Related Stockholder Matters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20" w:type="dxa"/>
            <w:vAlign w:val="bottom"/>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Certain Relationships and Related Transactions, and Director Independence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20" w:type="dxa"/>
            <w:vAlign w:val="bottom"/>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Principal Accounting Fees and Services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20" w:type="dxa"/>
            <w:vAlign w:val="bottom"/>
          </w:tcPr>
          <w:p>
            <w:pPr>
              <w:ind w:left="20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Exhibits, Financial Statement Schedules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20" w:type="dxa"/>
            <w:vAlign w:val="bottom"/>
          </w:tcPr>
          <w:p>
            <w:pPr>
              <w:ind w:left="20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Form 10-K Summary</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92" w:lineRule="exact"/>
        <w:rPr>
          <w:sz w:val="20"/>
          <w:szCs w:val="20"/>
          <w:color w:val="auto"/>
        </w:rPr>
      </w:pPr>
    </w:p>
    <w:p>
      <w:pPr>
        <w:ind w:right="140" w:firstLine="864"/>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annual Report on Form 10-K, regarding, among other things:</w:t>
      </w:r>
    </w:p>
    <w:p>
      <w:pPr>
        <w:spacing w:after="0" w:line="79" w:lineRule="exact"/>
        <w:rPr>
          <w:sz w:val="20"/>
          <w:szCs w:val="20"/>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225" w:lineRule="exact"/>
        <w:rPr>
          <w:rFonts w:ascii="Arial" w:cs="Arial" w:eastAsia="Arial" w:hAnsi="Arial"/>
          <w:sz w:val="18"/>
          <w:szCs w:val="18"/>
          <w:color w:val="auto"/>
        </w:rPr>
      </w:pPr>
    </w:p>
    <w:p>
      <w:pPr>
        <w:ind w:left="1020" w:right="56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225"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236" w:lineRule="exact"/>
        <w:rPr>
          <w:rFonts w:ascii="Arial" w:cs="Arial" w:eastAsia="Arial" w:hAnsi="Arial"/>
          <w:sz w:val="17"/>
          <w:szCs w:val="17"/>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225"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170" w:lineRule="exact"/>
        <w:rPr>
          <w:rFonts w:ascii="Arial" w:cs="Arial" w:eastAsia="Arial" w:hAnsi="Arial"/>
          <w:sz w:val="18"/>
          <w:szCs w:val="18"/>
          <w:color w:val="auto"/>
        </w:rPr>
      </w:pPr>
    </w:p>
    <w:p>
      <w:pPr>
        <w:ind w:left="1020" w:right="66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170" w:lineRule="exact"/>
        <w:rPr>
          <w:rFonts w:ascii="Arial" w:cs="Arial" w:eastAsia="Arial" w:hAnsi="Arial"/>
          <w:sz w:val="18"/>
          <w:szCs w:val="18"/>
          <w:color w:val="auto"/>
        </w:rPr>
      </w:pPr>
    </w:p>
    <w:p>
      <w:pPr>
        <w:ind w:left="1020" w:right="40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170" w:lineRule="exact"/>
        <w:rPr>
          <w:rFonts w:ascii="Arial" w:cs="Arial" w:eastAsia="Arial" w:hAnsi="Arial"/>
          <w:sz w:val="18"/>
          <w:szCs w:val="18"/>
          <w:color w:val="auto"/>
        </w:rPr>
      </w:pPr>
    </w:p>
    <w:p>
      <w:pPr>
        <w:ind w:left="1020" w:right="46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incurrence of substantial liabilities and limiting or halting the marketing and sale of our diagnostic tests due to product liability lawsuits;</w:t>
      </w:r>
    </w:p>
    <w:p>
      <w:pPr>
        <w:spacing w:after="0" w:line="248" w:lineRule="exact"/>
        <w:rPr>
          <w:rFonts w:ascii="Arial" w:cs="Arial" w:eastAsia="Arial" w:hAnsi="Arial"/>
          <w:sz w:val="16"/>
          <w:szCs w:val="16"/>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225"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 w:name="page4"/>
    <w:bookmarkEnd w:id="3"/>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225" w:lineRule="exact"/>
        <w:rPr>
          <w:rFonts w:ascii="Arial" w:cs="Arial" w:eastAsia="Arial" w:hAnsi="Arial"/>
          <w:sz w:val="18"/>
          <w:szCs w:val="18"/>
          <w:color w:val="auto"/>
        </w:rPr>
      </w:pPr>
    </w:p>
    <w:p>
      <w:pPr>
        <w:ind w:left="1020" w:right="10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225"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225" w:lineRule="exact"/>
        <w:rPr>
          <w:rFonts w:ascii="Arial" w:cs="Arial" w:eastAsia="Arial" w:hAnsi="Arial"/>
          <w:sz w:val="18"/>
          <w:szCs w:val="18"/>
          <w:color w:val="auto"/>
        </w:rPr>
      </w:pPr>
    </w:p>
    <w:p>
      <w:pPr>
        <w:ind w:left="1020" w:right="28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170" w:lineRule="exact"/>
        <w:rPr>
          <w:rFonts w:ascii="Arial" w:cs="Arial" w:eastAsia="Arial" w:hAnsi="Arial"/>
          <w:sz w:val="18"/>
          <w:szCs w:val="18"/>
          <w:color w:val="auto"/>
        </w:rPr>
      </w:pPr>
    </w:p>
    <w:p>
      <w:pPr>
        <w:ind w:left="1020" w:right="28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225" w:lineRule="exact"/>
        <w:rPr>
          <w:rFonts w:ascii="Arial" w:cs="Arial" w:eastAsia="Arial" w:hAnsi="Arial"/>
          <w:sz w:val="18"/>
          <w:szCs w:val="18"/>
          <w:color w:val="auto"/>
        </w:rPr>
      </w:pPr>
    </w:p>
    <w:p>
      <w:pPr>
        <w:ind w:left="1020" w:right="6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225" w:lineRule="exact"/>
        <w:rPr>
          <w:rFonts w:ascii="Arial" w:cs="Arial" w:eastAsia="Arial" w:hAnsi="Arial"/>
          <w:sz w:val="18"/>
          <w:szCs w:val="18"/>
          <w:color w:val="auto"/>
        </w:rPr>
      </w:pPr>
    </w:p>
    <w:p>
      <w:pPr>
        <w:ind w:left="1020" w:right="520" w:hanging="43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170" w:lineRule="exact"/>
        <w:rPr>
          <w:rFonts w:ascii="Arial" w:cs="Arial" w:eastAsia="Arial" w:hAnsi="Arial"/>
          <w:sz w:val="18"/>
          <w:szCs w:val="18"/>
          <w:color w:val="auto"/>
        </w:rPr>
      </w:pPr>
    </w:p>
    <w:p>
      <w:pPr>
        <w:ind w:left="1020" w:hanging="43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225"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These risks are not exhaustive. Other sections of this Annual Report on Form 10-K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w:t>
      </w:r>
    </w:p>
    <w:p>
      <w:pPr>
        <w:spacing w:after="0" w:line="187"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auto"/>
        </w:rPr>
        <w:t>You should read this Annual Report on Form 10-K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mission</w:t>
      </w:r>
      <w:r>
        <w:rPr>
          <w:rFonts w:ascii="Arial" w:cs="Arial" w:eastAsia="Arial" w:hAnsi="Arial"/>
          <w:sz w:val="17"/>
          <w:szCs w:val="17"/>
          <w:color w:val="auto"/>
        </w:rPr>
        <w:t xml:space="preserve"> is to improve every patient’s lung disease care by empowering physicians with swift, comprehensive and actionable insights.</w:t>
      </w:r>
    </w:p>
    <w:p>
      <w:pPr>
        <w:spacing w:after="0" w:line="12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vision</w:t>
      </w:r>
      <w:r>
        <w:rPr>
          <w:rFonts w:ascii="Arial" w:cs="Arial" w:eastAsia="Arial" w:hAnsi="Arial"/>
          <w:sz w:val="17"/>
          <w:szCs w:val="17"/>
          <w:color w:val="auto"/>
        </w:rPr>
        <w:t xml:space="preserve"> is to be a trusted business partner that the world relies on for data-driven diagnostics in lung disease and beyond.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Biodesix, Inc. (“Biodesix”, “we,” “us,” “our” or the “Company”) is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51"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49"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We operate in a single segment and derive our revenue from two sources: (i) providing diagnostic testing services associated with blood-based lung and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We derived 90% and 71% of our total revenues for fiscal 2020 and fiscal 2019, respectively, from our diagnostic testing business.</w:t>
      </w:r>
    </w:p>
    <w:p>
      <w:pPr>
        <w:spacing w:after="0" w:line="14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We are dedicated to continuously publishing and presenting new data on the clinical validation and utility of our diagnostic tests. Since our inception, we have performed over 285,000 tests and continue to generate a large and growing body of clinical evidence. We have participated in 27 clinical studies, five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117" w:lineRule="exact"/>
        <w:rPr>
          <w:sz w:val="20"/>
          <w:szCs w:val="20"/>
          <w:color w:val="auto"/>
        </w:rPr>
      </w:pPr>
    </w:p>
    <w:p>
      <w:pPr>
        <w:ind w:right="760" w:firstLine="589"/>
        <w:spacing w:after="0" w:line="277" w:lineRule="auto"/>
        <w:rPr>
          <w:sz w:val="20"/>
          <w:szCs w:val="20"/>
          <w:color w:val="auto"/>
        </w:rPr>
      </w:pPr>
      <w:r>
        <w:rPr>
          <w:rFonts w:ascii="Arial" w:cs="Arial" w:eastAsia="Arial" w:hAnsi="Arial"/>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Blood-Based Lung Tests</w:t>
      </w:r>
    </w:p>
    <w:p>
      <w:pPr>
        <w:spacing w:after="0" w:line="11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We have four diagnostic blood-based tests across the lung cancer continuum of care, which generated $12.6 million and $17.3 million in revenue for fiscal 2020 and 2019, respectively.</w:t>
      </w:r>
    </w:p>
    <w:p>
      <w:pPr>
        <w:spacing w:after="0" w:line="62" w:lineRule="exact"/>
        <w:rPr>
          <w:sz w:val="20"/>
          <w:szCs w:val="20"/>
          <w:color w:val="auto"/>
        </w:rPr>
      </w:pPr>
    </w:p>
    <w:p>
      <w:pPr>
        <w:ind w:left="1020" w:right="180" w:hanging="432"/>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Nodify XL2® </w:t>
      </w:r>
      <w:r>
        <w:rPr>
          <w:rFonts w:ascii="Arial" w:cs="Arial" w:eastAsia="Arial" w:hAnsi="Arial"/>
          <w:sz w:val="17"/>
          <w:szCs w:val="17"/>
          <w:color w:val="auto"/>
        </w:rPr>
        <w:t>and</w:t>
      </w:r>
      <w:r>
        <w:rPr>
          <w:rFonts w:ascii="Arial" w:cs="Arial" w:eastAsia="Arial" w:hAnsi="Arial"/>
          <w:sz w:val="17"/>
          <w:szCs w:val="17"/>
          <w:i w:val="1"/>
          <w:iCs w:val="1"/>
          <w:color w:val="auto"/>
        </w:rPr>
        <w:t xml:space="preserve"> Nodify CDT™ </w:t>
      </w:r>
      <w:r>
        <w:rPr>
          <w:rFonts w:ascii="Arial" w:cs="Arial" w:eastAsia="Arial" w:hAnsi="Arial"/>
          <w:sz w:val="17"/>
          <w:szCs w:val="17"/>
          <w:color w:val="auto"/>
        </w:rPr>
        <w:t>tests, together marketed as part of our Nodify Lung</w:t>
      </w:r>
      <w:r>
        <w:rPr>
          <w:rFonts w:ascii="Arial" w:cs="Arial" w:eastAsia="Arial" w:hAnsi="Arial"/>
          <w:sz w:val="17"/>
          <w:szCs w:val="17"/>
          <w:i w:val="1"/>
          <w:iCs w:val="1"/>
          <w:color w:val="auto"/>
        </w:rPr>
        <w:t xml:space="preserve">™ </w:t>
      </w:r>
      <w:r>
        <w:rPr>
          <w:rFonts w:ascii="Arial" w:cs="Arial" w:eastAsia="Arial" w:hAnsi="Arial"/>
          <w:sz w:val="17"/>
          <w:szCs w:val="17"/>
          <w:color w:val="auto"/>
        </w:rPr>
        <w:t>Nodule Risk Assessment testing strategy, assess the</w:t>
      </w:r>
      <w:r>
        <w:rPr>
          <w:rFonts w:ascii="Arial" w:cs="Arial" w:eastAsia="Arial" w:hAnsi="Arial"/>
          <w:sz w:val="17"/>
          <w:szCs w:val="17"/>
          <w:i w:val="1"/>
          <w:iCs w:val="1"/>
          <w:color w:val="auto"/>
        </w:rPr>
        <w:t xml:space="preserve"> </w:t>
      </w:r>
      <w:r>
        <w:rPr>
          <w:rFonts w:ascii="Arial" w:cs="Arial" w:eastAsia="Arial" w:hAnsi="Arial"/>
          <w:sz w:val="17"/>
          <w:szCs w:val="17"/>
          <w:color w:val="auto"/>
        </w:rPr>
        <w:t>risk of lung cancer to help identify the most appropriate treatment pathway. We believe we are the only company to offer two commercial blood-based tests to help physicians reclassify risk of malignancy in patients with suspicious lung nodules.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1020" w:right="240" w:hanging="432"/>
        <w:spacing w:after="0" w:line="279"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GeneStrat® </w:t>
      </w:r>
      <w:r>
        <w:rPr>
          <w:rFonts w:ascii="Arial" w:cs="Arial" w:eastAsia="Arial" w:hAnsi="Arial"/>
          <w:sz w:val="17"/>
          <w:szCs w:val="17"/>
          <w:color w:val="auto"/>
        </w:rPr>
        <w:t>and</w:t>
      </w:r>
      <w:r>
        <w:rPr>
          <w:rFonts w:ascii="Arial" w:cs="Arial" w:eastAsia="Arial" w:hAnsi="Arial"/>
          <w:sz w:val="17"/>
          <w:szCs w:val="17"/>
          <w:i w:val="1"/>
          <w:iCs w:val="1"/>
          <w:color w:val="auto"/>
        </w:rPr>
        <w:t xml:space="preserve"> VeriStrat® </w:t>
      </w:r>
      <w:r>
        <w:rPr>
          <w:rFonts w:ascii="Arial" w:cs="Arial" w:eastAsia="Arial" w:hAnsi="Arial"/>
          <w:sz w:val="17"/>
          <w:szCs w:val="17"/>
          <w:color w:val="auto"/>
        </w:rPr>
        <w:t>tests, together marketed as part of our Biodesix Lung Reflex</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strategy, are used following diagnosis of</w:t>
      </w:r>
      <w:r>
        <w:rPr>
          <w:rFonts w:ascii="Arial" w:cs="Arial" w:eastAsia="Arial" w:hAnsi="Arial"/>
          <w:sz w:val="17"/>
          <w:szCs w:val="17"/>
          <w:i w:val="1"/>
          <w:iCs w:val="1"/>
          <w:color w:val="auto"/>
        </w:rPr>
        <w:t xml:space="preserve"> </w:t>
      </w:r>
      <w:r>
        <w:rPr>
          <w:rFonts w:ascii="Arial" w:cs="Arial" w:eastAsia="Arial" w:hAnsi="Arial"/>
          <w:sz w:val="17"/>
          <w:szCs w:val="17"/>
          <w:color w:val="auto"/>
        </w:rPr>
        <w:t>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Tests</w:t>
      </w:r>
    </w:p>
    <w:p>
      <w:pPr>
        <w:spacing w:after="0" w:line="198"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In response to the COVID-19 pandemic, through our partnership with Bio-Rad, we commercialized the Biodesix WorkSafe™ testing program. We generated $28.3 million in revenue from COVID-19 testing during fiscal 2020. Our scientific diagnostic expertise, technologies, and existing commercial infrastructure enabled us to rapidly commercialize two United States Food and Drug Administration (FDA) Emergency Use Authorization (EUA)-authorized tests, a part of our customizable WorkSafe™ program. Both diagnostic tests are owned and were developed by Bio-Rad and Bio-Rad has granted us permission to utilize both tests for commercial diagnostic services.</w:t>
      </w:r>
    </w:p>
    <w:p>
      <w:pPr>
        <w:spacing w:after="0" w:line="14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February 2020, the U.S. Department of Health and Human Services Secretary declared a public health emergency for COVID-19 which justified the authorization of emergency use of diagnostic tests for the detection and/or diagnosis of COVID-19. The Bio-Rad SARS-CoV-2 Droplet Digital™ polymerase chain reaction (ddPCR) test and the Platelia SARS-CoV-2 Total Ab test have been granted FDA EUA pursuant to the current emergency declaration. The Bio-Rad SARS-CoV-2 ddPCR test was FDA EUA authorized on May 1, 2020, authorizing performance of the test in laboratories certified under the Clinical Laboratory Improvement Amendments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tests, we operate and have commercialized the Biodesix WorkSafe testing program.</w:t>
      </w:r>
    </w:p>
    <w:p>
      <w:pPr>
        <w:spacing w:after="0" w:line="138"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Prior to using the Bio-Rad tests as part of our WorkSafe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3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These tests are utilized by healthcare providers, including hospitals and nursing homes, and are also offered to businesses and educational systems to assist in their back-to-work or back-to-school strategies, a crucial element of restarting economic activity. During 2020, we announced multiple partnerships for COVID-19 testing and have entered into an agreement with the State of Colorado to be one of the diagnostic companies to support wide-spread COVID-19 testing for the State. Additionally, we oversee and manage onsite testing and validating testing for the Big Ten Conference athletic competitions.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COVID-19 pandemic has disrupted, and we expect will continue to disrupt, our non-COVID-19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ind w:firstLine="589"/>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 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originally expected before the outbreak of the COVID-19 pandemic.</w:t>
      </w:r>
    </w:p>
    <w:p>
      <w:pPr>
        <w:spacing w:after="0" w:line="15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Conversely, we are also experiencing an increase in revenues related to an increase in the demand for our Biodesix WorkSafe testing program which generated revenue of $28.3 million during fiscal 2020 of which $21.4 million is attributable to the fourth quarter 2020. As a result, our operating costs to expand capacity for COVID-19 testing also increased substantially during 2020 and we expect that trend to continue into the first quarter of 2021.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acquiring herd immunity based on previous natural infection, and the availability and rapid distribution of vaccines, the evolution of variant strains that impact diagnostic test performance, or otherwise, the need for a COVID-19 test could decrease significantly and this could have an adverse effect on our results of operations and profitability. As a result, the increase in revenue due to any increase in demand for these diagnostic tests may not be indicative of our future revenue. See “Risk Factors” for a description of how the COVID-19 pandemic may adversely affect our business, financial condition and results of operations.</w:t>
      </w:r>
    </w:p>
    <w:p>
      <w:pPr>
        <w:spacing w:after="0" w:line="7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Full Year Results for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compared to the prior year:</w:t>
      </w:r>
    </w:p>
    <w:p>
      <w:pPr>
        <w:spacing w:after="0" w:line="117" w:lineRule="exact"/>
        <w:rPr>
          <w:sz w:val="20"/>
          <w:szCs w:val="20"/>
          <w:color w:val="auto"/>
        </w:rPr>
      </w:pPr>
    </w:p>
    <w:p>
      <w:pPr>
        <w:ind w:left="1020" w:hanging="43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$45.6 million, an increase of 86%;</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$23.6 million, an increase of 27%;</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$46.5 million, an increase of 3%;</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$31.4 million, an increase of 2%;</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$6.48;</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by Operating Activities </w:t>
      </w:r>
      <w:r>
        <w:rPr>
          <w:rFonts w:ascii="Arial" w:cs="Arial" w:eastAsia="Arial" w:hAnsi="Arial"/>
          <w:sz w:val="18"/>
          <w:szCs w:val="18"/>
          <w:color w:val="auto"/>
        </w:rPr>
        <w:t>was $21.4 million, compared to $21.7 million used; and</w:t>
      </w:r>
    </w:p>
    <w:p>
      <w:pPr>
        <w:spacing w:after="0" w:line="117" w:lineRule="exact"/>
        <w:rPr>
          <w:rFonts w:ascii="Arial" w:cs="Arial" w:eastAsia="Arial" w:hAnsi="Arial"/>
          <w:sz w:val="18"/>
          <w:szCs w:val="18"/>
          <w:color w:val="auto"/>
        </w:rPr>
      </w:pPr>
    </w:p>
    <w:p>
      <w:pPr>
        <w:ind w:left="1020" w:right="280" w:hanging="43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$62.1 million at December 31, 2020, an increase of $56.8 million primarily resulting from our successful</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in October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Testing Market Size and Opportunity</w:t>
      </w:r>
    </w:p>
    <w:p>
      <w:pPr>
        <w:spacing w:after="0" w:line="11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Despite significant advances over the last decade, lung cancer is still the deadliest type of cancer in both men and women in the United States today. While diagnostic testing has become routinely used at certain points in the lung cancer continuum of care (diagnosis, treatment and monitoring),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108585</wp:posOffset>
            </wp:positionV>
            <wp:extent cx="5229225" cy="1525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2922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research and development pipelines and increase chances of drug development success. We estimate that the biopharmaceutical partnering and research opportunities represent over a $2 billion market annually.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Lung Cancer Continuum of Care – Clinical Unmet Needs</w:t>
      </w:r>
    </w:p>
    <w:p>
      <w:pPr>
        <w:spacing w:after="0" w:line="11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59" w:lineRule="exact"/>
        <w:rPr>
          <w:sz w:val="20"/>
          <w:szCs w:val="20"/>
          <w:color w:val="auto"/>
        </w:rPr>
      </w:pPr>
    </w:p>
    <w:p>
      <w:pPr>
        <w:ind w:left="1020" w:hanging="432"/>
        <w:spacing w:after="0" w:line="287"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Diagnosis</w:t>
      </w:r>
      <w:r>
        <w:rPr>
          <w:rFonts w:ascii="Arial" w:cs="Arial" w:eastAsia="Arial" w:hAnsi="Arial"/>
          <w:sz w:val="16"/>
          <w:szCs w:val="16"/>
          <w:color w:val="auto"/>
        </w:rPr>
        <w:t>: We estimate approximately 1.6 million new incidental lung nodules and potentially 4 million lung nodules from the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Arial" w:cs="Arial" w:eastAsia="Arial" w:hAnsi="Arial"/>
          <w:sz w:val="16"/>
          <w:szCs w:val="16"/>
          <w:i w:val="1"/>
          <w:iCs w:val="1"/>
          <w:color w:val="auto"/>
        </w:rPr>
        <w:t xml:space="preserve">overtreatment </w:t>
      </w:r>
      <w:r>
        <w:rPr>
          <w:rFonts w:ascii="Arial" w:cs="Arial" w:eastAsia="Arial" w:hAnsi="Arial"/>
          <w:sz w:val="16"/>
          <w:szCs w:val="16"/>
          <w:color w:val="auto"/>
        </w:rPr>
        <w:t>of patients with benign nodules or</w:t>
      </w:r>
      <w:r>
        <w:rPr>
          <w:rFonts w:ascii="Arial" w:cs="Arial" w:eastAsia="Arial" w:hAnsi="Arial"/>
          <w:sz w:val="16"/>
          <w:szCs w:val="16"/>
          <w:i w:val="1"/>
          <w:iCs w:val="1"/>
          <w:color w:val="auto"/>
        </w:rPr>
        <w:t xml:space="preserve"> undertreatment </w:t>
      </w:r>
      <w:r>
        <w:rPr>
          <w:rFonts w:ascii="Arial" w:cs="Arial" w:eastAsia="Arial" w:hAnsi="Arial"/>
          <w:sz w:val="16"/>
          <w:szCs w:val="16"/>
          <w:color w:val="auto"/>
        </w:rPr>
        <w:t>in patients with cancer. An estimated 17% of patients with malignant nodules</w:t>
      </w:r>
      <w:r>
        <w:rPr>
          <w:rFonts w:ascii="Arial" w:cs="Arial" w:eastAsia="Arial" w:hAnsi="Arial"/>
          <w:sz w:val="16"/>
          <w:szCs w:val="16"/>
          <w:i w:val="1"/>
          <w:iCs w:val="1"/>
          <w:color w:val="auto"/>
        </w:rPr>
        <w:t xml:space="preserve"> </w:t>
      </w:r>
      <w:r>
        <w:rPr>
          <w:rFonts w:ascii="Arial" w:cs="Arial" w:eastAsia="Arial" w:hAnsi="Arial"/>
          <w:sz w:val="16"/>
          <w:szCs w:val="16"/>
          <w:color w:val="auto"/>
        </w:rPr>
        <w:t>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 w:name="page9"/>
    <w:bookmarkEnd w:id="8"/>
    <w:p>
      <w:pPr>
        <w:ind w:left="1020" w:right="20" w:hanging="432"/>
        <w:spacing w:after="0" w:line="26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Treatment Guidance – Early Stage</w:t>
      </w:r>
      <w:r>
        <w:rPr>
          <w:rFonts w:ascii="Arial" w:cs="Arial" w:eastAsia="Arial" w:hAnsi="Arial"/>
          <w:sz w:val="17"/>
          <w:szCs w:val="17"/>
          <w:color w:val="auto"/>
        </w:rPr>
        <w:t>: We estimate that there are over 700,000 testing opportunities annually in the United States in early-stage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w:t>
      </w:r>
    </w:p>
    <w:p>
      <w:pPr>
        <w:spacing w:after="0" w:line="73" w:lineRule="exact"/>
        <w:rPr>
          <w:rFonts w:ascii="Arial" w:cs="Arial" w:eastAsia="Arial" w:hAnsi="Arial"/>
          <w:sz w:val="17"/>
          <w:szCs w:val="17"/>
          <w:color w:val="auto"/>
        </w:rPr>
      </w:pPr>
    </w:p>
    <w:p>
      <w:pPr>
        <w:ind w:left="1020" w:hanging="432"/>
        <w:spacing w:after="0" w:line="28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Treatment Guidance – Advanced Stage: </w:t>
      </w:r>
      <w:r>
        <w:rPr>
          <w:rFonts w:ascii="Arial" w:cs="Arial" w:eastAsia="Arial" w:hAnsi="Arial"/>
          <w:sz w:val="16"/>
          <w:szCs w:val="16"/>
          <w:color w:val="auto"/>
        </w:rPr>
        <w:t>We estimate that there are over 3 million diagnostic testing opportunities annually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Therefore,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71" w:lineRule="exact"/>
        <w:rPr>
          <w:rFonts w:ascii="Arial" w:cs="Arial" w:eastAsia="Arial" w:hAnsi="Arial"/>
          <w:sz w:val="16"/>
          <w:szCs w:val="16"/>
          <w:color w:val="auto"/>
        </w:rPr>
      </w:pPr>
    </w:p>
    <w:p>
      <w:pPr>
        <w:ind w:left="1020" w:right="120" w:hanging="432"/>
        <w:spacing w:after="0" w:line="274"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estimate that there are over 800,000 testing opportunities in the United States for blood-based tumor and immune profiling</w:t>
      </w:r>
      <w:r>
        <w:rPr>
          <w:rFonts w:ascii="Arial" w:cs="Arial" w:eastAsia="Arial" w:hAnsi="Arial"/>
          <w:sz w:val="17"/>
          <w:szCs w:val="17"/>
          <w:b w:val="1"/>
          <w:bCs w:val="1"/>
          <w:color w:val="auto"/>
        </w:rPr>
        <w:t xml:space="preserve"> </w:t>
      </w:r>
      <w:r>
        <w:rPr>
          <w:rFonts w:ascii="Arial" w:cs="Arial" w:eastAsia="Arial" w:hAnsi="Arial"/>
          <w:sz w:val="17"/>
          <w:szCs w:val="17"/>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Limitations in Biomarker Discovery and Companion Diagnostics</w:t>
      </w:r>
    </w:p>
    <w:p>
      <w:pPr>
        <w:spacing w:after="0" w:line="117" w:lineRule="exact"/>
        <w:rPr>
          <w:sz w:val="20"/>
          <w:szCs w:val="20"/>
          <w:color w:val="auto"/>
        </w:rPr>
      </w:pPr>
    </w:p>
    <w:p>
      <w:pPr>
        <w:ind w:right="40" w:firstLine="539"/>
        <w:spacing w:after="0" w:line="291" w:lineRule="auto"/>
        <w:rPr>
          <w:sz w:val="20"/>
          <w:szCs w:val="20"/>
          <w:color w:val="auto"/>
        </w:rPr>
      </w:pPr>
      <w:r>
        <w:rPr>
          <w:rFonts w:ascii="Arial" w:cs="Arial" w:eastAsia="Arial" w:hAnsi="Arial"/>
          <w:sz w:val="16"/>
          <w:szCs w:val="16"/>
          <w:color w:val="auto"/>
        </w:rPr>
        <w:t>We estimate the biopharmaceutical biomarker testing and companion diagnostic market opportunity is $2 billion annually</w:t>
      </w:r>
      <w:r>
        <w:rPr>
          <w:rFonts w:ascii="Arial" w:cs="Arial" w:eastAsia="Arial" w:hAnsi="Arial"/>
          <w:sz w:val="16"/>
          <w:szCs w:val="16"/>
          <w:i w:val="1"/>
          <w:iCs w:val="1"/>
          <w:color w:val="auto"/>
        </w:rPr>
        <w:t>.</w:t>
      </w:r>
      <w:r>
        <w:rPr>
          <w:rFonts w:ascii="Arial" w:cs="Arial" w:eastAsia="Arial" w:hAnsi="Arial"/>
          <w:sz w:val="16"/>
          <w:szCs w:val="16"/>
          <w:color w:val="auto"/>
        </w:rPr>
        <w:t xml:space="preserve"> Over the last two decades, the use of biomarker testing in clinical trials has increased, with 55% of oncology trials involving the use of biomarker testing in 2018 versus 15% in 2000.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54" w:lineRule="exact"/>
        <w:rPr>
          <w:sz w:val="20"/>
          <w:szCs w:val="20"/>
          <w:color w:val="auto"/>
        </w:rPr>
      </w:pPr>
    </w:p>
    <w:p>
      <w:pPr>
        <w:ind w:left="540"/>
        <w:spacing w:after="0"/>
        <w:tabs>
          <w:tab w:leader="none" w:pos="8640" w:val="left"/>
        </w:tabs>
        <w:rPr>
          <w:sz w:val="20"/>
          <w:szCs w:val="20"/>
          <w:color w:val="auto"/>
        </w:rPr>
      </w:pPr>
      <w:r>
        <w:rPr>
          <w:rFonts w:ascii="Arial" w:cs="Arial" w:eastAsia="Arial" w:hAnsi="Arial"/>
          <w:sz w:val="18"/>
          <w:szCs w:val="18"/>
          <w:b w:val="1"/>
          <w:bCs w:val="1"/>
          <w:color w:val="auto"/>
        </w:rPr>
        <w:t>Biomarker Discovery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many limitations with biomarker discovery in biopharmaceutical drug</w:t>
      </w:r>
      <w:r>
        <w:rPr>
          <w:sz w:val="20"/>
          <w:szCs w:val="20"/>
          <w:color w:val="auto"/>
        </w:rPr>
        <w:tab/>
      </w:r>
      <w:r>
        <w:rPr>
          <w:rFonts w:ascii="Arial" w:cs="Arial" w:eastAsia="Arial" w:hAnsi="Arial"/>
          <w:sz w:val="15"/>
          <w:szCs w:val="15"/>
          <w:color w:val="auto"/>
        </w:rPr>
        <w:t>development, including:</w:t>
      </w:r>
    </w:p>
    <w:p>
      <w:pPr>
        <w:spacing w:after="0" w:line="121" w:lineRule="exact"/>
        <w:rPr>
          <w:sz w:val="20"/>
          <w:szCs w:val="20"/>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Biomarkers with clinical utility are difficult to discover and validate in independent datasets.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Classical statistical approaches to biomarker discovery are limited. Single-omic tests fail to see the whole biological picture.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left="1020" w:right="280" w:hanging="43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62" w:lineRule="exact"/>
        <w:rPr>
          <w:rFonts w:ascii="Arial" w:cs="Arial" w:eastAsia="Arial" w:hAnsi="Arial"/>
          <w:sz w:val="18"/>
          <w:szCs w:val="18"/>
          <w:color w:val="auto"/>
        </w:rPr>
      </w:pPr>
    </w:p>
    <w:p>
      <w:pPr>
        <w:ind w:left="1020" w:right="80" w:hanging="43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trials are expensive and take a long period of time. It is often difficult to meet enrollment goals for clinical trials with slow diagnostic testing turnaround times.</w:t>
      </w:r>
    </w:p>
    <w:p>
      <w:pPr>
        <w:spacing w:after="0" w:line="58" w:lineRule="exact"/>
        <w:rPr>
          <w:sz w:val="20"/>
          <w:szCs w:val="20"/>
          <w:color w:val="auto"/>
        </w:rPr>
      </w:pPr>
    </w:p>
    <w:p>
      <w:pPr>
        <w:jc w:val="both"/>
        <w:ind w:left="600" w:right="160"/>
        <w:spacing w:after="0" w:line="266" w:lineRule="auto"/>
        <w:rPr>
          <w:sz w:val="20"/>
          <w:szCs w:val="20"/>
          <w:color w:val="auto"/>
        </w:rPr>
      </w:pPr>
      <w:r>
        <w:rPr>
          <w:rFonts w:ascii="Arial" w:cs="Arial" w:eastAsia="Arial" w:hAnsi="Arial"/>
          <w:sz w:val="18"/>
          <w:szCs w:val="18"/>
          <w:b w:val="1"/>
          <w:bCs w:val="1"/>
          <w:color w:val="auto"/>
        </w:rPr>
        <w:t xml:space="preserve">Companion Diagnostics (CDx): </w:t>
      </w:r>
      <w:r>
        <w:rPr>
          <w:rFonts w:ascii="Arial" w:cs="Arial" w:eastAsia="Arial" w:hAnsi="Arial"/>
          <w:sz w:val="18"/>
          <w:szCs w:val="18"/>
          <w:color w:val="auto"/>
        </w:rPr>
        <w:t>While developing companion diagnostics is critical to precision medicine, the promise of companion diagnostics</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fully realized and there are multiple limitations that still need resolution. The path to co-develop a successful companion diagnostic with a corresponding drug has several challenges, including:</w:t>
      </w:r>
    </w:p>
    <w:p>
      <w:pPr>
        <w:spacing w:after="0" w:line="72" w:lineRule="exact"/>
        <w:rPr>
          <w:sz w:val="20"/>
          <w:szCs w:val="20"/>
          <w:color w:val="auto"/>
        </w:rPr>
      </w:pPr>
    </w:p>
    <w:p>
      <w:pPr>
        <w:ind w:left="1020" w:right="660" w:hanging="43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companion diagnostic agreements may fail to realize the full value of a testing opportunity, leading to difficulty in funding appropriate commercialization.</w:t>
      </w:r>
    </w:p>
    <w:p>
      <w:pPr>
        <w:spacing w:after="0" w:line="62" w:lineRule="exact"/>
        <w:rPr>
          <w:rFonts w:ascii="Arial" w:cs="Arial" w:eastAsia="Arial" w:hAnsi="Arial"/>
          <w:sz w:val="18"/>
          <w:szCs w:val="18"/>
          <w:color w:val="auto"/>
        </w:rPr>
      </w:pPr>
    </w:p>
    <w:p>
      <w:pPr>
        <w:ind w:left="1020" w:right="440" w:hanging="43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development is a lengthy, complex and costly process. There can be a financial impact to a pharmaceutical company to have a drug selected by a test.</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diagnostic reimbursement policies may not always support the coverage and payment of new companion diagnostics.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agencies continue to work on defining the co-development process, but the environment is continually changing.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Diagnostic Cortex - Our Proprietary Artificial Intelligence (AI) Platform</w:t>
      </w:r>
    </w:p>
    <w:p>
      <w:pPr>
        <w:spacing w:after="0" w:line="108" w:lineRule="exact"/>
        <w:rPr>
          <w:sz w:val="20"/>
          <w:szCs w:val="20"/>
          <w:color w:val="auto"/>
        </w:rPr>
      </w:pPr>
    </w:p>
    <w:p>
      <w:pPr>
        <w:ind w:right="240" w:firstLine="539"/>
        <w:spacing w:after="0" w:line="311"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We focus on developing technologies that are capable of single and multi-omic research and development.</w:t>
      </w:r>
    </w:p>
    <w:p>
      <w:pPr>
        <w:spacing w:after="0" w:line="14" w:lineRule="exact"/>
        <w:rPr>
          <w:sz w:val="20"/>
          <w:szCs w:val="20"/>
          <w:color w:val="auto"/>
        </w:rPr>
      </w:pPr>
    </w:p>
    <w:p>
      <w:pPr>
        <w:ind w:right="120" w:firstLine="539"/>
        <w:spacing w:after="0" w:line="293" w:lineRule="auto"/>
        <w:rPr>
          <w:sz w:val="20"/>
          <w:szCs w:val="20"/>
          <w:color w:val="auto"/>
        </w:rPr>
      </w:pPr>
      <w:r>
        <w:rPr>
          <w:rFonts w:ascii="Arial" w:cs="Arial" w:eastAsia="Arial" w:hAnsi="Arial"/>
          <w:sz w:val="16"/>
          <w:szCs w:val="16"/>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56" w:lineRule="exact"/>
        <w:rPr>
          <w:sz w:val="20"/>
          <w:szCs w:val="20"/>
          <w:color w:val="auto"/>
        </w:rPr>
      </w:pPr>
    </w:p>
    <w:p>
      <w:pPr>
        <w:ind w:right="400" w:firstLine="539"/>
        <w:spacing w:after="0" w:line="334" w:lineRule="auto"/>
        <w:rPr>
          <w:sz w:val="20"/>
          <w:szCs w:val="20"/>
          <w:color w:val="auto"/>
        </w:rPr>
      </w:pPr>
      <w:r>
        <w:rPr>
          <w:rFonts w:ascii="Arial" w:cs="Arial" w:eastAsia="Arial" w:hAnsi="Arial"/>
          <w:sz w:val="16"/>
          <w:szCs w:val="16"/>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1" w:lineRule="exact"/>
        <w:rPr>
          <w:sz w:val="20"/>
          <w:szCs w:val="20"/>
          <w:color w:val="auto"/>
        </w:rPr>
      </w:pPr>
    </w:p>
    <w:p>
      <w:pPr>
        <w:ind w:right="160" w:firstLine="539"/>
        <w:spacing w:after="0" w:line="257" w:lineRule="auto"/>
        <w:rPr>
          <w:sz w:val="20"/>
          <w:szCs w:val="20"/>
          <w:color w:val="auto"/>
        </w:rPr>
      </w:pPr>
      <w:r>
        <w:rPr>
          <w:rFonts w:ascii="Arial" w:cs="Arial" w:eastAsia="Arial" w:hAnsi="Arial"/>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39" w:lineRule="exact"/>
        <w:rPr>
          <w:sz w:val="20"/>
          <w:szCs w:val="20"/>
          <w:color w:val="auto"/>
        </w:rPr>
      </w:pPr>
    </w:p>
    <w:p>
      <w:pPr>
        <w:ind w:firstLine="539"/>
        <w:spacing w:after="0" w:line="272" w:lineRule="auto"/>
        <w:rPr>
          <w:sz w:val="20"/>
          <w:szCs w:val="20"/>
          <w:color w:val="auto"/>
        </w:rPr>
      </w:pPr>
      <w:r>
        <w:rPr>
          <w:rFonts w:ascii="Arial" w:cs="Arial" w:eastAsia="Arial" w:hAnsi="Arial"/>
          <w:sz w:val="17"/>
          <w:szCs w:val="17"/>
          <w:color w:val="auto"/>
        </w:rPr>
        <w:t>We continuously incorporate new market insights and patient data to enhance our platform through a data-driven learning loop. We regularly engage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140" w:firstLine="539"/>
        <w:spacing w:after="0" w:line="277" w:lineRule="auto"/>
        <w:rPr>
          <w:sz w:val="20"/>
          <w:szCs w:val="20"/>
          <w:color w:val="auto"/>
        </w:rPr>
      </w:pPr>
      <w:r>
        <w:rPr>
          <w:rFonts w:ascii="Arial" w:cs="Arial" w:eastAsia="Arial" w:hAnsi="Arial"/>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117475</wp:posOffset>
            </wp:positionV>
            <wp:extent cx="4646295" cy="2400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4629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firstLine="539"/>
        <w:spacing w:after="0" w:line="275" w:lineRule="auto"/>
        <w:rPr>
          <w:sz w:val="20"/>
          <w:szCs w:val="20"/>
          <w:color w:val="auto"/>
        </w:rPr>
      </w:pPr>
      <w:r>
        <w:rPr>
          <w:rFonts w:ascii="Arial" w:cs="Arial" w:eastAsia="Arial" w:hAnsi="Arial"/>
          <w:sz w:val="17"/>
          <w:szCs w:val="17"/>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257810</wp:posOffset>
            </wp:positionV>
            <wp:extent cx="4680585" cy="128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8058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539"/>
        <w:spacing w:after="0" w:line="279" w:lineRule="auto"/>
        <w:rPr>
          <w:sz w:val="20"/>
          <w:szCs w:val="20"/>
          <w:color w:val="auto"/>
        </w:rPr>
      </w:pPr>
      <w:r>
        <w:rPr>
          <w:rFonts w:ascii="Arial" w:cs="Arial" w:eastAsia="Arial" w:hAnsi="Arial"/>
          <w:sz w:val="17"/>
          <w:szCs w:val="17"/>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63" w:lineRule="exact"/>
        <w:rPr>
          <w:sz w:val="20"/>
          <w:szCs w:val="20"/>
          <w:color w:val="auto"/>
        </w:rPr>
      </w:pPr>
    </w:p>
    <w:p>
      <w:pPr>
        <w:ind w:firstLine="540"/>
        <w:spacing w:after="0" w:line="279"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left="540"/>
        <w:spacing w:after="0"/>
        <w:rPr>
          <w:sz w:val="20"/>
          <w:szCs w:val="20"/>
          <w:color w:val="auto"/>
        </w:rPr>
      </w:pPr>
      <w:r>
        <w:rPr>
          <w:rFonts w:ascii="Arial" w:cs="Arial" w:eastAsia="Arial" w:hAnsi="Arial"/>
          <w:sz w:val="18"/>
          <w:szCs w:val="18"/>
          <w:color w:val="auto"/>
        </w:rPr>
        <w:t>Our suite of technologies that assist us in discovery, development and commercialization of novel diagnostic tests includes: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DeepMALDI Mass Spectrometry</w:t>
      </w:r>
    </w:p>
    <w:p>
      <w:pPr>
        <w:spacing w:after="0" w:line="104" w:lineRule="exact"/>
        <w:rPr>
          <w:sz w:val="20"/>
          <w:szCs w:val="20"/>
          <w:color w:val="auto"/>
        </w:rPr>
      </w:pPr>
    </w:p>
    <w:p>
      <w:pPr>
        <w:ind w:right="140" w:firstLine="539"/>
        <w:spacing w:after="0" w:line="273" w:lineRule="auto"/>
        <w:rPr>
          <w:sz w:val="20"/>
          <w:szCs w:val="20"/>
          <w:color w:val="auto"/>
        </w:rPr>
      </w:pPr>
      <w:r>
        <w:rPr>
          <w:rFonts w:ascii="Arial" w:cs="Arial" w:eastAsia="Arial" w:hAnsi="Arial"/>
          <w:sz w:val="17"/>
          <w:szCs w:val="17"/>
          <w:color w:val="auto"/>
        </w:rPr>
        <w:t>We have developed DeepMALDI, a proprietary high-density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70" w:lineRule="exact"/>
        <w:rPr>
          <w:sz w:val="20"/>
          <w:szCs w:val="20"/>
          <w:color w:val="auto"/>
        </w:rPr>
      </w:pPr>
    </w:p>
    <w:p>
      <w:pPr>
        <w:ind w:right="100" w:firstLine="539"/>
        <w:spacing w:after="0" w:line="257" w:lineRule="auto"/>
        <w:rPr>
          <w:sz w:val="20"/>
          <w:szCs w:val="20"/>
          <w:color w:val="auto"/>
        </w:rPr>
      </w:pPr>
      <w:r>
        <w:rPr>
          <w:rFonts w:ascii="Arial" w:cs="Arial" w:eastAsia="Arial" w:hAnsi="Arial"/>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 Chromatography Mass Spectrometry MS</w:t>
      </w:r>
    </w:p>
    <w:p>
      <w:pPr>
        <w:spacing w:after="0" w:line="90" w:lineRule="exact"/>
        <w:rPr>
          <w:sz w:val="20"/>
          <w:szCs w:val="20"/>
          <w:color w:val="auto"/>
        </w:rPr>
      </w:pPr>
    </w:p>
    <w:p>
      <w:pPr>
        <w:ind w:right="160" w:firstLine="539"/>
        <w:spacing w:after="0" w:line="259" w:lineRule="auto"/>
        <w:rPr>
          <w:sz w:val="20"/>
          <w:szCs w:val="20"/>
          <w:color w:val="auto"/>
        </w:rPr>
      </w:pPr>
      <w:r>
        <w:rPr>
          <w:rFonts w:ascii="Arial" w:cs="Arial" w:eastAsia="Arial" w:hAnsi="Arial"/>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Enzyme-Linked Immunosorbent Assay</w:t>
      </w:r>
    </w:p>
    <w:p>
      <w:pPr>
        <w:spacing w:after="0" w:line="104" w:lineRule="exact"/>
        <w:rPr>
          <w:sz w:val="20"/>
          <w:szCs w:val="20"/>
          <w:color w:val="auto"/>
        </w:rPr>
      </w:pPr>
    </w:p>
    <w:p>
      <w:pPr>
        <w:ind w:right="40" w:firstLine="539"/>
        <w:spacing w:after="0" w:line="275" w:lineRule="auto"/>
        <w:rPr>
          <w:sz w:val="20"/>
          <w:szCs w:val="20"/>
          <w:color w:val="auto"/>
        </w:rPr>
      </w:pPr>
      <w:r>
        <w:rPr>
          <w:rFonts w:ascii="Arial" w:cs="Arial" w:eastAsia="Arial" w:hAnsi="Arial"/>
          <w:sz w:val="17"/>
          <w:szCs w:val="17"/>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Droplet Digital PCR Platform</w:t>
      </w:r>
    </w:p>
    <w:p>
      <w:pPr>
        <w:spacing w:after="0" w:line="104" w:lineRule="exact"/>
        <w:rPr>
          <w:sz w:val="20"/>
          <w:szCs w:val="20"/>
          <w:color w:val="auto"/>
        </w:rPr>
      </w:pPr>
    </w:p>
    <w:p>
      <w:pPr>
        <w:ind w:right="20" w:firstLine="539"/>
        <w:spacing w:after="0" w:line="257" w:lineRule="auto"/>
        <w:rPr>
          <w:sz w:val="20"/>
          <w:szCs w:val="20"/>
          <w:color w:val="auto"/>
        </w:rPr>
      </w:pPr>
      <w:r>
        <w:rPr>
          <w:rFonts w:ascii="Arial" w:cs="Arial" w:eastAsia="Arial" w:hAnsi="Arial"/>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Bio-Rad SARS-CoV-2 ddPCR test for COVID-19. We have included the ddPCR technologies for research and development both internally and externally with our biopharmaceutical customers and academic partners.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Next Generation Sequencing Technology</w:t>
      </w:r>
    </w:p>
    <w:p>
      <w:pPr>
        <w:spacing w:after="0" w:line="90" w:lineRule="exact"/>
        <w:rPr>
          <w:sz w:val="20"/>
          <w:szCs w:val="20"/>
          <w:color w:val="auto"/>
        </w:rPr>
      </w:pPr>
    </w:p>
    <w:p>
      <w:pPr>
        <w:ind w:firstLine="539"/>
        <w:spacing w:after="0" w:line="279" w:lineRule="auto"/>
        <w:rPr>
          <w:sz w:val="20"/>
          <w:szCs w:val="20"/>
          <w:color w:val="auto"/>
        </w:rPr>
      </w:pPr>
      <w:r>
        <w:rPr>
          <w:rFonts w:ascii="Arial" w:cs="Arial" w:eastAsia="Arial" w:hAnsi="Arial"/>
          <w:sz w:val="17"/>
          <w:szCs w:val="17"/>
          <w:color w:val="auto"/>
        </w:rPr>
        <w:t>We use an NGS technology for broad genomic sequencing of clinical specimens. Our strategy with NGS relies on a menu of off-the-shelf and custom research use assays, which we develop and make available as a part of our biopharmaceutical test services. The NGS technology integrates automated systems to yield high sensitivity results with a rapid turnaround time. Since adoption of this technology, we have included the NGS technologies for research and development both internally and externally with our biopharmaceutical customers and academic partners.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Solutions and Products</w:t>
      </w:r>
    </w:p>
    <w:p>
      <w:pPr>
        <w:spacing w:after="0" w:line="229" w:lineRule="exact"/>
        <w:rPr>
          <w:sz w:val="20"/>
          <w:szCs w:val="20"/>
          <w:color w:val="auto"/>
        </w:rPr>
      </w:pPr>
    </w:p>
    <w:p>
      <w:pPr>
        <w:jc w:val="both"/>
        <w:ind w:right="340" w:firstLine="540"/>
        <w:spacing w:after="0" w:line="263" w:lineRule="auto"/>
        <w:rPr>
          <w:sz w:val="20"/>
          <w:szCs w:val="20"/>
          <w:color w:val="auto"/>
        </w:rPr>
      </w:pPr>
      <w:r>
        <w:rPr>
          <w:rFonts w:ascii="Arial" w:cs="Arial" w:eastAsia="Arial" w:hAnsi="Arial"/>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have four blood-based diagnostic tests across the lung cancer continuum of care to help address clinical unmet needs by physicians.</w:t>
      </w:r>
    </w:p>
    <w:p>
      <w:pPr>
        <w:spacing w:after="0" w:line="233" w:lineRule="exact"/>
        <w:rPr>
          <w:sz w:val="20"/>
          <w:szCs w:val="20"/>
          <w:color w:val="auto"/>
        </w:rPr>
      </w:pPr>
    </w:p>
    <w:p>
      <w:pPr>
        <w:ind w:left="1020" w:right="60" w:hanging="432"/>
        <w:spacing w:after="0" w:line="25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Diagnosis</w:t>
      </w:r>
      <w:r>
        <w:rPr>
          <w:rFonts w:ascii="Arial" w:cs="Arial" w:eastAsia="Arial" w:hAnsi="Arial"/>
          <w:sz w:val="18"/>
          <w:szCs w:val="18"/>
          <w:color w:val="auto"/>
        </w:rPr>
        <w:t>: We believe there is a clinical need to help physicians reclassify risk of malignancy in patients presenting with suspicious lung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183" w:lineRule="exact"/>
        <w:rPr>
          <w:rFonts w:ascii="Arial" w:cs="Arial" w:eastAsia="Arial" w:hAnsi="Arial"/>
          <w:sz w:val="18"/>
          <w:szCs w:val="18"/>
          <w:color w:val="auto"/>
        </w:rPr>
      </w:pPr>
    </w:p>
    <w:p>
      <w:pPr>
        <w:ind w:left="1020" w:hanging="432"/>
        <w:spacing w:after="0" w:line="298"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Treatment Guidance</w:t>
      </w:r>
      <w:r>
        <w:rPr>
          <w:rFonts w:ascii="Arial" w:cs="Arial" w:eastAsia="Arial" w:hAnsi="Arial"/>
          <w:sz w:val="16"/>
          <w:szCs w:val="16"/>
          <w:color w:val="auto"/>
        </w:rPr>
        <w:t>: We believe there is an imminent need for a blood-based testing solution that measures tumor-specific mutations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patient’s immune profile to provide physicians with more 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221" w:lineRule="exact"/>
        <w:rPr>
          <w:rFonts w:ascii="Arial" w:cs="Arial" w:eastAsia="Arial" w:hAnsi="Arial"/>
          <w:sz w:val="16"/>
          <w:szCs w:val="16"/>
          <w:color w:val="auto"/>
        </w:rPr>
      </w:pPr>
    </w:p>
    <w:p>
      <w:pPr>
        <w:jc w:val="both"/>
        <w:ind w:left="1020" w:right="200" w:hanging="432"/>
        <w:spacing w:after="0" w:line="289"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believe longitudinally monitoring advanced NSCLC patients for the dynamic evolution of their tumor and immune profile</w:t>
      </w:r>
      <w:r>
        <w:rPr>
          <w:rFonts w:ascii="Arial" w:cs="Arial" w:eastAsia="Arial" w:hAnsi="Arial"/>
          <w:sz w:val="17"/>
          <w:szCs w:val="17"/>
          <w:b w:val="1"/>
          <w:bCs w:val="1"/>
          <w:color w:val="auto"/>
        </w:rPr>
        <w:t xml:space="preserve"> </w:t>
      </w:r>
      <w:r>
        <w:rPr>
          <w:rFonts w:ascii="Arial" w:cs="Arial" w:eastAsia="Arial" w:hAnsi="Arial"/>
          <w:sz w:val="17"/>
          <w:szCs w:val="17"/>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180340</wp:posOffset>
            </wp:positionV>
            <wp:extent cx="4646295" cy="1903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4629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04" w:lineRule="exact"/>
        <w:rPr>
          <w:sz w:val="20"/>
          <w:szCs w:val="20"/>
          <w:color w:val="auto"/>
        </w:rPr>
      </w:pPr>
    </w:p>
    <w:p>
      <w:pPr>
        <w:ind w:right="40" w:firstLine="539"/>
        <w:spacing w:after="0" w:line="275"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3" w:name="page14"/>
    <w:bookmarkEnd w:id="13"/>
    <w:p>
      <w:pPr>
        <w:ind w:right="60" w:firstLine="539"/>
        <w:spacing w:after="0" w:line="254" w:lineRule="auto"/>
        <w:rPr>
          <w:sz w:val="20"/>
          <w:szCs w:val="20"/>
          <w:color w:val="auto"/>
        </w:rPr>
      </w:pPr>
      <w:r>
        <w:rPr>
          <w:rFonts w:ascii="Arial" w:cs="Arial" w:eastAsia="Arial" w:hAnsi="Arial"/>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267970</wp:posOffset>
            </wp:positionV>
            <wp:extent cx="4646295" cy="2314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4629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0" w:firstLine="539"/>
        <w:spacing w:after="0" w:line="279"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Nodify CDT</w:t>
      </w:r>
    </w:p>
    <w:p>
      <w:pPr>
        <w:spacing w:after="0" w:line="104" w:lineRule="exact"/>
        <w:rPr>
          <w:sz w:val="20"/>
          <w:szCs w:val="20"/>
          <w:color w:val="auto"/>
        </w:rPr>
      </w:pPr>
    </w:p>
    <w:p>
      <w:pPr>
        <w:ind w:right="60" w:firstLine="539"/>
        <w:spacing w:after="0" w:line="296" w:lineRule="auto"/>
        <w:rPr>
          <w:sz w:val="20"/>
          <w:szCs w:val="20"/>
          <w:color w:val="auto"/>
        </w:rPr>
      </w:pPr>
      <w:r>
        <w:rPr>
          <w:rFonts w:ascii="Arial" w:cs="Arial" w:eastAsia="Arial" w:hAnsi="Arial"/>
          <w:sz w:val="16"/>
          <w:szCs w:val="16"/>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53" w:lineRule="exact"/>
        <w:rPr>
          <w:sz w:val="20"/>
          <w:szCs w:val="20"/>
          <w:color w:val="auto"/>
        </w:rPr>
      </w:pPr>
    </w:p>
    <w:p>
      <w:pPr>
        <w:jc w:val="both"/>
        <w:ind w:right="180" w:firstLine="539"/>
        <w:spacing w:after="0" w:line="286" w:lineRule="auto"/>
        <w:rPr>
          <w:sz w:val="20"/>
          <w:szCs w:val="20"/>
          <w:color w:val="auto"/>
        </w:rPr>
      </w:pPr>
      <w:r>
        <w:rPr>
          <w:rFonts w:ascii="Arial" w:cs="Arial" w:eastAsia="Arial" w:hAnsi="Arial"/>
          <w:sz w:val="17"/>
          <w:szCs w:val="17"/>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57" w:lineRule="exact"/>
        <w:rPr>
          <w:sz w:val="20"/>
          <w:szCs w:val="20"/>
          <w:color w:val="auto"/>
        </w:rPr>
      </w:pPr>
    </w:p>
    <w:p>
      <w:pPr>
        <w:ind w:firstLine="539"/>
        <w:spacing w:after="0" w:line="286" w:lineRule="auto"/>
        <w:rPr>
          <w:sz w:val="20"/>
          <w:szCs w:val="20"/>
          <w:color w:val="auto"/>
        </w:rPr>
      </w:pPr>
      <w:r>
        <w:rPr>
          <w:rFonts w:ascii="Arial" w:cs="Arial" w:eastAsia="Arial" w:hAnsi="Arial"/>
          <w:sz w:val="17"/>
          <w:szCs w:val="17"/>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 w:name="page15"/>
    <w:bookmarkEnd w:id="14"/>
    <w:p>
      <w:pPr>
        <w:ind w:right="80" w:firstLine="539"/>
        <w:spacing w:after="0" w:line="254" w:lineRule="auto"/>
        <w:rPr>
          <w:sz w:val="20"/>
          <w:szCs w:val="20"/>
          <w:color w:val="auto"/>
        </w:rPr>
      </w:pPr>
      <w:r>
        <w:rPr>
          <w:rFonts w:ascii="Arial" w:cs="Arial" w:eastAsia="Arial" w:hAnsi="Arial"/>
          <w:sz w:val="18"/>
          <w:szCs w:val="18"/>
          <w:color w:val="auto"/>
        </w:rPr>
        <w:t>In addition to the test result of High Level, Moderate Level, or NSLAD, each test report includes the patient’s pre-test risk of malignancy as calculated by the Solitary Pulmonary Nodule Risk Assessment calculator, 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Nodify XL2</w:t>
      </w:r>
    </w:p>
    <w:p>
      <w:pPr>
        <w:spacing w:after="0" w:line="104" w:lineRule="exact"/>
        <w:rPr>
          <w:sz w:val="20"/>
          <w:szCs w:val="20"/>
          <w:color w:val="auto"/>
        </w:rPr>
      </w:pPr>
    </w:p>
    <w:p>
      <w:pPr>
        <w:ind w:right="180" w:firstLine="539"/>
        <w:spacing w:after="0" w:line="259" w:lineRule="auto"/>
        <w:rPr>
          <w:sz w:val="20"/>
          <w:szCs w:val="20"/>
          <w:color w:val="auto"/>
        </w:rPr>
      </w:pPr>
      <w:r>
        <w:rPr>
          <w:rFonts w:ascii="Arial" w:cs="Arial" w:eastAsia="Arial" w:hAnsi="Arial"/>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79" w:lineRule="exact"/>
        <w:rPr>
          <w:sz w:val="20"/>
          <w:szCs w:val="20"/>
          <w:color w:val="auto"/>
        </w:rPr>
      </w:pPr>
    </w:p>
    <w:p>
      <w:pPr>
        <w:ind w:right="180" w:firstLine="539"/>
        <w:spacing w:after="0" w:line="257" w:lineRule="auto"/>
        <w:rPr>
          <w:sz w:val="20"/>
          <w:szCs w:val="20"/>
          <w:color w:val="auto"/>
        </w:rPr>
      </w:pPr>
      <w:r>
        <w:rPr>
          <w:rFonts w:ascii="Arial" w:cs="Arial" w:eastAsia="Arial" w:hAnsi="Arial"/>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cancer. The clinical factors are patient age and smoking status, and radiological factors are nodule size, location, and edge characteristics.</w:t>
      </w:r>
    </w:p>
    <w:p>
      <w:pPr>
        <w:spacing w:after="0" w:line="80" w:lineRule="exact"/>
        <w:rPr>
          <w:sz w:val="20"/>
          <w:szCs w:val="20"/>
          <w:color w:val="auto"/>
        </w:rPr>
      </w:pPr>
    </w:p>
    <w:p>
      <w:pPr>
        <w:jc w:val="both"/>
        <w:ind w:right="100" w:firstLine="539"/>
        <w:spacing w:after="0" w:line="311" w:lineRule="auto"/>
        <w:rPr>
          <w:sz w:val="20"/>
          <w:szCs w:val="20"/>
          <w:color w:val="auto"/>
        </w:rPr>
      </w:pPr>
      <w:r>
        <w:rPr>
          <w:rFonts w:ascii="Arial" w:cs="Arial" w:eastAsia="Arial" w:hAnsi="Arial"/>
          <w:sz w:val="16"/>
          <w:szCs w:val="16"/>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41" w:lineRule="exact"/>
        <w:rPr>
          <w:sz w:val="20"/>
          <w:szCs w:val="20"/>
          <w:color w:val="auto"/>
        </w:rPr>
      </w:pPr>
    </w:p>
    <w:p>
      <w:pPr>
        <w:ind w:right="20" w:firstLine="539"/>
        <w:spacing w:after="0" w:line="301" w:lineRule="auto"/>
        <w:rPr>
          <w:sz w:val="20"/>
          <w:szCs w:val="20"/>
          <w:color w:val="auto"/>
        </w:rPr>
      </w:pPr>
      <w:r>
        <w:rPr>
          <w:rFonts w:ascii="Arial" w:cs="Arial" w:eastAsia="Arial" w:hAnsi="Arial"/>
          <w:sz w:val="16"/>
          <w:szCs w:val="16"/>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49" w:lineRule="exact"/>
        <w:rPr>
          <w:sz w:val="20"/>
          <w:szCs w:val="20"/>
          <w:color w:val="auto"/>
        </w:rPr>
      </w:pPr>
    </w:p>
    <w:p>
      <w:pPr>
        <w:ind w:right="60" w:firstLine="539"/>
        <w:spacing w:after="0" w:line="255" w:lineRule="auto"/>
        <w:rPr>
          <w:sz w:val="20"/>
          <w:szCs w:val="20"/>
          <w:color w:val="auto"/>
        </w:rPr>
      </w:pPr>
      <w:r>
        <w:rPr>
          <w:rFonts w:ascii="Arial" w:cs="Arial" w:eastAsia="Arial" w:hAnsi="Arial"/>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84" w:lineRule="exact"/>
        <w:rPr>
          <w:sz w:val="20"/>
          <w:szCs w:val="20"/>
          <w:color w:val="auto"/>
        </w:rPr>
      </w:pPr>
    </w:p>
    <w:p>
      <w:pPr>
        <w:ind w:firstLine="539"/>
        <w:spacing w:after="0" w:line="254" w:lineRule="auto"/>
        <w:rPr>
          <w:sz w:val="20"/>
          <w:szCs w:val="20"/>
          <w:color w:val="auto"/>
        </w:rPr>
      </w:pPr>
      <w:r>
        <w:rPr>
          <w:rFonts w:ascii="Arial" w:cs="Arial" w:eastAsia="Arial" w:hAnsi="Arial"/>
          <w:sz w:val="18"/>
          <w:szCs w:val="18"/>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 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Treatment Guidance and Monitoring</w:t>
      </w:r>
    </w:p>
    <w:p>
      <w:pPr>
        <w:spacing w:after="0" w:line="104" w:lineRule="exact"/>
        <w:rPr>
          <w:sz w:val="20"/>
          <w:szCs w:val="20"/>
          <w:color w:val="auto"/>
        </w:rPr>
      </w:pPr>
    </w:p>
    <w:p>
      <w:pPr>
        <w:ind w:firstLine="539"/>
        <w:spacing w:after="0" w:line="255" w:lineRule="auto"/>
        <w:rPr>
          <w:sz w:val="20"/>
          <w:szCs w:val="20"/>
          <w:color w:val="auto"/>
        </w:rPr>
      </w:pPr>
      <w:r>
        <w:rPr>
          <w:rFonts w:ascii="Arial" w:cs="Arial" w:eastAsia="Arial" w:hAnsi="Arial"/>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GeneStrat</w:t>
      </w:r>
    </w:p>
    <w:p>
      <w:pPr>
        <w:spacing w:after="0" w:line="90" w:lineRule="exact"/>
        <w:rPr>
          <w:sz w:val="20"/>
          <w:szCs w:val="20"/>
          <w:color w:val="auto"/>
        </w:rPr>
      </w:pPr>
    </w:p>
    <w:p>
      <w:pPr>
        <w:jc w:val="both"/>
        <w:ind w:right="120" w:firstLine="539"/>
        <w:spacing w:after="0" w:line="279" w:lineRule="auto"/>
        <w:rPr>
          <w:sz w:val="20"/>
          <w:szCs w:val="20"/>
          <w:color w:val="auto"/>
        </w:rPr>
      </w:pPr>
      <w:r>
        <w:rPr>
          <w:rFonts w:ascii="Arial" w:cs="Arial" w:eastAsia="Arial" w:hAnsi="Arial"/>
          <w:sz w:val="17"/>
          <w:szCs w:val="17"/>
          <w:color w:val="auto"/>
        </w:rPr>
        <w:t xml:space="preserve">GeneStrat is a blood-based tumor profiling test that detects the guideline recommended, actionable mutations in lung cancer: </w:t>
      </w:r>
      <w:r>
        <w:rPr>
          <w:rFonts w:ascii="Arial" w:cs="Arial" w:eastAsia="Arial" w:hAnsi="Arial"/>
          <w:sz w:val="17"/>
          <w:szCs w:val="17"/>
          <w:i w:val="1"/>
          <w:iCs w:val="1"/>
          <w:color w:val="auto"/>
        </w:rPr>
        <w:t>EGFR, KRAS, BRAF,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EML4-ALK, ROS-1, </w:t>
      </w:r>
      <w:r>
        <w:rPr>
          <w:rFonts w:ascii="Arial" w:cs="Arial" w:eastAsia="Arial" w:hAnsi="Arial"/>
          <w:sz w:val="17"/>
          <w:szCs w:val="17"/>
          <w:color w:val="auto"/>
        </w:rPr>
        <w:t>and</w:t>
      </w:r>
      <w:r>
        <w:rPr>
          <w:rFonts w:ascii="Arial" w:cs="Arial" w:eastAsia="Arial" w:hAnsi="Arial"/>
          <w:sz w:val="17"/>
          <w:szCs w:val="17"/>
          <w:i w:val="1"/>
          <w:iCs w:val="1"/>
          <w:color w:val="auto"/>
        </w:rPr>
        <w:t xml:space="preserve"> RET. </w:t>
      </w:r>
      <w:r>
        <w:rPr>
          <w:rFonts w:ascii="Arial" w:cs="Arial" w:eastAsia="Arial" w:hAnsi="Arial"/>
          <w:sz w:val="17"/>
          <w:szCs w:val="17"/>
          <w:color w:val="auto"/>
        </w:rPr>
        <w:t>Physicians can order one or any combination of the gene tests, whichever they deem medically necessary for the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63" w:lineRule="exact"/>
        <w:rPr>
          <w:sz w:val="20"/>
          <w:szCs w:val="20"/>
          <w:color w:val="auto"/>
        </w:rPr>
      </w:pPr>
    </w:p>
    <w:p>
      <w:pPr>
        <w:ind w:right="60" w:firstLine="539"/>
        <w:spacing w:after="0" w:line="293" w:lineRule="auto"/>
        <w:rPr>
          <w:sz w:val="20"/>
          <w:szCs w:val="20"/>
          <w:color w:val="auto"/>
        </w:rPr>
      </w:pPr>
      <w:r>
        <w:rPr>
          <w:rFonts w:ascii="Arial" w:cs="Arial" w:eastAsia="Arial" w:hAnsi="Arial"/>
          <w:sz w:val="16"/>
          <w:szCs w:val="16"/>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250825</wp:posOffset>
            </wp:positionV>
            <wp:extent cx="4663440" cy="255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6344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539"/>
        <w:spacing w:after="0" w:line="259" w:lineRule="auto"/>
        <w:rPr>
          <w:sz w:val="20"/>
          <w:szCs w:val="20"/>
          <w:color w:val="auto"/>
        </w:rPr>
      </w:pPr>
      <w:r>
        <w:rPr>
          <w:rFonts w:ascii="Arial" w:cs="Arial" w:eastAsia="Arial" w:hAnsi="Arial"/>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i w:val="1"/>
          <w:iCs w:val="1"/>
          <w:color w:val="auto"/>
        </w:rPr>
        <w:t>VeriStrat</w:t>
      </w:r>
    </w:p>
    <w:p>
      <w:pPr>
        <w:spacing w:after="0" w:line="104" w:lineRule="exact"/>
        <w:rPr>
          <w:sz w:val="20"/>
          <w:szCs w:val="20"/>
          <w:color w:val="auto"/>
        </w:rPr>
      </w:pPr>
    </w:p>
    <w:p>
      <w:pPr>
        <w:ind w:right="160" w:firstLine="539"/>
        <w:spacing w:after="0" w:line="259" w:lineRule="auto"/>
        <w:rPr>
          <w:sz w:val="20"/>
          <w:szCs w:val="20"/>
          <w:color w:val="auto"/>
        </w:rPr>
      </w:pPr>
      <w:r>
        <w:rPr>
          <w:rFonts w:ascii="Arial" w:cs="Arial" w:eastAsia="Arial" w:hAnsi="Arial"/>
          <w:sz w:val="18"/>
          <w:szCs w:val="18"/>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w:t>
      </w:r>
    </w:p>
    <w:p>
      <w:pPr>
        <w:spacing w:after="0" w:line="79" w:lineRule="exact"/>
        <w:rPr>
          <w:sz w:val="20"/>
          <w:szCs w:val="20"/>
          <w:color w:val="auto"/>
        </w:rPr>
      </w:pPr>
    </w:p>
    <w:p>
      <w:pPr>
        <w:ind w:firstLine="539"/>
        <w:spacing w:after="0" w:line="253" w:lineRule="auto"/>
        <w:rPr>
          <w:sz w:val="20"/>
          <w:szCs w:val="20"/>
          <w:color w:val="auto"/>
        </w:rPr>
      </w:pPr>
      <w:r>
        <w:rPr>
          <w:rFonts w:ascii="Arial" w:cs="Arial" w:eastAsia="Arial" w:hAnsi="Arial"/>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88" w:lineRule="exact"/>
        <w:rPr>
          <w:sz w:val="20"/>
          <w:szCs w:val="20"/>
          <w:color w:val="auto"/>
        </w:rPr>
      </w:pPr>
    </w:p>
    <w:p>
      <w:pPr>
        <w:ind w:right="20" w:firstLine="535"/>
        <w:spacing w:after="0" w:line="279" w:lineRule="auto"/>
        <w:rPr>
          <w:sz w:val="20"/>
          <w:szCs w:val="20"/>
          <w:color w:val="auto"/>
        </w:rPr>
      </w:pPr>
      <w:r>
        <w:rPr>
          <w:rFonts w:ascii="Arial" w:cs="Arial" w:eastAsia="Arial" w:hAnsi="Arial"/>
          <w:sz w:val="17"/>
          <w:szCs w:val="17"/>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Biodesix WorkSafe COVID-19 Testing Program</w:t>
      </w:r>
    </w:p>
    <w:p>
      <w:pPr>
        <w:spacing w:after="0" w:line="90" w:lineRule="exact"/>
        <w:rPr>
          <w:sz w:val="20"/>
          <w:szCs w:val="20"/>
          <w:color w:val="auto"/>
        </w:rPr>
      </w:pPr>
    </w:p>
    <w:p>
      <w:pPr>
        <w:ind w:firstLine="539"/>
        <w:spacing w:after="0" w:line="273"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test intended for detecting active SARS-CoV-2 infection. The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test was FDA EUA authorized on April 29, 2020.</w:t>
      </w:r>
    </w:p>
    <w:p>
      <w:pPr>
        <w:spacing w:after="0" w:line="70" w:lineRule="exact"/>
        <w:rPr>
          <w:sz w:val="20"/>
          <w:szCs w:val="20"/>
          <w:color w:val="auto"/>
        </w:rPr>
      </w:pPr>
    </w:p>
    <w:p>
      <w:pPr>
        <w:ind w:right="200" w:firstLine="539"/>
        <w:spacing w:after="0" w:line="259" w:lineRule="auto"/>
        <w:rPr>
          <w:sz w:val="20"/>
          <w:szCs w:val="20"/>
          <w:color w:val="auto"/>
        </w:rPr>
      </w:pPr>
      <w:r>
        <w:rPr>
          <w:rFonts w:ascii="Arial" w:cs="Arial" w:eastAsia="Arial" w:hAnsi="Arial"/>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79" w:lineRule="exact"/>
        <w:rPr>
          <w:sz w:val="20"/>
          <w:szCs w:val="20"/>
          <w:color w:val="auto"/>
        </w:rPr>
      </w:pPr>
    </w:p>
    <w:p>
      <w:pPr>
        <w:ind w:right="600" w:firstLine="539"/>
        <w:spacing w:after="0" w:line="277" w:lineRule="auto"/>
        <w:rPr>
          <w:sz w:val="20"/>
          <w:szCs w:val="20"/>
          <w:color w:val="auto"/>
        </w:rPr>
      </w:pPr>
      <w:r>
        <w:rPr>
          <w:rFonts w:ascii="Arial" w:cs="Arial" w:eastAsia="Arial" w:hAnsi="Arial"/>
          <w:sz w:val="18"/>
          <w:szCs w:val="18"/>
          <w:color w:val="auto"/>
        </w:rPr>
        <w:t>Using the Bio-Rad SARS-CoV-2 ddPCR test and the Platelia SARS-CoV-2 Total Ab tests, we operate and have commercialized the Biodesix WorkSafe testing program.</w:t>
      </w:r>
    </w:p>
    <w:p>
      <w:pPr>
        <w:spacing w:after="0" w:line="62" w:lineRule="exact"/>
        <w:rPr>
          <w:sz w:val="20"/>
          <w:szCs w:val="20"/>
          <w:color w:val="auto"/>
        </w:rPr>
      </w:pPr>
    </w:p>
    <w:p>
      <w:pPr>
        <w:ind w:right="60" w:firstLine="539"/>
        <w:spacing w:after="0" w:line="293" w:lineRule="auto"/>
        <w:rPr>
          <w:sz w:val="20"/>
          <w:szCs w:val="20"/>
          <w:color w:val="auto"/>
        </w:rPr>
      </w:pPr>
      <w:r>
        <w:rPr>
          <w:rFonts w:ascii="Arial" w:cs="Arial" w:eastAsia="Arial" w:hAnsi="Arial"/>
          <w:sz w:val="16"/>
          <w:szCs w:val="16"/>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7" w:name="page18"/>
    <w:bookmarkEnd w:id="17"/>
    <w:p>
      <w:pPr>
        <w:ind w:right="200" w:firstLine="539"/>
        <w:spacing w:after="0" w:line="255" w:lineRule="auto"/>
        <w:rPr>
          <w:sz w:val="20"/>
          <w:szCs w:val="20"/>
          <w:color w:val="auto"/>
        </w:rPr>
      </w:pPr>
      <w:r>
        <w:rPr>
          <w:rFonts w:ascii="Arial" w:cs="Arial" w:eastAsia="Arial" w:hAnsi="Arial"/>
          <w:sz w:val="18"/>
          <w:szCs w:val="18"/>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League Lacrosse as they competed in their 2020 tournament. We also announced on September 30, 2020 that we will oversee and manage onsite testing and testing validation for the Big Ten Conference athletic competitions.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Bio-Rad SARS-CoV-2 ddPCR test</w:t>
      </w:r>
    </w:p>
    <w:p>
      <w:pPr>
        <w:spacing w:after="0" w:line="212" w:lineRule="exact"/>
        <w:rPr>
          <w:sz w:val="20"/>
          <w:szCs w:val="20"/>
          <w:color w:val="auto"/>
        </w:rPr>
      </w:pPr>
    </w:p>
    <w:p>
      <w:pPr>
        <w:ind w:right="40" w:firstLine="535"/>
        <w:spacing w:after="0" w:line="291" w:lineRule="auto"/>
        <w:rPr>
          <w:sz w:val="20"/>
          <w:szCs w:val="20"/>
          <w:color w:val="auto"/>
        </w:rPr>
      </w:pPr>
      <w:r>
        <w:rPr>
          <w:rFonts w:ascii="Arial" w:cs="Arial" w:eastAsia="Arial" w:hAnsi="Arial"/>
          <w:sz w:val="16"/>
          <w:szCs w:val="16"/>
          <w:color w:val="auto"/>
        </w:rPr>
        <w:t>The Bio-Rad SARS-CoV-2 ddPCR test, also known as a molecular or viral test, is intended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Platelia SARS-CoV-2 Total Ab Test</w:t>
      </w:r>
    </w:p>
    <w:p>
      <w:pPr>
        <w:spacing w:after="0" w:line="104" w:lineRule="exact"/>
        <w:rPr>
          <w:sz w:val="20"/>
          <w:szCs w:val="20"/>
          <w:color w:val="auto"/>
        </w:rPr>
      </w:pPr>
    </w:p>
    <w:p>
      <w:pPr>
        <w:ind w:firstLine="539"/>
        <w:spacing w:after="0" w:line="291" w:lineRule="auto"/>
        <w:rPr>
          <w:sz w:val="20"/>
          <w:szCs w:val="20"/>
          <w:color w:val="auto"/>
        </w:rPr>
      </w:pPr>
      <w:r>
        <w:rPr>
          <w:rFonts w:ascii="Arial" w:cs="Arial" w:eastAsia="Arial" w:hAnsi="Arial"/>
          <w:sz w:val="16"/>
          <w:szCs w:val="16"/>
          <w:color w:val="auto"/>
        </w:rPr>
        <w:t>The Platelia SARS-CoV-2 Total Ab test (also known as a serology or antibody test) is intended for use as an aid in identifying individuals who have developed an adaptive immune response to the SARS-CoV-2 virus, indicating recent or prior infection. The test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Diagnostic Discovery, Development and Testing Services Business</w:t>
      </w:r>
    </w:p>
    <w:p>
      <w:pPr>
        <w:spacing w:after="0" w:line="94" w:lineRule="exact"/>
        <w:rPr>
          <w:sz w:val="20"/>
          <w:szCs w:val="20"/>
          <w:color w:val="auto"/>
        </w:rPr>
      </w:pPr>
    </w:p>
    <w:p>
      <w:pPr>
        <w:ind w:right="80" w:firstLine="539"/>
        <w:spacing w:after="0" w:line="273" w:lineRule="auto"/>
        <w:rPr>
          <w:sz w:val="20"/>
          <w:szCs w:val="20"/>
          <w:color w:val="auto"/>
        </w:rPr>
      </w:pPr>
      <w:r>
        <w:rPr>
          <w:rFonts w:ascii="Arial" w:cs="Arial" w:eastAsia="Arial" w:hAnsi="Arial"/>
          <w:sz w:val="17"/>
          <w:szCs w:val="17"/>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70" w:lineRule="exact"/>
        <w:rPr>
          <w:sz w:val="20"/>
          <w:szCs w:val="20"/>
          <w:color w:val="auto"/>
        </w:rPr>
      </w:pPr>
    </w:p>
    <w:p>
      <w:pPr>
        <w:ind w:firstLine="539"/>
        <w:spacing w:after="0" w:line="290" w:lineRule="auto"/>
        <w:rPr>
          <w:sz w:val="20"/>
          <w:szCs w:val="20"/>
          <w:color w:val="auto"/>
        </w:rPr>
      </w:pPr>
      <w:r>
        <w:rPr>
          <w:rFonts w:ascii="Arial" w:cs="Arial" w:eastAsia="Arial" w:hAnsi="Arial"/>
          <w:sz w:val="16"/>
          <w:szCs w:val="16"/>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1442720</wp:posOffset>
            </wp:positionH>
            <wp:positionV relativeFrom="page">
              <wp:posOffset>431800</wp:posOffset>
            </wp:positionV>
            <wp:extent cx="4663440" cy="2177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6634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firstLine="539"/>
        <w:spacing w:after="0" w:line="275" w:lineRule="auto"/>
        <w:rPr>
          <w:sz w:val="20"/>
          <w:szCs w:val="20"/>
          <w:color w:val="auto"/>
        </w:rPr>
      </w:pPr>
      <w:r>
        <w:rPr>
          <w:rFonts w:ascii="Arial" w:cs="Arial" w:eastAsia="Arial" w:hAnsi="Arial"/>
          <w:sz w:val="17"/>
          <w:szCs w:val="17"/>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68" w:lineRule="exact"/>
        <w:rPr>
          <w:sz w:val="20"/>
          <w:szCs w:val="20"/>
          <w:color w:val="auto"/>
        </w:rPr>
      </w:pPr>
    </w:p>
    <w:p>
      <w:pPr>
        <w:ind w:right="40" w:firstLine="539"/>
        <w:spacing w:after="0" w:line="275" w:lineRule="auto"/>
        <w:rPr>
          <w:sz w:val="20"/>
          <w:szCs w:val="20"/>
          <w:color w:val="auto"/>
        </w:rPr>
      </w:pPr>
      <w:r>
        <w:rPr>
          <w:rFonts w:ascii="Arial" w:cs="Arial" w:eastAsia="Arial" w:hAnsi="Arial"/>
          <w:sz w:val="17"/>
          <w:szCs w:val="17"/>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68" w:lineRule="exact"/>
        <w:rPr>
          <w:sz w:val="20"/>
          <w:szCs w:val="20"/>
          <w:color w:val="auto"/>
        </w:rPr>
      </w:pPr>
    </w:p>
    <w:p>
      <w:pPr>
        <w:ind w:firstLine="539"/>
        <w:spacing w:after="0" w:line="277" w:lineRule="auto"/>
        <w:rPr>
          <w:sz w:val="20"/>
          <w:szCs w:val="20"/>
          <w:color w:val="auto"/>
        </w:rPr>
      </w:pPr>
      <w:r>
        <w:rPr>
          <w:rFonts w:ascii="Arial" w:cs="Arial" w:eastAsia="Arial" w:hAnsi="Arial"/>
          <w:sz w:val="18"/>
          <w:szCs w:val="18"/>
          <w:color w:val="auto"/>
        </w:rPr>
        <w:t>To date, we have over 50 biopharmaceutical customers and academic partners who have utilized our diagnostic tests and services. The following are a few case studies of early-stage biomarker discovery and development with our biopharmaceutical customers.</w:t>
      </w:r>
    </w:p>
    <w:p>
      <w:pPr>
        <w:spacing w:after="0" w:line="126" w:lineRule="exact"/>
        <w:rPr>
          <w:sz w:val="20"/>
          <w:szCs w:val="20"/>
          <w:color w:val="auto"/>
        </w:rPr>
      </w:pPr>
    </w:p>
    <w:p>
      <w:pPr>
        <w:ind w:left="1020" w:right="20" w:hanging="432"/>
        <w:spacing w:after="0" w:line="25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AstraZeneca: </w:t>
      </w:r>
      <w:r>
        <w:rPr>
          <w:rFonts w:ascii="Arial" w:cs="Arial" w:eastAsia="Arial" w:hAnsi="Arial"/>
          <w:sz w:val="18"/>
          <w:szCs w:val="18"/>
          <w:color w:val="auto"/>
        </w:rPr>
        <w:t>We provided services to AstraZeneca to retrospectively analyze samples from the FLAURA clinical trial (NCT02296125). The</w:t>
      </w:r>
      <w:r>
        <w:rPr>
          <w:rFonts w:ascii="Arial" w:cs="Arial" w:eastAsia="Arial" w:hAnsi="Arial"/>
          <w:sz w:val="18"/>
          <w:szCs w:val="18"/>
          <w:b w:val="1"/>
          <w:bCs w:val="1"/>
          <w:color w:val="auto"/>
        </w:rPr>
        <w:t xml:space="preserve"> </w:t>
      </w:r>
      <w:r>
        <w:rPr>
          <w:rFonts w:ascii="Arial" w:cs="Arial" w:eastAsia="Arial" w:hAnsi="Arial"/>
          <w:sz w:val="18"/>
          <w:szCs w:val="18"/>
          <w:color w:val="auto"/>
        </w:rPr>
        <w:t>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75" w:lineRule="exact"/>
        <w:rPr>
          <w:rFonts w:ascii="Arial" w:cs="Arial" w:eastAsia="Arial" w:hAnsi="Arial"/>
          <w:sz w:val="18"/>
          <w:szCs w:val="18"/>
          <w:color w:val="auto"/>
        </w:rPr>
      </w:pPr>
    </w:p>
    <w:p>
      <w:pPr>
        <w:ind w:left="1020" w:right="80" w:hanging="432"/>
        <w:spacing w:after="0" w:line="29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Genentech: </w:t>
      </w:r>
      <w:r>
        <w:rPr>
          <w:rFonts w:ascii="Arial" w:cs="Arial" w:eastAsia="Arial" w:hAnsi="Arial"/>
          <w:sz w:val="16"/>
          <w:szCs w:val="16"/>
          <w:color w:val="auto"/>
        </w:rPr>
        <w:t>We partnered with Genentech to discover a novel proteomic classifier for advanced NSCLC patients treated with atezolizumab.</w:t>
      </w:r>
      <w:r>
        <w:rPr>
          <w:rFonts w:ascii="Arial" w:cs="Arial" w:eastAsia="Arial" w:hAnsi="Arial"/>
          <w:sz w:val="16"/>
          <w:szCs w:val="16"/>
          <w:b w:val="1"/>
          <w:bCs w:val="1"/>
          <w:color w:val="auto"/>
        </w:rPr>
        <w:t xml:space="preserve"> </w:t>
      </w:r>
      <w:r>
        <w:rPr>
          <w:rFonts w:ascii="Arial" w:cs="Arial" w:eastAsia="Arial" w:hAnsi="Arial"/>
          <w:sz w:val="16"/>
          <w:szCs w:val="16"/>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This implies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ind w:left="1020" w:right="180" w:hanging="432"/>
        <w:spacing w:after="0" w:line="25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Merck KGaA &amp; Pfizer: </w:t>
      </w:r>
      <w:r>
        <w:rPr>
          <w:rFonts w:ascii="Arial" w:cs="Arial" w:eastAsia="Arial" w:hAnsi="Arial"/>
          <w:sz w:val="18"/>
          <w:szCs w:val="18"/>
          <w:color w:val="auto"/>
        </w:rPr>
        <w:t>We announced the initiation of a clinical phase development program for the anti-PD-L1 checkpoint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13" w:lineRule="exact"/>
        <w:rPr>
          <w:sz w:val="20"/>
          <w:szCs w:val="20"/>
          <w:color w:val="auto"/>
        </w:rPr>
      </w:pPr>
    </w:p>
    <w:p>
      <w:pPr>
        <w:ind w:left="1020" w:hanging="432"/>
        <w:spacing w:after="0" w:line="25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extensively validated deep learning platform, which is tailored to discover diagnostic tests that address clinical unmet needs. </w:t>
      </w:r>
      <w:r>
        <w:rPr>
          <w:rFonts w:ascii="Arial" w:cs="Arial" w:eastAsia="Arial" w:hAnsi="Arial"/>
          <w:sz w:val="18"/>
          <w:szCs w:val="18"/>
          <w:color w:val="auto"/>
        </w:rPr>
        <w:t>Our platform is an extensively validated deep learning platform optimized for discovery of diagnostic tests. By combining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data-driven and 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75" w:lineRule="exact"/>
        <w:rPr>
          <w:rFonts w:ascii="Arial" w:cs="Arial" w:eastAsia="Arial" w:hAnsi="Arial"/>
          <w:sz w:val="18"/>
          <w:szCs w:val="18"/>
          <w:color w:val="auto"/>
        </w:rPr>
      </w:pPr>
    </w:p>
    <w:p>
      <w:pPr>
        <w:ind w:left="1020" w:hanging="432"/>
        <w:spacing w:after="0" w:line="29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data-driven approach to precision medicine combined with our biobank, which enables us to accelerate development of new tests. </w:t>
      </w:r>
      <w:r>
        <w:rPr>
          <w:rFonts w:ascii="Arial" w:cs="Arial" w:eastAsia="Arial" w:hAnsi="Arial"/>
          <w:sz w:val="16"/>
          <w:szCs w:val="16"/>
          <w:color w:val="auto"/>
        </w:rPr>
        <w:t>We have over 140,000 samples and data in our biobank, including tumor profiles and immune profiles, used for both internal and</w:t>
      </w:r>
      <w:r>
        <w:rPr>
          <w:rFonts w:ascii="Arial" w:cs="Arial" w:eastAsia="Arial" w:hAnsi="Arial"/>
          <w:sz w:val="16"/>
          <w:szCs w:val="16"/>
          <w:b w:val="1"/>
          <w:bCs w:val="1"/>
          <w:color w:val="auto"/>
        </w:rPr>
        <w:t xml:space="preserve"> </w:t>
      </w:r>
      <w:r>
        <w:rPr>
          <w:rFonts w:ascii="Arial" w:cs="Arial" w:eastAsia="Arial" w:hAnsi="Arial"/>
          <w:sz w:val="16"/>
          <w:szCs w:val="16"/>
          <w:color w:val="auto"/>
        </w:rPr>
        <w:t>external research and development initiatives. Our biobank, clinical trials, commercial testing and other partnerships provide an ongoing source of new data that further enhances our proprietary AI platform. We are continuously identifying and incorporating new market insights and input from our customers, key opinion leaders, and scientific experts to leverage this data in developing our diagnostic tests.</w:t>
      </w:r>
    </w:p>
    <w:p>
      <w:pPr>
        <w:spacing w:after="0" w:line="45" w:lineRule="exact"/>
        <w:rPr>
          <w:rFonts w:ascii="Arial" w:cs="Arial" w:eastAsia="Arial" w:hAnsi="Arial"/>
          <w:sz w:val="16"/>
          <w:szCs w:val="16"/>
          <w:color w:val="auto"/>
        </w:rPr>
      </w:pPr>
    </w:p>
    <w:p>
      <w:pPr>
        <w:ind w:left="1020" w:right="100" w:hanging="432"/>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leadership in clinical proteomics, demonstrated research, development, and scientific expertise, combined with our intellectual property portfolio. </w:t>
      </w:r>
      <w:r>
        <w:rPr>
          <w:rFonts w:ascii="Arial" w:cs="Arial" w:eastAsia="Arial" w:hAnsi="Arial"/>
          <w:sz w:val="18"/>
          <w:szCs w:val="18"/>
          <w:color w:val="auto"/>
        </w:rPr>
        <w:t>Our leadership in clinical proteomics and our technology agnostic approach, we believe provides us with a distinct</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over our competitors, who focus on any single technology, such as genomics or proteomics. Our certified, high-complexity laboratories offer significant advantages in development of commercial tests.</w:t>
      </w:r>
    </w:p>
    <w:p>
      <w:pPr>
        <w:spacing w:after="0" w:line="71" w:lineRule="exact"/>
        <w:rPr>
          <w:rFonts w:ascii="Arial" w:cs="Arial" w:eastAsia="Arial" w:hAnsi="Arial"/>
          <w:sz w:val="18"/>
          <w:szCs w:val="18"/>
          <w:color w:val="auto"/>
        </w:rPr>
      </w:pPr>
    </w:p>
    <w:p>
      <w:pPr>
        <w:ind w:left="1020" w:right="60" w:hanging="432"/>
        <w:spacing w:after="0" w:line="303"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proprietary technologies and processes are protected by a portfolio of approximately 87 issued patents in the United States and internationally, and 22 uniquely registered United States trademarks. </w:t>
      </w:r>
      <w:r>
        <w:rPr>
          <w:rFonts w:ascii="Arial" w:cs="Arial" w:eastAsia="Arial" w:hAnsi="Arial"/>
          <w:sz w:val="16"/>
          <w:szCs w:val="16"/>
          <w:color w:val="auto"/>
        </w:rPr>
        <w:t>We take efforts to protect our proprietary position using a variety</w:t>
      </w:r>
      <w:r>
        <w:rPr>
          <w:rFonts w:ascii="Arial" w:cs="Arial" w:eastAsia="Arial" w:hAnsi="Arial"/>
          <w:sz w:val="16"/>
          <w:szCs w:val="16"/>
          <w:b w:val="1"/>
          <w:bCs w:val="1"/>
          <w:color w:val="auto"/>
        </w:rPr>
        <w:t xml:space="preserve"> </w:t>
      </w:r>
      <w:r>
        <w:rPr>
          <w:rFonts w:ascii="Arial" w:cs="Arial" w:eastAsia="Arial" w:hAnsi="Arial"/>
          <w:sz w:val="16"/>
          <w:szCs w:val="16"/>
          <w:color w:val="auto"/>
        </w:rPr>
        <w:t>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42" w:lineRule="exact"/>
        <w:rPr>
          <w:rFonts w:ascii="Arial" w:cs="Arial" w:eastAsia="Arial" w:hAnsi="Arial"/>
          <w:sz w:val="16"/>
          <w:szCs w:val="16"/>
          <w:color w:val="auto"/>
        </w:rPr>
      </w:pPr>
    </w:p>
    <w:p>
      <w:pPr>
        <w:ind w:left="1020" w:right="20" w:hanging="432"/>
        <w:spacing w:after="0" w:line="277"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Our demonstrated success commercializing diagnostic tests in lung disease. </w:t>
      </w:r>
      <w:r>
        <w:rPr>
          <w:rFonts w:ascii="Arial" w:cs="Arial" w:eastAsia="Arial" w:hAnsi="Arial"/>
          <w:sz w:val="17"/>
          <w:szCs w:val="17"/>
          <w:color w:val="auto"/>
        </w:rPr>
        <w:t>With six diagnostic tests launched and three currently in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59" w:lineRule="exact"/>
        <w:rPr>
          <w:rFonts w:ascii="Arial" w:cs="Arial" w:eastAsia="Arial" w:hAnsi="Arial"/>
          <w:sz w:val="17"/>
          <w:szCs w:val="17"/>
          <w:color w:val="auto"/>
        </w:rPr>
      </w:pPr>
    </w:p>
    <w:p>
      <w:pPr>
        <w:ind w:left="1020" w:right="200" w:hanging="432"/>
        <w:spacing w:after="0" w:line="29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depth and breadth of point of care access to physicians allows us to drive adoption of our diagnostic tests while incorporating real-life feedback to inform new product development. </w:t>
      </w:r>
      <w:r>
        <w:rPr>
          <w:rFonts w:ascii="Arial" w:cs="Arial" w:eastAsia="Arial" w:hAnsi="Arial"/>
          <w:sz w:val="16"/>
          <w:szCs w:val="16"/>
          <w:color w:val="auto"/>
        </w:rPr>
        <w:t>Our commercial team’s primary focus is to articulate the scientific and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20" w:name="page21"/>
    <w:bookmarkEnd w:id="20"/>
    <w:p>
      <w:pPr>
        <w:ind w:left="1020" w:right="20" w:hanging="432"/>
        <w:spacing w:after="0" w:line="298"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Arial" w:cs="Arial" w:eastAsia="Arial" w:hAnsi="Arial"/>
          <w:sz w:val="16"/>
          <w:szCs w:val="16"/>
          <w:color w:val="auto"/>
        </w:rPr>
        <w:t>We believe our commitment to commercial excellence helps us</w:t>
      </w:r>
      <w:r>
        <w:rPr>
          <w:rFonts w:ascii="Arial" w:cs="Arial" w:eastAsia="Arial" w:hAnsi="Arial"/>
          <w:sz w:val="16"/>
          <w:szCs w:val="16"/>
          <w:b w:val="1"/>
          <w:bCs w:val="1"/>
          <w:color w:val="auto"/>
        </w:rPr>
        <w:t xml:space="preserve"> </w:t>
      </w:r>
      <w:r>
        <w:rPr>
          <w:rFonts w:ascii="Arial" w:cs="Arial" w:eastAsia="Arial" w:hAnsi="Arial"/>
          <w:sz w:val="16"/>
          <w:szCs w:val="16"/>
          <w:color w:val="auto"/>
        </w:rPr>
        <w:t>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560" w:firstLine="539"/>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166" w:lineRule="exact"/>
        <w:rPr>
          <w:sz w:val="20"/>
          <w:szCs w:val="20"/>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Drive increased awareness, adoption, and reimbursement coverage of our diagnostic tests by:</w:t>
      </w:r>
    </w:p>
    <w:p>
      <w:pPr>
        <w:spacing w:after="0" w:line="121" w:lineRule="exact"/>
        <w:rPr>
          <w:rFonts w:ascii="Arial" w:cs="Arial" w:eastAsia="Arial" w:hAnsi="Arial"/>
          <w:sz w:val="18"/>
          <w:szCs w:val="18"/>
          <w:color w:val="auto"/>
        </w:rPr>
      </w:pPr>
    </w:p>
    <w:p>
      <w:pPr>
        <w:ind w:left="1300" w:right="820" w:hanging="442"/>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15" w:lineRule="exact"/>
        <w:rPr>
          <w:rFonts w:ascii="Arial" w:cs="Arial" w:eastAsia="Arial" w:hAnsi="Arial"/>
          <w:sz w:val="16"/>
          <w:szCs w:val="16"/>
          <w:color w:val="auto"/>
        </w:rPr>
      </w:pPr>
    </w:p>
    <w:p>
      <w:pPr>
        <w:ind w:left="1300" w:right="100" w:hanging="442"/>
        <w:spacing w:after="0" w:line="325"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1" w:lineRule="exact"/>
        <w:rPr>
          <w:rFonts w:ascii="Arial" w:cs="Arial" w:eastAsia="Arial" w:hAnsi="Arial"/>
          <w:sz w:val="16"/>
          <w:szCs w:val="16"/>
          <w:color w:val="auto"/>
        </w:rPr>
      </w:pPr>
    </w:p>
    <w:p>
      <w:pPr>
        <w:ind w:left="1300" w:hanging="442"/>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continuing to invest in the expansion of our sales force and commercial support team;</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incorporating our testing services into diagnostic pathways and protocols via a top-down strategy that introduces our diagnostic tests to the largest United States health systems;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leveraging our clinical data to gain broad coverage from public and private payers for our tests.</w:t>
      </w:r>
    </w:p>
    <w:p>
      <w:pPr>
        <w:spacing w:after="0" w:line="113"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Deepen our relationships with current biopharmaceutical customers and establish new customer opportunities by:</w:t>
      </w:r>
    </w:p>
    <w:p>
      <w:pPr>
        <w:spacing w:after="0" w:line="121" w:lineRule="exact"/>
        <w:rPr>
          <w:rFonts w:ascii="Arial" w:cs="Arial" w:eastAsia="Arial" w:hAnsi="Arial"/>
          <w:sz w:val="18"/>
          <w:szCs w:val="18"/>
          <w:color w:val="auto"/>
        </w:rPr>
      </w:pPr>
    </w:p>
    <w:p>
      <w:pPr>
        <w:ind w:left="1300" w:hanging="442"/>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selling our complete offering of tests and services to biopharmaceutical companies in the United States and internationally;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leveraging existing projects and relationships to expand sales with our current biopharmaceutical customers; and</w:t>
      </w:r>
    </w:p>
    <w:p>
      <w:pPr>
        <w:spacing w:after="0" w:line="117" w:lineRule="exact"/>
        <w:rPr>
          <w:rFonts w:ascii="Arial" w:cs="Arial" w:eastAsia="Arial" w:hAnsi="Arial"/>
          <w:sz w:val="18"/>
          <w:szCs w:val="18"/>
          <w:color w:val="auto"/>
        </w:rPr>
      </w:pPr>
    </w:p>
    <w:p>
      <w:pPr>
        <w:ind w:left="1300" w:right="100" w:hanging="442"/>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targeting companies developing novel companion diagnostic strategies and drug development projects best suited to our platform for new test discovery, development and commercialization.</w:t>
      </w:r>
    </w:p>
    <w:p>
      <w:pPr>
        <w:spacing w:after="0" w:line="58" w:lineRule="exact"/>
        <w:rPr>
          <w:rFonts w:ascii="Arial" w:cs="Arial" w:eastAsia="Arial" w:hAnsi="Arial"/>
          <w:sz w:val="18"/>
          <w:szCs w:val="18"/>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Further demonstrate the clinical utility and economic benefits of our diagnostic tests by:</w:t>
      </w:r>
    </w:p>
    <w:p>
      <w:pPr>
        <w:spacing w:after="0" w:line="121" w:lineRule="exact"/>
        <w:rPr>
          <w:rFonts w:ascii="Arial" w:cs="Arial" w:eastAsia="Arial" w:hAnsi="Arial"/>
          <w:sz w:val="18"/>
          <w:szCs w:val="18"/>
          <w:color w:val="auto"/>
        </w:rPr>
      </w:pPr>
    </w:p>
    <w:p>
      <w:pPr>
        <w:ind w:left="1300" w:hanging="442"/>
        <w:spacing w:after="0"/>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investing in commercial clinical testing, research studies and clinical trials to further demonstrate the clinical utility of our tests;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providing rapid, actionable, and holistic diagnostic information to help inform physicians on the next steps in a patient’s care plan; and</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providing timely and actionable clinical information to help improve overall patient outcomes and lower the overall healthcare cost.</w:t>
      </w:r>
    </w:p>
    <w:p>
      <w:pPr>
        <w:spacing w:after="0" w:line="124" w:lineRule="exact"/>
        <w:rPr>
          <w:rFonts w:ascii="Arial" w:cs="Arial" w:eastAsia="Arial" w:hAnsi="Arial"/>
          <w:sz w:val="17"/>
          <w:szCs w:val="17"/>
          <w:color w:val="auto"/>
        </w:rPr>
      </w:pPr>
    </w:p>
    <w:p>
      <w:pPr>
        <w:ind w:left="1020" w:hanging="43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Introduce new diagnostic tests in lung disease by:</w:t>
      </w:r>
    </w:p>
    <w:p>
      <w:pPr>
        <w:spacing w:after="0" w:line="121" w:lineRule="exact"/>
        <w:rPr>
          <w:rFonts w:ascii="Arial" w:cs="Arial" w:eastAsia="Arial" w:hAnsi="Arial"/>
          <w:sz w:val="18"/>
          <w:szCs w:val="18"/>
          <w:color w:val="auto"/>
        </w:rPr>
      </w:pPr>
    </w:p>
    <w:p>
      <w:pPr>
        <w:ind w:left="1300" w:right="180" w:hanging="442"/>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62" w:lineRule="exact"/>
        <w:rPr>
          <w:rFonts w:ascii="Arial" w:cs="Arial" w:eastAsia="Arial" w:hAnsi="Arial"/>
          <w:sz w:val="18"/>
          <w:szCs w:val="18"/>
          <w:color w:val="auto"/>
        </w:rPr>
      </w:pPr>
    </w:p>
    <w:p>
      <w:pPr>
        <w:ind w:left="1300" w:right="480" w:hanging="442"/>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entering strategic partnerships with biopharmaceutical companies, academic research organizations, technology providers, and other diagnostic companies;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1" w:name="page22"/>
    <w:bookmarkEnd w:id="21"/>
    <w:p>
      <w:pPr>
        <w:ind w:left="1300" w:right="260" w:hanging="442"/>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developing companion diagnostic tests to support the therapeutics’ regulatory approval and adoption process for our biopharmaceutical customers.</w:t>
      </w:r>
    </w:p>
    <w:p>
      <w:pPr>
        <w:spacing w:after="0" w:line="58" w:lineRule="exact"/>
        <w:rPr>
          <w:rFonts w:ascii="Arial" w:cs="Arial" w:eastAsia="Arial" w:hAnsi="Arial"/>
          <w:sz w:val="18"/>
          <w:szCs w:val="18"/>
          <w:color w:val="auto"/>
        </w:rPr>
      </w:pPr>
    </w:p>
    <w:p>
      <w:pPr>
        <w:ind w:left="1020" w:hanging="43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Enhance our proprietary AI platform and expand our technology portfolio by:</w:t>
      </w:r>
    </w:p>
    <w:p>
      <w:pPr>
        <w:spacing w:after="0" w:line="121" w:lineRule="exact"/>
        <w:rPr>
          <w:rFonts w:ascii="Arial" w:cs="Arial" w:eastAsia="Arial" w:hAnsi="Arial"/>
          <w:sz w:val="18"/>
          <w:szCs w:val="18"/>
          <w:color w:val="auto"/>
        </w:rPr>
      </w:pPr>
    </w:p>
    <w:p>
      <w:pPr>
        <w:ind w:left="1300" w:hanging="442"/>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continuing to invest in R&amp;D capabilities to foster innovation in test discovery and development;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identifying, acquiring technologies and integrating new data types into our proprietary AI platform; and</w:t>
      </w:r>
    </w:p>
    <w:p>
      <w:pPr>
        <w:spacing w:after="0" w:line="117" w:lineRule="exact"/>
        <w:rPr>
          <w:rFonts w:ascii="Arial" w:cs="Arial" w:eastAsia="Arial" w:hAnsi="Arial"/>
          <w:sz w:val="18"/>
          <w:szCs w:val="18"/>
          <w:color w:val="auto"/>
        </w:rPr>
      </w:pPr>
    </w:p>
    <w:p>
      <w:pPr>
        <w:ind w:left="1300" w:right="880" w:hanging="442"/>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58" w:lineRule="exact"/>
        <w:rPr>
          <w:rFonts w:ascii="Arial" w:cs="Arial" w:eastAsia="Arial" w:hAnsi="Arial"/>
          <w:sz w:val="18"/>
          <w:szCs w:val="18"/>
          <w:color w:val="auto"/>
        </w:rPr>
      </w:pPr>
    </w:p>
    <w:p>
      <w:pPr>
        <w:ind w:left="1020" w:hanging="43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Continue to expand and leverage our biobank by:</w:t>
      </w:r>
    </w:p>
    <w:p>
      <w:pPr>
        <w:spacing w:after="0" w:line="121" w:lineRule="exact"/>
        <w:rPr>
          <w:rFonts w:ascii="Arial" w:cs="Arial" w:eastAsia="Arial" w:hAnsi="Arial"/>
          <w:sz w:val="18"/>
          <w:szCs w:val="18"/>
          <w:color w:val="auto"/>
        </w:rPr>
      </w:pPr>
    </w:p>
    <w:p>
      <w:pPr>
        <w:ind w:left="1300" w:hanging="442"/>
        <w:spacing w:after="0"/>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expanding and enhancing the robustness of our samples and the data set, including through our collaborations and partnerships;</w:t>
      </w:r>
    </w:p>
    <w:p>
      <w:pPr>
        <w:spacing w:after="0" w:line="128" w:lineRule="exact"/>
        <w:rPr>
          <w:rFonts w:ascii="Arial" w:cs="Arial" w:eastAsia="Arial" w:hAnsi="Arial"/>
          <w:sz w:val="17"/>
          <w:szCs w:val="17"/>
          <w:color w:val="auto"/>
        </w:rPr>
      </w:pPr>
    </w:p>
    <w:p>
      <w:pPr>
        <w:ind w:left="1300" w:hanging="442"/>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pursuing commercial opportunities with companies and researchers who are interested in utilizing our biobank for their own discovery and development efforts;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monetizing these commercial opportunities.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Diagnostic Tests in Development</w:t>
      </w:r>
    </w:p>
    <w:p>
      <w:pPr>
        <w:spacing w:after="0" w:line="108" w:lineRule="exact"/>
        <w:rPr>
          <w:sz w:val="20"/>
          <w:szCs w:val="20"/>
          <w:color w:val="auto"/>
        </w:rPr>
      </w:pPr>
    </w:p>
    <w:p>
      <w:pPr>
        <w:ind w:right="400" w:firstLine="539"/>
        <w:spacing w:after="0" w:line="277" w:lineRule="auto"/>
        <w:rPr>
          <w:sz w:val="20"/>
          <w:szCs w:val="20"/>
          <w:color w:val="auto"/>
        </w:rPr>
      </w:pPr>
      <w:r>
        <w:rPr>
          <w:rFonts w:ascii="Arial" w:cs="Arial" w:eastAsia="Arial" w:hAnsi="Arial"/>
          <w:sz w:val="18"/>
          <w:szCs w:val="18"/>
          <w:color w:val="auto"/>
        </w:rPr>
        <w:t>With the goal of finding solutions for clinical unmet needs related to diagnosis, treatment and monitoring in lung disease, our diagnostic tests in development include the following:</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Early-Stage NSCLC—Risk of Recurrence</w:t>
      </w:r>
    </w:p>
    <w:p>
      <w:pPr>
        <w:spacing w:after="0" w:line="90" w:lineRule="exact"/>
        <w:rPr>
          <w:sz w:val="20"/>
          <w:szCs w:val="20"/>
          <w:color w:val="auto"/>
        </w:rPr>
      </w:pPr>
    </w:p>
    <w:p>
      <w:pPr>
        <w:ind w:right="20" w:firstLine="539"/>
        <w:spacing w:after="0" w:line="290" w:lineRule="auto"/>
        <w:rPr>
          <w:sz w:val="20"/>
          <w:szCs w:val="20"/>
          <w:color w:val="auto"/>
        </w:rPr>
      </w:pPr>
      <w:r>
        <w:rPr>
          <w:rFonts w:ascii="Arial" w:cs="Arial" w:eastAsia="Arial" w:hAnsi="Arial"/>
          <w:sz w:val="16"/>
          <w:szCs w:val="16"/>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Late-Stage NSCLC—Immunotherapy Treatment Guidance</w:t>
      </w:r>
    </w:p>
    <w:p>
      <w:pPr>
        <w:spacing w:after="0" w:line="104" w:lineRule="exact"/>
        <w:rPr>
          <w:sz w:val="20"/>
          <w:szCs w:val="20"/>
          <w:color w:val="auto"/>
        </w:rPr>
      </w:pPr>
    </w:p>
    <w:p>
      <w:pPr>
        <w:ind w:firstLine="539"/>
        <w:spacing w:after="0" w:line="311" w:lineRule="auto"/>
        <w:rPr>
          <w:sz w:val="20"/>
          <w:szCs w:val="20"/>
          <w:color w:val="auto"/>
        </w:rPr>
      </w:pPr>
      <w:r>
        <w:rPr>
          <w:rFonts w:ascii="Arial" w:cs="Arial" w:eastAsia="Arial" w:hAnsi="Arial"/>
          <w:sz w:val="16"/>
          <w:szCs w:val="16"/>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w:t>
      </w:r>
    </w:p>
    <w:p>
      <w:pPr>
        <w:spacing w:after="0" w:line="41" w:lineRule="exact"/>
        <w:rPr>
          <w:sz w:val="20"/>
          <w:szCs w:val="20"/>
          <w:color w:val="auto"/>
        </w:rPr>
      </w:pPr>
    </w:p>
    <w:p>
      <w:pPr>
        <w:ind w:right="100" w:firstLine="539"/>
        <w:spacing w:after="0" w:line="273" w:lineRule="auto"/>
        <w:rPr>
          <w:sz w:val="20"/>
          <w:szCs w:val="20"/>
          <w:color w:val="auto"/>
        </w:rPr>
      </w:pPr>
      <w:r>
        <w:rPr>
          <w:rFonts w:ascii="Arial" w:cs="Arial" w:eastAsia="Arial" w:hAnsi="Arial"/>
          <w:sz w:val="17"/>
          <w:szCs w:val="17"/>
          <w:color w:val="auto"/>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left="540"/>
        <w:spacing w:after="0"/>
        <w:rPr>
          <w:sz w:val="20"/>
          <w:szCs w:val="20"/>
          <w:color w:val="auto"/>
        </w:rPr>
      </w:pPr>
      <w:r>
        <w:rPr>
          <w:rFonts w:ascii="Arial" w:cs="Arial" w:eastAsia="Arial" w:hAnsi="Arial"/>
          <w:sz w:val="18"/>
          <w:szCs w:val="18"/>
          <w:i w:val="1"/>
          <w:iCs w:val="1"/>
          <w:color w:val="auto"/>
        </w:rPr>
        <w:t>Monitoring – Progression &amp; Resistance</w:t>
      </w:r>
    </w:p>
    <w:p>
      <w:pPr>
        <w:spacing w:after="0" w:line="104" w:lineRule="exact"/>
        <w:rPr>
          <w:sz w:val="20"/>
          <w:szCs w:val="20"/>
          <w:color w:val="auto"/>
        </w:rPr>
      </w:pPr>
    </w:p>
    <w:p>
      <w:pPr>
        <w:ind w:right="200" w:firstLine="539"/>
        <w:spacing w:after="0" w:line="257" w:lineRule="auto"/>
        <w:rPr>
          <w:sz w:val="20"/>
          <w:szCs w:val="20"/>
          <w:color w:val="auto"/>
        </w:rPr>
      </w:pPr>
      <w:r>
        <w:rPr>
          <w:rFonts w:ascii="Arial" w:cs="Arial" w:eastAsia="Arial" w:hAnsi="Arial"/>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Arial" w:cs="Arial" w:eastAsia="Arial" w:hAnsi="Arial"/>
          <w:sz w:val="18"/>
          <w:szCs w:val="18"/>
          <w:i w:val="1"/>
          <w:iCs w:val="1"/>
          <w:color w:val="auto"/>
        </w:rPr>
        <w:t>EGFR</w:t>
      </w:r>
      <w:r>
        <w:rPr>
          <w:rFonts w:ascii="Arial" w:cs="Arial" w:eastAsia="Arial" w:hAnsi="Arial"/>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COVID-19 Viral Infection – Risk of Severe Outcomes</w:t>
      </w:r>
    </w:p>
    <w:p>
      <w:pPr>
        <w:spacing w:after="0" w:line="90" w:lineRule="exact"/>
        <w:rPr>
          <w:sz w:val="20"/>
          <w:szCs w:val="20"/>
          <w:color w:val="auto"/>
        </w:rPr>
      </w:pPr>
    </w:p>
    <w:p>
      <w:pPr>
        <w:ind w:right="20" w:firstLine="539"/>
        <w:spacing w:after="0" w:line="269" w:lineRule="auto"/>
        <w:rPr>
          <w:sz w:val="20"/>
          <w:szCs w:val="20"/>
          <w:color w:val="auto"/>
        </w:rPr>
      </w:pPr>
      <w:r>
        <w:rPr>
          <w:rFonts w:ascii="Arial" w:cs="Arial" w:eastAsia="Arial" w:hAnsi="Arial"/>
          <w:sz w:val="17"/>
          <w:szCs w:val="17"/>
          <w:color w:val="auto"/>
        </w:rPr>
        <w:t>Despite significant medical advances in the prevention and treatment of COVID-19, the virus continues to place health systems under pressure, with COVID-19 hospitalization rates in the United States exceeding 417 hospitalizations per 100,000 population the week ending January 31, 2021. Better understanding of how to identify which patients are at greatest risk of developing severe lung disease, requiring intubation, or dying from COVID-19 would help inform physicians of the risks and benefits of treatments, target higher risk patients for clinical trials, compare outcomes between patients with similar risk, and prioritize resources in a time of shortage. In partnership with an academic institution, we have developed an artificial intelligence (AI)-based algorithm for clinical decision support to help stratify patients hospitalized with COVID-19 who are likely to require intervention, such as treatment with ventilators, admission to intensive care units, or those patients who may develop acute respiratory distress syndrome (ARDS), versus those who will likely not require intervention. Our COVID-19 AI-based algorithm validated in a blinded, independent study, and uses 26 easily obtainable variables from the emergency department at time of initial evaluation to classify patients, including patient characteristics, vital signs, and readily available laboratory test values. We are working with a United States and International COVID-19 consortia consisting of major academic institutions to perform additional large, blinded, independent validation testing of the classifier and we are currently exploring options for making the algorithm widely available to hospitals for future patient use.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08" w:lineRule="exact"/>
        <w:rPr>
          <w:sz w:val="20"/>
          <w:szCs w:val="20"/>
          <w:color w:val="auto"/>
        </w:rPr>
      </w:pPr>
    </w:p>
    <w:p>
      <w:pPr>
        <w:ind w:right="60" w:firstLine="539"/>
        <w:spacing w:after="0" w:line="263"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5 of which are ongoing, and have published over 275 peer-reviewed publications and presentations. The following are our ongoing clinical studies for our diagnostic testing solutions.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ORACLE Registry Study (NCT03766958)</w:t>
      </w:r>
    </w:p>
    <w:p>
      <w:pPr>
        <w:spacing w:after="0" w:line="104" w:lineRule="exact"/>
        <w:rPr>
          <w:sz w:val="20"/>
          <w:szCs w:val="20"/>
          <w:color w:val="auto"/>
        </w:rPr>
      </w:pPr>
    </w:p>
    <w:p>
      <w:pPr>
        <w:ind w:right="40" w:firstLine="539"/>
        <w:spacing w:after="0" w:line="279" w:lineRule="auto"/>
        <w:rPr>
          <w:sz w:val="20"/>
          <w:szCs w:val="20"/>
          <w:color w:val="auto"/>
        </w:rPr>
      </w:pPr>
      <w:r>
        <w:rPr>
          <w:rFonts w:ascii="Arial" w:cs="Arial" w:eastAsia="Arial" w:hAnsi="Arial"/>
          <w:sz w:val="17"/>
          <w:szCs w:val="17"/>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ALTITUDE Clinical Utility Study (NCT04171492)</w:t>
      </w:r>
    </w:p>
    <w:p>
      <w:pPr>
        <w:spacing w:after="0" w:line="90" w:lineRule="exact"/>
        <w:rPr>
          <w:sz w:val="20"/>
          <w:szCs w:val="20"/>
          <w:color w:val="auto"/>
        </w:rPr>
      </w:pPr>
    </w:p>
    <w:p>
      <w:pPr>
        <w:ind w:firstLine="539"/>
        <w:spacing w:after="0" w:line="271" w:lineRule="auto"/>
        <w:rPr>
          <w:sz w:val="20"/>
          <w:szCs w:val="20"/>
          <w:color w:val="auto"/>
        </w:rPr>
      </w:pPr>
      <w:r>
        <w:rPr>
          <w:rFonts w:ascii="Arial" w:cs="Arial" w:eastAsia="Arial" w:hAnsi="Arial"/>
          <w:sz w:val="17"/>
          <w:szCs w:val="17"/>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The study launched in December of 2020. Phase 1 of the study with only Nodify XL2 is expected to enroll 500 patients. Phase 2 of the adaptive study design will include an open-label arm for Nodify CDT, which is aligned with our commercial testing algorithm.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540"/>
        <w:spacing w:after="0"/>
        <w:rPr>
          <w:sz w:val="20"/>
          <w:szCs w:val="20"/>
          <w:color w:val="auto"/>
        </w:rPr>
      </w:pPr>
      <w:r>
        <w:rPr>
          <w:rFonts w:ascii="Arial" w:cs="Arial" w:eastAsia="Arial" w:hAnsi="Arial"/>
          <w:sz w:val="18"/>
          <w:szCs w:val="18"/>
          <w:i w:val="1"/>
          <w:iCs w:val="1"/>
          <w:color w:val="auto"/>
        </w:rPr>
        <w:t>INSIGHT Observational Study (NCT03289780)</w:t>
      </w:r>
    </w:p>
    <w:p>
      <w:pPr>
        <w:spacing w:after="0" w:line="104" w:lineRule="exact"/>
        <w:rPr>
          <w:sz w:val="20"/>
          <w:szCs w:val="20"/>
          <w:color w:val="auto"/>
        </w:rPr>
      </w:pPr>
    </w:p>
    <w:p>
      <w:pPr>
        <w:ind w:right="60" w:firstLine="539"/>
        <w:spacing w:after="0" w:line="290" w:lineRule="auto"/>
        <w:rPr>
          <w:sz w:val="20"/>
          <w:szCs w:val="20"/>
          <w:color w:val="auto"/>
        </w:rPr>
      </w:pPr>
      <w:r>
        <w:rPr>
          <w:rFonts w:ascii="Arial" w:cs="Arial" w:eastAsia="Arial" w:hAnsi="Arial"/>
          <w:sz w:val="16"/>
          <w:szCs w:val="16"/>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BEACON-Lung Clinical Study (Trial in Progress)</w:t>
      </w:r>
    </w:p>
    <w:p>
      <w:pPr>
        <w:spacing w:after="0" w:line="90" w:lineRule="exact"/>
        <w:rPr>
          <w:sz w:val="20"/>
          <w:szCs w:val="20"/>
          <w:color w:val="auto"/>
        </w:rPr>
      </w:pPr>
    </w:p>
    <w:p>
      <w:pPr>
        <w:ind w:firstLine="539"/>
        <w:spacing w:after="0" w:line="291" w:lineRule="auto"/>
        <w:rPr>
          <w:sz w:val="20"/>
          <w:szCs w:val="20"/>
          <w:color w:val="auto"/>
        </w:rPr>
      </w:pPr>
      <w:r>
        <w:rPr>
          <w:rFonts w:ascii="Arial" w:cs="Arial" w:eastAsia="Arial" w:hAnsi="Arial"/>
          <w:sz w:val="16"/>
          <w:szCs w:val="16"/>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58"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DROPLET (Pending IRB Submission)</w:t>
      </w:r>
    </w:p>
    <w:p>
      <w:pPr>
        <w:spacing w:after="0" w:line="104" w:lineRule="exact"/>
        <w:rPr>
          <w:sz w:val="20"/>
          <w:szCs w:val="20"/>
          <w:color w:val="auto"/>
        </w:rPr>
      </w:pPr>
    </w:p>
    <w:p>
      <w:pPr>
        <w:ind w:firstLine="539"/>
        <w:spacing w:after="0" w:line="257" w:lineRule="auto"/>
        <w:rPr>
          <w:sz w:val="20"/>
          <w:szCs w:val="20"/>
          <w:color w:val="auto"/>
        </w:rPr>
      </w:pPr>
      <w:r>
        <w:rPr>
          <w:rFonts w:ascii="Arial" w:cs="Arial" w:eastAsia="Arial" w:hAnsi="Arial"/>
          <w:sz w:val="18"/>
          <w:szCs w:val="18"/>
          <w:color w:val="auto"/>
        </w:rPr>
        <w:t>Droplet is an exploratory direct to patient study to assess the utility a novel gene linkage phenomenon as measured by the Bio-Rad SARS-CoV-2 ddPCR test, on the correlative immune response in individuals previously infected with the COVID-19 virus. The primary objective of this study (titled “ddPCR Linkage, Viral Load and Immune Response in Individuals Infected with COVID-19”) is to evaluate the correlation between linkage, viral load and the immune responses in individuals who have had a natural infection with SARS-CoV-2. Fifty patients will be enrolled and serially tested for viral load and immune responses for up to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08" w:lineRule="exact"/>
        <w:rPr>
          <w:sz w:val="20"/>
          <w:szCs w:val="20"/>
          <w:color w:val="auto"/>
        </w:rPr>
      </w:pPr>
    </w:p>
    <w:p>
      <w:pPr>
        <w:ind w:right="160" w:firstLine="539"/>
        <w:spacing w:after="0" w:line="273" w:lineRule="auto"/>
        <w:rPr>
          <w:sz w:val="20"/>
          <w:szCs w:val="20"/>
          <w:color w:val="auto"/>
        </w:rPr>
      </w:pPr>
      <w:r>
        <w:rPr>
          <w:rFonts w:ascii="Arial" w:cs="Arial" w:eastAsia="Arial" w:hAnsi="Arial"/>
          <w:sz w:val="17"/>
          <w:szCs w:val="17"/>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70" w:lineRule="exact"/>
        <w:rPr>
          <w:sz w:val="20"/>
          <w:szCs w:val="20"/>
          <w:color w:val="auto"/>
        </w:rPr>
      </w:pPr>
    </w:p>
    <w:p>
      <w:pPr>
        <w:ind w:right="220" w:firstLine="539"/>
        <w:spacing w:after="0" w:line="263" w:lineRule="auto"/>
        <w:rPr>
          <w:sz w:val="20"/>
          <w:szCs w:val="20"/>
          <w:color w:val="auto"/>
        </w:rPr>
      </w:pPr>
      <w:r>
        <w:rPr>
          <w:rFonts w:ascii="Arial" w:cs="Arial" w:eastAsia="Arial" w:hAnsi="Arial"/>
          <w:sz w:val="18"/>
          <w:szCs w:val="18"/>
          <w:color w:val="auto"/>
        </w:rPr>
        <w:t>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76" w:lineRule="exact"/>
        <w:rPr>
          <w:sz w:val="20"/>
          <w:szCs w:val="20"/>
          <w:color w:val="auto"/>
        </w:rPr>
      </w:pPr>
    </w:p>
    <w:p>
      <w:pPr>
        <w:ind w:right="80" w:firstLine="539"/>
        <w:spacing w:after="0" w:line="286" w:lineRule="auto"/>
        <w:rPr>
          <w:sz w:val="20"/>
          <w:szCs w:val="20"/>
          <w:color w:val="auto"/>
        </w:rPr>
      </w:pPr>
      <w:r>
        <w:rPr>
          <w:rFonts w:ascii="Arial" w:cs="Arial" w:eastAsia="Arial" w:hAnsi="Arial"/>
          <w:sz w:val="17"/>
          <w:szCs w:val="17"/>
          <w:color w:val="auto"/>
        </w:rPr>
        <w:t>After a physician orders our tests, blood is collected either in the physician office or laboratory, third-party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4" w:name="page25"/>
    <w:bookmarkEnd w:id="24"/>
    <w:p>
      <w:pPr>
        <w:ind w:right="160" w:firstLine="539"/>
        <w:spacing w:after="0" w:line="257" w:lineRule="auto"/>
        <w:rPr>
          <w:sz w:val="20"/>
          <w:szCs w:val="20"/>
          <w:color w:val="auto"/>
        </w:rPr>
      </w:pPr>
      <w:r>
        <w:rPr>
          <w:rFonts w:ascii="Arial" w:cs="Arial" w:eastAsia="Arial" w:hAnsi="Arial"/>
          <w:sz w:val="18"/>
          <w:szCs w:val="18"/>
          <w:color w:val="auto"/>
        </w:rPr>
        <w:t>For our Biodesix WorkSafe COVID-19 testing program, we have a dedicated outreach team that works with the State of Colorado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client support.</w:t>
      </w:r>
    </w:p>
    <w:p>
      <w:pPr>
        <w:spacing w:after="0" w:line="80" w:lineRule="exact"/>
        <w:rPr>
          <w:sz w:val="20"/>
          <w:szCs w:val="20"/>
          <w:color w:val="auto"/>
        </w:rPr>
      </w:pPr>
    </w:p>
    <w:p>
      <w:pPr>
        <w:ind w:right="60" w:firstLine="539"/>
        <w:spacing w:after="0" w:line="293" w:lineRule="auto"/>
        <w:rPr>
          <w:sz w:val="20"/>
          <w:szCs w:val="20"/>
          <w:color w:val="auto"/>
        </w:rPr>
      </w:pPr>
      <w:r>
        <w:rPr>
          <w:rFonts w:ascii="Arial" w:cs="Arial" w:eastAsia="Arial" w:hAnsi="Arial"/>
          <w:sz w:val="16"/>
          <w:szCs w:val="16"/>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08" w:lineRule="exact"/>
        <w:rPr>
          <w:sz w:val="20"/>
          <w:szCs w:val="20"/>
          <w:color w:val="auto"/>
        </w:rPr>
      </w:pPr>
    </w:p>
    <w:p>
      <w:pPr>
        <w:ind w:right="180" w:firstLine="539"/>
        <w:spacing w:after="0" w:line="296" w:lineRule="auto"/>
        <w:rPr>
          <w:sz w:val="20"/>
          <w:szCs w:val="20"/>
          <w:color w:val="auto"/>
        </w:rPr>
      </w:pPr>
      <w:r>
        <w:rPr>
          <w:rFonts w:ascii="Arial" w:cs="Arial" w:eastAsia="Arial" w:hAnsi="Arial"/>
          <w:sz w:val="16"/>
          <w:szCs w:val="16"/>
          <w:color w:val="auto"/>
        </w:rPr>
        <w:t>The primary source of reimbursement for our tests in the United States is from third-party payers including government payers, such as Medicare, and commercial payers, such as insurance companies. For our COVID-19 testing program,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53" w:lineRule="exact"/>
        <w:rPr>
          <w:sz w:val="20"/>
          <w:szCs w:val="20"/>
          <w:color w:val="auto"/>
        </w:rPr>
      </w:pPr>
    </w:p>
    <w:p>
      <w:pPr>
        <w:ind w:right="280" w:firstLine="540"/>
        <w:spacing w:after="0" w:line="296" w:lineRule="auto"/>
        <w:rPr>
          <w:sz w:val="20"/>
          <w:szCs w:val="20"/>
          <w:color w:val="auto"/>
        </w:rPr>
      </w:pPr>
      <w:r>
        <w:rPr>
          <w:rFonts w:ascii="Arial" w:cs="Arial" w:eastAsia="Arial" w:hAnsi="Arial"/>
          <w:sz w:val="16"/>
          <w:szCs w:val="16"/>
          <w:color w:val="auto"/>
        </w:rPr>
        <w:t>Under the Families First Coronavirus Response Act (FFCRA) and Coronavirus Aid, Relief, and Economic Security Act (CARES),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 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53" w:lineRule="exact"/>
        <w:rPr>
          <w:sz w:val="20"/>
          <w:szCs w:val="20"/>
          <w:color w:val="auto"/>
        </w:rPr>
      </w:pPr>
    </w:p>
    <w:p>
      <w:pPr>
        <w:ind w:firstLine="540"/>
        <w:spacing w:after="0" w:line="270" w:lineRule="auto"/>
        <w:rPr>
          <w:sz w:val="20"/>
          <w:szCs w:val="20"/>
          <w:color w:val="auto"/>
        </w:rPr>
      </w:pPr>
      <w:r>
        <w:rPr>
          <w:rFonts w:ascii="Arial" w:cs="Arial" w:eastAsia="Arial" w:hAnsi="Arial"/>
          <w:sz w:val="17"/>
          <w:szCs w:val="17"/>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Bio-Rad SARS-CoV-2 ddPCR test and the Platelia SARS-CoV-2 Total Ab test when performed for diagnostic purposes. In some cases, we submit claims to insurance payers for the Bio-Rad SARS-CoV-2 ddPCR test and/or the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73" w:lineRule="exact"/>
        <w:rPr>
          <w:sz w:val="20"/>
          <w:szCs w:val="20"/>
          <w:color w:val="auto"/>
        </w:rPr>
      </w:pPr>
    </w:p>
    <w:p>
      <w:pPr>
        <w:ind w:right="80" w:firstLine="540"/>
        <w:spacing w:after="0" w:line="289" w:lineRule="auto"/>
        <w:rPr>
          <w:sz w:val="20"/>
          <w:szCs w:val="20"/>
          <w:color w:val="auto"/>
        </w:rPr>
      </w:pPr>
      <w:r>
        <w:rPr>
          <w:rFonts w:ascii="Arial" w:cs="Arial" w:eastAsia="Arial" w:hAnsi="Arial"/>
          <w:sz w:val="16"/>
          <w:szCs w:val="16"/>
          <w:color w:val="auto"/>
        </w:rPr>
        <w:t>Compliance with applicable laws and regulations, as well as internal compliance policies and procedures adds complexity to the billing process. The Centers for Medicare &amp; Medicaid Services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Current Procedural Terminology (CPT) codes, as defined by the American Medical Association. For some of the tests we conduct, there may not be a specific CPT or HCPCS code, in which case the test may be billed under a miscellaneous code for an unlisted molecular pathology procedure or unlisted multiple analyte test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Competitors</w:t>
      </w:r>
    </w:p>
    <w:p>
      <w:pPr>
        <w:spacing w:after="0" w:line="108" w:lineRule="exact"/>
        <w:rPr>
          <w:sz w:val="20"/>
          <w:szCs w:val="20"/>
          <w:color w:val="auto"/>
        </w:rPr>
      </w:pPr>
    </w:p>
    <w:p>
      <w:pPr>
        <w:ind w:right="240" w:firstLine="539"/>
        <w:spacing w:after="0" w:line="342" w:lineRule="auto"/>
        <w:rPr>
          <w:sz w:val="20"/>
          <w:szCs w:val="20"/>
          <w:color w:val="auto"/>
        </w:rPr>
      </w:pPr>
      <w:r>
        <w:rPr>
          <w:rFonts w:ascii="Arial" w:cs="Arial" w:eastAsia="Arial" w:hAnsi="Arial"/>
          <w:sz w:val="16"/>
          <w:szCs w:val="16"/>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Diagnosis—Nodule Management</w:t>
      </w:r>
    </w:p>
    <w:p>
      <w:pPr>
        <w:spacing w:after="0" w:line="90" w:lineRule="exact"/>
        <w:rPr>
          <w:sz w:val="20"/>
          <w:szCs w:val="20"/>
          <w:color w:val="auto"/>
        </w:rPr>
      </w:pPr>
    </w:p>
    <w:p>
      <w:pPr>
        <w:ind w:firstLine="539"/>
        <w:spacing w:after="0" w:line="259" w:lineRule="auto"/>
        <w:rPr>
          <w:sz w:val="20"/>
          <w:szCs w:val="20"/>
          <w:color w:val="auto"/>
        </w:rPr>
      </w:pPr>
      <w:r>
        <w:rPr>
          <w:rFonts w:ascii="Arial" w:cs="Arial" w:eastAsia="Arial" w:hAnsi="Arial"/>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Prognosis, Treatment Guidance and Monitoring—NSCLC</w:t>
      </w:r>
    </w:p>
    <w:p>
      <w:pPr>
        <w:spacing w:after="0" w:line="104" w:lineRule="exact"/>
        <w:rPr>
          <w:sz w:val="20"/>
          <w:szCs w:val="20"/>
          <w:color w:val="auto"/>
        </w:rPr>
      </w:pPr>
    </w:p>
    <w:p>
      <w:pPr>
        <w:ind w:right="180" w:firstLine="539"/>
        <w:spacing w:after="0" w:line="301" w:lineRule="auto"/>
        <w:rPr>
          <w:sz w:val="20"/>
          <w:szCs w:val="20"/>
          <w:color w:val="auto"/>
        </w:rPr>
      </w:pPr>
      <w:r>
        <w:rPr>
          <w:rFonts w:ascii="Arial" w:cs="Arial" w:eastAsia="Arial" w:hAnsi="Arial"/>
          <w:sz w:val="16"/>
          <w:szCs w:val="16"/>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COVID-19 Testing</w:t>
      </w:r>
    </w:p>
    <w:p>
      <w:pPr>
        <w:spacing w:after="0" w:line="104" w:lineRule="exact"/>
        <w:rPr>
          <w:sz w:val="20"/>
          <w:szCs w:val="20"/>
          <w:color w:val="auto"/>
        </w:rPr>
      </w:pPr>
    </w:p>
    <w:p>
      <w:pPr>
        <w:jc w:val="both"/>
        <w:ind w:right="600" w:firstLine="539"/>
        <w:spacing w:after="0" w:line="263" w:lineRule="auto"/>
        <w:rPr>
          <w:sz w:val="20"/>
          <w:szCs w:val="20"/>
          <w:color w:val="auto"/>
        </w:rPr>
      </w:pPr>
      <w:r>
        <w:rPr>
          <w:rFonts w:ascii="Arial" w:cs="Arial" w:eastAsia="Arial" w:hAnsi="Arial"/>
          <w:sz w:val="18"/>
          <w:szCs w:val="18"/>
          <w:color w:val="auto"/>
        </w:rPr>
        <w:t>We believe that our competitors include university and state laboratories, national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Biopharmaceutical Diagnostic Discovery, Development &amp; Testing Services</w:t>
      </w:r>
    </w:p>
    <w:p>
      <w:pPr>
        <w:spacing w:after="0" w:line="90" w:lineRule="exact"/>
        <w:rPr>
          <w:sz w:val="20"/>
          <w:szCs w:val="20"/>
          <w:color w:val="auto"/>
        </w:rPr>
      </w:pPr>
    </w:p>
    <w:p>
      <w:pPr>
        <w:ind w:right="100" w:firstLine="539"/>
        <w:spacing w:after="0" w:line="259" w:lineRule="auto"/>
        <w:rPr>
          <w:sz w:val="20"/>
          <w:szCs w:val="20"/>
          <w:color w:val="auto"/>
        </w:rPr>
      </w:pPr>
      <w:r>
        <w:rPr>
          <w:rFonts w:ascii="Arial" w:cs="Arial" w:eastAsia="Arial" w:hAnsi="Arial"/>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Laboratory Operations</w:t>
      </w:r>
    </w:p>
    <w:p>
      <w:pPr>
        <w:spacing w:after="0" w:line="108" w:lineRule="exact"/>
        <w:rPr>
          <w:sz w:val="20"/>
          <w:szCs w:val="20"/>
          <w:color w:val="auto"/>
        </w:rPr>
      </w:pPr>
    </w:p>
    <w:p>
      <w:pPr>
        <w:jc w:val="both"/>
        <w:ind w:firstLine="539"/>
        <w:spacing w:after="0" w:line="273" w:lineRule="auto"/>
        <w:rPr>
          <w:sz w:val="20"/>
          <w:szCs w:val="20"/>
          <w:color w:val="auto"/>
        </w:rPr>
      </w:pPr>
      <w:r>
        <w:rPr>
          <w:rFonts w:ascii="Arial" w:cs="Arial" w:eastAsia="Arial" w:hAnsi="Arial"/>
          <w:sz w:val="17"/>
          <w:szCs w:val="17"/>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70" w:lineRule="exact"/>
        <w:rPr>
          <w:sz w:val="20"/>
          <w:szCs w:val="20"/>
          <w:color w:val="auto"/>
        </w:rPr>
      </w:pPr>
    </w:p>
    <w:p>
      <w:pPr>
        <w:ind w:right="100" w:firstLine="539"/>
        <w:spacing w:after="0" w:line="254" w:lineRule="auto"/>
        <w:rPr>
          <w:sz w:val="20"/>
          <w:szCs w:val="20"/>
          <w:color w:val="auto"/>
        </w:rPr>
      </w:pPr>
      <w:r>
        <w:rPr>
          <w:rFonts w:ascii="Arial" w:cs="Arial" w:eastAsia="Arial" w:hAnsi="Arial"/>
          <w:sz w:val="18"/>
          <w:szCs w:val="18"/>
          <w:color w:val="auto"/>
        </w:rPr>
        <w:t>The Nodify XL2, Nodify CDT, and COVID-19 total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87" w:lineRule="exact"/>
        <w:rPr>
          <w:sz w:val="20"/>
          <w:szCs w:val="20"/>
          <w:color w:val="auto"/>
        </w:rPr>
      </w:pPr>
    </w:p>
    <w:p>
      <w:pPr>
        <w:ind w:right="400" w:firstLine="539"/>
        <w:spacing w:after="0" w:line="277" w:lineRule="auto"/>
        <w:rPr>
          <w:sz w:val="20"/>
          <w:szCs w:val="20"/>
          <w:color w:val="auto"/>
        </w:rPr>
      </w:pPr>
      <w:r>
        <w:rPr>
          <w:rFonts w:ascii="Arial" w:cs="Arial" w:eastAsia="Arial" w:hAnsi="Arial"/>
          <w:sz w:val="18"/>
          <w:szCs w:val="18"/>
          <w:color w:val="auto"/>
        </w:rPr>
        <w:t>Personnel in both facilities are responsible for quality assurance oversight, licensing, and regulation compliance and maintenance to ensure data integrity and consistent, validated processes.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100" w:firstLine="535"/>
        <w:spacing w:after="0" w:line="296" w:lineRule="auto"/>
        <w:rPr>
          <w:sz w:val="20"/>
          <w:szCs w:val="20"/>
          <w:color w:val="auto"/>
        </w:rPr>
      </w:pPr>
      <w:r>
        <w:rPr>
          <w:rFonts w:ascii="Arial" w:cs="Arial" w:eastAsia="Arial" w:hAnsi="Arial"/>
          <w:sz w:val="16"/>
          <w:szCs w:val="16"/>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as described below, is the sole source supplier for our GeneStrat test and COVID-19 and antibody testing program. Oncimmune is also the sole source supplier for our Nodify CDT tests but there are known secondary suppliers for these materials. We have initiated the second source qualification process for the majority of these critical components.</w:t>
      </w:r>
    </w:p>
    <w:p>
      <w:pPr>
        <w:spacing w:after="0" w:line="53" w:lineRule="exact"/>
        <w:rPr>
          <w:sz w:val="20"/>
          <w:szCs w:val="20"/>
          <w:color w:val="auto"/>
        </w:rPr>
      </w:pPr>
    </w:p>
    <w:p>
      <w:pPr>
        <w:ind w:firstLine="539"/>
        <w:spacing w:after="0" w:line="259" w:lineRule="auto"/>
        <w:rPr>
          <w:sz w:val="20"/>
          <w:szCs w:val="20"/>
          <w:color w:val="auto"/>
        </w:rPr>
      </w:pPr>
      <w:r>
        <w:rPr>
          <w:rFonts w:ascii="Arial" w:cs="Arial" w:eastAsia="Arial" w:hAnsi="Arial"/>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79" w:lineRule="exact"/>
        <w:rPr>
          <w:sz w:val="20"/>
          <w:szCs w:val="20"/>
          <w:color w:val="auto"/>
        </w:rPr>
      </w:pPr>
    </w:p>
    <w:p>
      <w:pPr>
        <w:jc w:val="both"/>
        <w:ind w:right="80" w:firstLine="539"/>
        <w:spacing w:after="0" w:line="259"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SARS-CoV-2 tests until alternatives could be validated.</w:t>
      </w:r>
    </w:p>
    <w:p>
      <w:pPr>
        <w:spacing w:after="0" w:line="79" w:lineRule="exact"/>
        <w:rPr>
          <w:sz w:val="20"/>
          <w:szCs w:val="20"/>
          <w:color w:val="auto"/>
        </w:rPr>
      </w:pPr>
    </w:p>
    <w:p>
      <w:pPr>
        <w:ind w:right="160" w:firstLine="539"/>
        <w:spacing w:after="0" w:line="263" w:lineRule="auto"/>
        <w:rPr>
          <w:sz w:val="20"/>
          <w:szCs w:val="20"/>
          <w:color w:val="auto"/>
        </w:rPr>
      </w:pPr>
      <w:r>
        <w:rPr>
          <w:rFonts w:ascii="Arial" w:cs="Arial" w:eastAsia="Arial" w:hAnsi="Arial"/>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76" w:lineRule="exact"/>
        <w:rPr>
          <w:sz w:val="20"/>
          <w:szCs w:val="20"/>
          <w:color w:val="auto"/>
        </w:rPr>
      </w:pPr>
    </w:p>
    <w:p>
      <w:pPr>
        <w:ind w:right="260" w:firstLine="539"/>
        <w:spacing w:after="0" w:line="277" w:lineRule="auto"/>
        <w:rPr>
          <w:sz w:val="20"/>
          <w:szCs w:val="20"/>
          <w:color w:val="auto"/>
        </w:rPr>
      </w:pPr>
      <w:r>
        <w:rPr>
          <w:rFonts w:ascii="Arial" w:cs="Arial" w:eastAsia="Arial" w:hAnsi="Arial"/>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62" w:lineRule="exact"/>
        <w:rPr>
          <w:sz w:val="20"/>
          <w:szCs w:val="20"/>
          <w:color w:val="auto"/>
        </w:rPr>
      </w:pPr>
    </w:p>
    <w:p>
      <w:pPr>
        <w:ind w:right="160" w:firstLine="539"/>
        <w:spacing w:after="0" w:line="259" w:lineRule="auto"/>
        <w:rPr>
          <w:sz w:val="20"/>
          <w:szCs w:val="20"/>
          <w:color w:val="auto"/>
        </w:rPr>
      </w:pPr>
      <w:r>
        <w:rPr>
          <w:rFonts w:ascii="Arial" w:cs="Arial" w:eastAsia="Arial" w:hAnsi="Arial"/>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35"/>
        <w:spacing w:after="0" w:line="272" w:lineRule="auto"/>
        <w:rPr>
          <w:sz w:val="20"/>
          <w:szCs w:val="20"/>
          <w:color w:val="auto"/>
        </w:rPr>
      </w:pPr>
      <w:r>
        <w:rPr>
          <w:rFonts w:ascii="Arial" w:cs="Arial" w:eastAsia="Arial" w:hAnsi="Arial"/>
          <w:sz w:val="17"/>
          <w:szCs w:val="17"/>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69" w:lineRule="exact"/>
        <w:rPr>
          <w:sz w:val="20"/>
          <w:szCs w:val="20"/>
          <w:color w:val="auto"/>
        </w:rPr>
      </w:pPr>
    </w:p>
    <w:p>
      <w:pPr>
        <w:ind w:firstLine="535"/>
        <w:spacing w:after="0" w:line="273" w:lineRule="auto"/>
        <w:rPr>
          <w:sz w:val="20"/>
          <w:szCs w:val="20"/>
          <w:color w:val="auto"/>
        </w:rPr>
      </w:pPr>
      <w:r>
        <w:rPr>
          <w:rFonts w:ascii="Arial" w:cs="Arial" w:eastAsia="Arial" w:hAnsi="Arial"/>
          <w:sz w:val="17"/>
          <w:szCs w:val="17"/>
          <w:color w:val="auto"/>
        </w:rPr>
        <w:t>We have invested heavily in the protection of our key assets, namely the VeriStrat® and GeneStrat® tests, and we acquired a patent portfolio relating to the Nodify XL2® and Nodify CDT™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ind w:firstLine="539"/>
        <w:spacing w:after="0" w:line="268" w:lineRule="auto"/>
        <w:rPr>
          <w:sz w:val="20"/>
          <w:szCs w:val="20"/>
          <w:color w:val="auto"/>
        </w:rPr>
      </w:pPr>
      <w:r>
        <w:rPr>
          <w:rFonts w:ascii="Arial" w:cs="Arial" w:eastAsia="Arial" w:hAnsi="Arial"/>
          <w:sz w:val="17"/>
          <w:szCs w:val="17"/>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For more information regarding this license and supply agreement, please see “—Material Agreements—Agreements with Bio-Rad.” Bio-Rad owns patents relating to ddPCR and to which we have a non-exclusive license to utilize for the performance of ddPCR in cancer detection testing for third parties as set forth in the Bio-Rad License Agreement. In addition, we have separately been granted permission by Bio-Rad to use the Bio-Rad SARS-CoV-2 ddPCR test and Platelia SARS-CoV-2 Total Ab test for commercial diagnostic services. For more information regarding the permission granted to us by Bio-Rad with respect to such tests, please see “Business—Material Agreements—Agreements with Bio-Rad.” We are unaware of patents owned by Bio-Rad relating to its COVID-19 antibody test but acknowledge that Bio-Rad has know-how and trade secrets relating to this test.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 technologies and our approaches to using mass shot matrix-assisted laser desorption time of flight (MALDI-ToF) technology (DeepMALDI® techniques). Additionally, our first device patent was issued in 2019 for our internally designed blood collection device.</w:t>
      </w:r>
    </w:p>
    <w:p>
      <w:pPr>
        <w:spacing w:after="0" w:line="74" w:lineRule="exact"/>
        <w:rPr>
          <w:sz w:val="20"/>
          <w:szCs w:val="20"/>
          <w:color w:val="auto"/>
        </w:rPr>
      </w:pPr>
    </w:p>
    <w:p>
      <w:pPr>
        <w:ind w:right="60" w:firstLine="539"/>
        <w:spacing w:after="0" w:line="259" w:lineRule="auto"/>
        <w:rPr>
          <w:sz w:val="20"/>
          <w:szCs w:val="20"/>
          <w:color w:val="auto"/>
        </w:rPr>
      </w:pPr>
      <w:r>
        <w:rPr>
          <w:rFonts w:ascii="Arial" w:cs="Arial" w:eastAsia="Arial" w:hAnsi="Arial"/>
          <w:sz w:val="18"/>
          <w:szCs w:val="18"/>
          <w:color w:val="auto"/>
        </w:rPr>
        <w:t>As of October 21, 2020, our patent portfolio includes approximately 49 issued United States patents, 38 issued foreign patents, which includes 3 European patents that were nationalized in multiple European countries, and 40 pending applications (including 23 foreign patent applications). With regard to our product development efforts, provisional applications have been filed around new developments relating to ARDS and COVID diagnostics, and national stage applications are now in active prosecution to protect our ROR and PIR tests.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can be broken down into 5 categories:</w:t>
      </w:r>
    </w:p>
    <w:p>
      <w:pPr>
        <w:spacing w:after="0" w:line="225" w:lineRule="exact"/>
        <w:rPr>
          <w:sz w:val="20"/>
          <w:szCs w:val="20"/>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the VeriStrat and Nodify tests and uses of these tests;</w:t>
      </w:r>
    </w:p>
    <w:p>
      <w:pPr>
        <w:spacing w:after="0" w:line="117" w:lineRule="exact"/>
        <w:rPr>
          <w:rFonts w:ascii="Arial" w:cs="Arial" w:eastAsia="Arial" w:hAnsi="Arial"/>
          <w:sz w:val="18"/>
          <w:szCs w:val="18"/>
          <w:color w:val="auto"/>
        </w:rPr>
      </w:pPr>
    </w:p>
    <w:p>
      <w:pPr>
        <w:ind w:left="1020" w:right="1000" w:hanging="432"/>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methods for developing classifiers using the Diagnostic Cortex and DeepMALDI technologies;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currently in development;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our novel blood collection device;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developed for our third-party partners.</w:t>
      </w:r>
    </w:p>
    <w:p>
      <w:pPr>
        <w:spacing w:after="0" w:line="333" w:lineRule="exact"/>
        <w:rPr>
          <w:sz w:val="20"/>
          <w:szCs w:val="20"/>
          <w:color w:val="auto"/>
        </w:rPr>
      </w:pPr>
    </w:p>
    <w:p>
      <w:pPr>
        <w:ind w:right="60" w:firstLine="539"/>
        <w:spacing w:after="0" w:line="257" w:lineRule="auto"/>
        <w:rPr>
          <w:sz w:val="20"/>
          <w:szCs w:val="20"/>
          <w:color w:val="auto"/>
        </w:rPr>
      </w:pPr>
      <w:r>
        <w:rPr>
          <w:rFonts w:ascii="Arial" w:cs="Arial" w:eastAsia="Arial" w:hAnsi="Arial"/>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80" w:lineRule="exact"/>
        <w:rPr>
          <w:sz w:val="20"/>
          <w:szCs w:val="20"/>
          <w:color w:val="auto"/>
        </w:rPr>
      </w:pPr>
    </w:p>
    <w:p>
      <w:pPr>
        <w:ind w:right="40" w:firstLine="539"/>
        <w:spacing w:after="0" w:line="291" w:lineRule="auto"/>
        <w:rPr>
          <w:sz w:val="20"/>
          <w:szCs w:val="20"/>
          <w:color w:val="auto"/>
        </w:rPr>
      </w:pPr>
      <w:r>
        <w:rPr>
          <w:rFonts w:ascii="Arial" w:cs="Arial" w:eastAsia="Arial" w:hAnsi="Arial"/>
          <w:sz w:val="16"/>
          <w:szCs w:val="16"/>
          <w:color w:val="auto"/>
        </w:rPr>
        <w:t>While we do not currently have any pending PCT applications, we often convert provisional patent applications to PCT applications.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20" w:firstLine="539"/>
        <w:spacing w:after="0" w:line="286" w:lineRule="auto"/>
        <w:rPr>
          <w:sz w:val="20"/>
          <w:szCs w:val="20"/>
          <w:color w:val="auto"/>
        </w:rPr>
      </w:pPr>
      <w:r>
        <w:rPr>
          <w:rFonts w:ascii="Arial" w:cs="Arial" w:eastAsia="Arial" w:hAnsi="Arial"/>
          <w:sz w:val="16"/>
          <w:szCs w:val="16"/>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59" w:lineRule="exact"/>
        <w:rPr>
          <w:sz w:val="20"/>
          <w:szCs w:val="20"/>
          <w:color w:val="auto"/>
        </w:rPr>
      </w:pPr>
    </w:p>
    <w:p>
      <w:pPr>
        <w:ind w:right="60" w:firstLine="539"/>
        <w:spacing w:after="0" w:line="279" w:lineRule="auto"/>
        <w:rPr>
          <w:sz w:val="20"/>
          <w:szCs w:val="20"/>
          <w:color w:val="auto"/>
        </w:rPr>
      </w:pPr>
      <w:r>
        <w:rPr>
          <w:rFonts w:ascii="Arial" w:cs="Arial" w:eastAsia="Arial" w:hAnsi="Arial"/>
          <w:sz w:val="17"/>
          <w:szCs w:val="17"/>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63" w:lineRule="exact"/>
        <w:rPr>
          <w:sz w:val="20"/>
          <w:szCs w:val="20"/>
          <w:color w:val="auto"/>
        </w:rPr>
      </w:pPr>
    </w:p>
    <w:p>
      <w:pPr>
        <w:ind w:right="260" w:firstLine="540"/>
        <w:spacing w:after="0" w:line="291" w:lineRule="auto"/>
        <w:rPr>
          <w:sz w:val="20"/>
          <w:szCs w:val="20"/>
          <w:color w:val="auto"/>
        </w:rPr>
      </w:pPr>
      <w:r>
        <w:rPr>
          <w:rFonts w:ascii="Arial" w:cs="Arial" w:eastAsia="Arial" w:hAnsi="Arial"/>
          <w:sz w:val="16"/>
          <w:szCs w:val="16"/>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September 21, 2020, we have 22 uniquely registered United States trademarks 10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58"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We also rely on trade secrets, including know 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74" w:lineRule="exact"/>
        <w:rPr>
          <w:sz w:val="20"/>
          <w:szCs w:val="20"/>
          <w:color w:val="auto"/>
        </w:rPr>
      </w:pPr>
    </w:p>
    <w:p>
      <w:pPr>
        <w:jc w:val="both"/>
        <w:ind w:right="40" w:firstLine="540"/>
        <w:spacing w:after="0" w:line="259" w:lineRule="auto"/>
        <w:rPr>
          <w:sz w:val="20"/>
          <w:szCs w:val="20"/>
          <w:color w:val="auto"/>
        </w:rPr>
      </w:pPr>
      <w:r>
        <w:rPr>
          <w:rFonts w:ascii="Arial" w:cs="Arial" w:eastAsia="Arial" w:hAnsi="Arial"/>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ind w:right="60" w:firstLine="539"/>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08" w:lineRule="exact"/>
        <w:rPr>
          <w:sz w:val="20"/>
          <w:szCs w:val="20"/>
          <w:color w:val="auto"/>
        </w:rPr>
      </w:pPr>
    </w:p>
    <w:p>
      <w:pPr>
        <w:ind w:right="160" w:firstLine="539"/>
        <w:spacing w:after="0" w:line="272" w:lineRule="auto"/>
        <w:rPr>
          <w:sz w:val="20"/>
          <w:szCs w:val="20"/>
          <w:color w:val="auto"/>
        </w:rPr>
      </w:pPr>
      <w:r>
        <w:rPr>
          <w:rFonts w:ascii="Arial" w:cs="Arial" w:eastAsia="Arial" w:hAnsi="Arial"/>
          <w:sz w:val="17"/>
          <w:szCs w:val="17"/>
          <w:color w:val="auto"/>
        </w:rPr>
        <w:t>Clinical laboratory tests like our diagnostic tests are regulated under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diagnostic (IVD) tests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177" w:lineRule="exact"/>
        <w:rPr>
          <w:sz w:val="20"/>
          <w:szCs w:val="20"/>
          <w:color w:val="auto"/>
        </w:rPr>
      </w:pPr>
    </w:p>
    <w:p>
      <w:pPr>
        <w:ind w:left="1020" w:right="100" w:hanging="432"/>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9, 2012, Congress passed legislation in the Food and Drug Administration Safety and Innovation Act of 2012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78" w:lineRule="exact"/>
        <w:rPr>
          <w:rFonts w:ascii="Arial" w:cs="Arial" w:eastAsia="Arial" w:hAnsi="Arial"/>
          <w:sz w:val="18"/>
          <w:szCs w:val="18"/>
          <w:color w:val="auto"/>
        </w:rPr>
      </w:pPr>
    </w:p>
    <w:p>
      <w:pPr>
        <w:ind w:left="1020" w:hanging="432"/>
        <w:spacing w:after="0" w:line="273"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In October 2014, the FDA issued two draft guidance documents: </w:t>
      </w:r>
      <w:r>
        <w:rPr>
          <w:rFonts w:ascii="Arial" w:cs="Arial" w:eastAsia="Arial" w:hAnsi="Arial"/>
          <w:sz w:val="17"/>
          <w:szCs w:val="17"/>
          <w:i w:val="1"/>
          <w:iCs w:val="1"/>
          <w:color w:val="auto"/>
        </w:rPr>
        <w:t>Framework for Regulatory Oversight of Laboratory Developed Tests</w:t>
      </w:r>
      <w:r>
        <w:rPr>
          <w:rFonts w:ascii="Arial" w:cs="Arial" w:eastAsia="Arial" w:hAnsi="Arial"/>
          <w:sz w:val="17"/>
          <w:szCs w:val="17"/>
          <w:color w:val="auto"/>
        </w:rPr>
        <w:t xml:space="preserve">, which provided an overview of how the FDA would regulate LDTs through a risk-based approach, and </w:t>
      </w:r>
      <w:r>
        <w:rPr>
          <w:rFonts w:ascii="Arial" w:cs="Arial" w:eastAsia="Arial" w:hAnsi="Arial"/>
          <w:sz w:val="17"/>
          <w:szCs w:val="17"/>
          <w:i w:val="1"/>
          <w:iCs w:val="1"/>
          <w:color w:val="auto"/>
        </w:rPr>
        <w:t>FDA Notification and Medical Device</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for Laboratory Developed Tests</w:t>
      </w:r>
      <w:r>
        <w:rPr>
          <w:rFonts w:ascii="Arial" w:cs="Arial" w:eastAsia="Arial" w:hAnsi="Arial"/>
          <w:sz w:val="17"/>
          <w:szCs w:val="17"/>
          <w:color w:val="auto"/>
        </w:rPr>
        <w:t>, which provided guidance on how the FDA intended to collect information on existing LDTs,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69" w:lineRule="exact"/>
        <w:rPr>
          <w:rFonts w:ascii="Arial" w:cs="Arial" w:eastAsia="Arial" w:hAnsi="Arial"/>
          <w:sz w:val="17"/>
          <w:szCs w:val="17"/>
          <w:color w:val="auto"/>
        </w:rPr>
      </w:pPr>
    </w:p>
    <w:p>
      <w:pPr>
        <w:ind w:left="1020" w:right="24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62" w:lineRule="exact"/>
        <w:rPr>
          <w:rFonts w:ascii="Arial" w:cs="Arial" w:eastAsia="Arial" w:hAnsi="Arial"/>
          <w:sz w:val="18"/>
          <w:szCs w:val="18"/>
          <w:color w:val="auto"/>
        </w:rPr>
      </w:pPr>
    </w:p>
    <w:p>
      <w:pPr>
        <w:ind w:left="1020" w:right="240" w:hanging="432"/>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78" w:lineRule="exact"/>
        <w:rPr>
          <w:rFonts w:ascii="Arial" w:cs="Arial" w:eastAsia="Arial" w:hAnsi="Arial"/>
          <w:sz w:val="18"/>
          <w:szCs w:val="18"/>
          <w:color w:val="auto"/>
        </w:rPr>
      </w:pPr>
    </w:p>
    <w:p>
      <w:pPr>
        <w:ind w:left="1020" w:hanging="432"/>
        <w:spacing w:after="0" w:line="308"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March 2017, the draft Diagnostic Accuracy and Innovation Act (DAIA) was introduced and outlined a risk-based regulatory approach for in vitro clinical tests (IVCT), i.e., all IVDs regardless of whether they are commercially distributed diagnostic kits or LDTs.</w:t>
      </w:r>
    </w:p>
    <w:p>
      <w:pPr>
        <w:spacing w:after="0" w:line="38" w:lineRule="exact"/>
        <w:rPr>
          <w:rFonts w:ascii="Arial" w:cs="Arial" w:eastAsia="Arial" w:hAnsi="Arial"/>
          <w:sz w:val="17"/>
          <w:szCs w:val="17"/>
          <w:color w:val="auto"/>
        </w:rPr>
      </w:pPr>
    </w:p>
    <w:p>
      <w:pPr>
        <w:ind w:left="1020" w:right="540" w:hanging="43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April 2017, the FDA issued a document describing 20 case studies of LDTs that raised concerns about the safety and efficacy of this category of tests.</w:t>
      </w:r>
    </w:p>
    <w:p>
      <w:pPr>
        <w:spacing w:after="0" w:line="62" w:lineRule="exact"/>
        <w:rPr>
          <w:rFonts w:ascii="Arial" w:cs="Arial" w:eastAsia="Arial" w:hAnsi="Arial"/>
          <w:sz w:val="18"/>
          <w:szCs w:val="18"/>
          <w:color w:val="auto"/>
        </w:rPr>
      </w:pPr>
    </w:p>
    <w:p>
      <w:pPr>
        <w:ind w:left="1020" w:right="400" w:hanging="432"/>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0" w:name="page31"/>
    <w:bookmarkEnd w:id="30"/>
    <w:p>
      <w:pPr>
        <w:ind w:left="1020" w:right="120" w:hanging="432"/>
        <w:spacing w:after="0" w:line="273"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69" w:lineRule="exact"/>
        <w:rPr>
          <w:rFonts w:ascii="Arial" w:cs="Arial" w:eastAsia="Arial" w:hAnsi="Arial"/>
          <w:sz w:val="17"/>
          <w:szCs w:val="17"/>
          <w:color w:val="auto"/>
        </w:rPr>
      </w:pPr>
    </w:p>
    <w:p>
      <w:pPr>
        <w:ind w:left="1020" w:right="180" w:hanging="432"/>
        <w:spacing w:after="0" w:line="25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December 2018, a new draft bill which revised the DAIA and incorporated feedback from the FDA was released. The Verifying Accurate, Leading-edge, IVCT Development (VALID) Act creates a risk-based regulatory framework for IVCT regulation. Under the VALID Act framework, premarket review would be required for certain higher risk tests, while lower risk tests would be subject to a precertification pathway.</w:t>
      </w:r>
    </w:p>
    <w:p>
      <w:pPr>
        <w:spacing w:after="0" w:line="38" w:lineRule="exact"/>
        <w:rPr>
          <w:rFonts w:ascii="Arial" w:cs="Arial" w:eastAsia="Arial" w:hAnsi="Arial"/>
          <w:sz w:val="18"/>
          <w:szCs w:val="18"/>
          <w:color w:val="auto"/>
        </w:rPr>
      </w:pPr>
    </w:p>
    <w:p>
      <w:pPr>
        <w:ind w:left="1020" w:right="40" w:hanging="432"/>
        <w:spacing w:after="0" w:line="279"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63" w:lineRule="exact"/>
        <w:rPr>
          <w:rFonts w:ascii="Arial" w:cs="Arial" w:eastAsia="Arial" w:hAnsi="Arial"/>
          <w:sz w:val="17"/>
          <w:szCs w:val="17"/>
          <w:color w:val="auto"/>
        </w:rPr>
      </w:pPr>
    </w:p>
    <w:p>
      <w:pPr>
        <w:ind w:left="1020" w:right="320" w:hanging="43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March 5, 2020, identical versions of the VALID Act were introduced in both chambers of Congress. The same day, the House bill was referred to the House Committee on Energy and Commerce.</w:t>
      </w:r>
    </w:p>
    <w:p>
      <w:pPr>
        <w:spacing w:after="0" w:line="62" w:lineRule="exact"/>
        <w:rPr>
          <w:rFonts w:ascii="Arial" w:cs="Arial" w:eastAsia="Arial" w:hAnsi="Arial"/>
          <w:sz w:val="18"/>
          <w:szCs w:val="18"/>
          <w:color w:val="auto"/>
        </w:rPr>
      </w:pPr>
    </w:p>
    <w:p>
      <w:pPr>
        <w:ind w:left="1020" w:right="220" w:hanging="43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19, 2020, HHS announced a new policy determining that FDA must engage in notice-and-comment rulemaking before requiring premarket review of LDTs.</w:t>
      </w:r>
    </w:p>
    <w:p>
      <w:pPr>
        <w:spacing w:after="0" w:line="62" w:lineRule="exact"/>
        <w:rPr>
          <w:rFonts w:ascii="Arial" w:cs="Arial" w:eastAsia="Arial" w:hAnsi="Arial"/>
          <w:sz w:val="18"/>
          <w:szCs w:val="18"/>
          <w:color w:val="auto"/>
        </w:rPr>
      </w:pPr>
    </w:p>
    <w:p>
      <w:pPr>
        <w:ind w:left="1020" w:right="20" w:hanging="432"/>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Nov. 16, 2020, HHS directed FDA to review voluntarily submitted EUAs for LDTs; if FDA’s review time exceeds 14 days, the submission would be referred to the National Institute of Health National Cancer Institute and also to other scientific government agencies, or to outside technical contractors if FDA remains unable to conduct the reviews.</w:t>
      </w:r>
    </w:p>
    <w:p>
      <w:pPr>
        <w:spacing w:after="0" w:line="76" w:lineRule="exact"/>
        <w:rPr>
          <w:sz w:val="20"/>
          <w:szCs w:val="20"/>
          <w:color w:val="auto"/>
        </w:rPr>
      </w:pPr>
    </w:p>
    <w:p>
      <w:pPr>
        <w:ind w:right="60" w:firstLine="540"/>
        <w:spacing w:after="0" w:line="255" w:lineRule="auto"/>
        <w:rPr>
          <w:sz w:val="20"/>
          <w:szCs w:val="20"/>
          <w:color w:val="auto"/>
        </w:rPr>
      </w:pPr>
      <w:r>
        <w:rPr>
          <w:rFonts w:ascii="Arial" w:cs="Arial" w:eastAsia="Arial" w:hAnsi="Arial"/>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84" w:lineRule="exact"/>
        <w:rPr>
          <w:sz w:val="20"/>
          <w:szCs w:val="20"/>
          <w:color w:val="auto"/>
        </w:rPr>
      </w:pPr>
    </w:p>
    <w:p>
      <w:pPr>
        <w:ind w:firstLine="540"/>
        <w:spacing w:after="0" w:line="286" w:lineRule="auto"/>
        <w:rPr>
          <w:sz w:val="20"/>
          <w:szCs w:val="20"/>
          <w:color w:val="auto"/>
        </w:rPr>
      </w:pPr>
      <w:r>
        <w:rPr>
          <w:rFonts w:ascii="Arial" w:cs="Arial" w:eastAsia="Arial" w:hAnsi="Arial"/>
          <w:sz w:val="16"/>
          <w:szCs w:val="16"/>
          <w:color w:val="auto"/>
        </w:rPr>
        <w:t>To date, the FDA has not engaged in notice-and-comment rulemaking or released broad-sweeping guidance,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we are monitoring developments and anticipate that our products will be able to comply with requirements that may be imposed by the FDA. In the meantime, we maintain our CLIA accreditation, which permits the use of LDTs for diagnostics purposes.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FDA Emergency Use Authorization</w:t>
      </w:r>
    </w:p>
    <w:p>
      <w:pPr>
        <w:spacing w:after="0" w:line="108" w:lineRule="exact"/>
        <w:rPr>
          <w:sz w:val="20"/>
          <w:szCs w:val="20"/>
          <w:color w:val="auto"/>
        </w:rPr>
      </w:pPr>
    </w:p>
    <w:p>
      <w:pPr>
        <w:jc w:val="both"/>
        <w:ind w:right="440" w:firstLine="539"/>
        <w:spacing w:after="0" w:line="286" w:lineRule="auto"/>
        <w:rPr>
          <w:sz w:val="20"/>
          <w:szCs w:val="20"/>
          <w:color w:val="auto"/>
        </w:rPr>
      </w:pPr>
      <w:r>
        <w:rPr>
          <w:rFonts w:ascii="Arial" w:cs="Arial" w:eastAsia="Arial" w:hAnsi="Arial"/>
          <w:sz w:val="17"/>
          <w:szCs w:val="17"/>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57" w:lineRule="exact"/>
        <w:rPr>
          <w:sz w:val="20"/>
          <w:szCs w:val="20"/>
          <w:color w:val="auto"/>
        </w:rPr>
      </w:pPr>
    </w:p>
    <w:p>
      <w:pPr>
        <w:ind w:right="480" w:firstLine="539"/>
        <w:spacing w:after="0" w:line="263" w:lineRule="auto"/>
        <w:rPr>
          <w:sz w:val="20"/>
          <w:szCs w:val="20"/>
          <w:color w:val="auto"/>
        </w:rPr>
      </w:pPr>
      <w:r>
        <w:rPr>
          <w:rFonts w:ascii="Arial" w:cs="Arial" w:eastAsia="Arial" w:hAnsi="Arial"/>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76" w:lineRule="exact"/>
        <w:rPr>
          <w:sz w:val="20"/>
          <w:szCs w:val="20"/>
          <w:color w:val="auto"/>
        </w:rPr>
      </w:pPr>
    </w:p>
    <w:p>
      <w:pPr>
        <w:ind w:right="540" w:firstLine="539"/>
        <w:spacing w:after="0" w:line="277" w:lineRule="auto"/>
        <w:rPr>
          <w:sz w:val="20"/>
          <w:szCs w:val="20"/>
          <w:color w:val="auto"/>
        </w:rPr>
      </w:pPr>
      <w:r>
        <w:rPr>
          <w:rFonts w:ascii="Arial" w:cs="Arial" w:eastAsia="Arial" w:hAnsi="Arial"/>
          <w:sz w:val="18"/>
          <w:szCs w:val="18"/>
          <w:color w:val="auto"/>
        </w:rPr>
        <w:t>While this emergency declaration is effective, the FDA may authorize the use of an unapproved product or an unapproved use of an approved product if it concludes that:</w:t>
      </w:r>
    </w:p>
    <w:p>
      <w:pPr>
        <w:spacing w:after="0" w:line="170" w:lineRule="exact"/>
        <w:rPr>
          <w:sz w:val="20"/>
          <w:szCs w:val="20"/>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agent referred to in the emergency declaration could cause a serious or life-threatening disease or condition;</w:t>
      </w:r>
    </w:p>
    <w:p>
      <w:pPr>
        <w:spacing w:after="0" w:line="117" w:lineRule="exact"/>
        <w:rPr>
          <w:rFonts w:ascii="Arial" w:cs="Arial" w:eastAsia="Arial" w:hAnsi="Arial"/>
          <w:sz w:val="18"/>
          <w:szCs w:val="18"/>
          <w:color w:val="auto"/>
        </w:rPr>
      </w:pPr>
    </w:p>
    <w:p>
      <w:pPr>
        <w:ind w:left="1020" w:right="380" w:hanging="432"/>
        <w:spacing w:after="0" w:line="342"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15" w:lineRule="exact"/>
        <w:rPr>
          <w:rFonts w:ascii="Arial" w:cs="Arial" w:eastAsia="Arial" w:hAnsi="Arial"/>
          <w:sz w:val="16"/>
          <w:szCs w:val="16"/>
          <w:color w:val="auto"/>
        </w:rPr>
      </w:pPr>
    </w:p>
    <w:p>
      <w:pPr>
        <w:ind w:left="1020" w:right="44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62"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adequate, approved, and available alternative to the authorized product for diagnosing, preventing, or treating the relevant disease or condition;</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any other criteria prescribed by the FDA is satisfied. </w:t>
      </w:r>
      <w:r>
        <w:rPr>
          <w:rFonts w:ascii="Arial" w:cs="Arial" w:eastAsia="Arial" w:hAnsi="Arial"/>
          <w:sz w:val="18"/>
          <w:szCs w:val="18"/>
          <w:i w:val="1"/>
          <w:iCs w:val="1"/>
          <w:color w:val="auto"/>
        </w:rPr>
        <w:t>Id.</w:t>
      </w:r>
      <w:r>
        <w:rPr>
          <w:rFonts w:ascii="Arial" w:cs="Arial" w:eastAsia="Arial" w:hAnsi="Arial"/>
          <w:sz w:val="18"/>
          <w:szCs w:val="18"/>
          <w:color w:val="auto"/>
        </w:rPr>
        <w:t xml:space="preserve"> § 360bbb-3(c).</w:t>
      </w:r>
    </w:p>
    <w:p>
      <w:pPr>
        <w:spacing w:after="0" w:line="333" w:lineRule="exact"/>
        <w:rPr>
          <w:sz w:val="20"/>
          <w:szCs w:val="20"/>
          <w:color w:val="auto"/>
        </w:rPr>
      </w:pPr>
    </w:p>
    <w:p>
      <w:pPr>
        <w:ind w:right="60" w:firstLine="539"/>
        <w:spacing w:after="0" w:line="259"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79" w:lineRule="exact"/>
        <w:rPr>
          <w:sz w:val="20"/>
          <w:szCs w:val="20"/>
          <w:color w:val="auto"/>
        </w:rPr>
      </w:pPr>
    </w:p>
    <w:p>
      <w:pPr>
        <w:ind w:firstLine="539"/>
        <w:spacing w:after="0" w:line="269" w:lineRule="auto"/>
        <w:rPr>
          <w:sz w:val="20"/>
          <w:szCs w:val="20"/>
          <w:color w:val="auto"/>
        </w:rPr>
      </w:pPr>
      <w:r>
        <w:rPr>
          <w:rFonts w:ascii="Arial" w:cs="Arial" w:eastAsia="Arial" w:hAnsi="Arial"/>
          <w:sz w:val="17"/>
          <w:szCs w:val="17"/>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Laboratory Licensing Requirements</w:t>
      </w:r>
    </w:p>
    <w:p>
      <w:pPr>
        <w:spacing w:after="0" w:line="94" w:lineRule="exact"/>
        <w:rPr>
          <w:sz w:val="20"/>
          <w:szCs w:val="20"/>
          <w:color w:val="auto"/>
        </w:rPr>
      </w:pPr>
    </w:p>
    <w:p>
      <w:pPr>
        <w:ind w:right="40" w:firstLine="539"/>
        <w:spacing w:after="0" w:line="255" w:lineRule="auto"/>
        <w:rPr>
          <w:sz w:val="20"/>
          <w:szCs w:val="20"/>
          <w:color w:val="auto"/>
        </w:rPr>
      </w:pPr>
      <w:r>
        <w:rPr>
          <w:rFonts w:ascii="Arial" w:cs="Arial" w:eastAsia="Arial" w:hAnsi="Arial"/>
          <w:sz w:val="18"/>
          <w:szCs w:val="18"/>
          <w:color w:val="auto"/>
        </w:rPr>
        <w:t>The Biodesix Boulder, Colorado clinical laboratory is a College of American Pathology (CAP)-accredited clinical laboratory regulated by CMS pursuant to CLIA. CMS has granted CAP deeming authority under CLIA, which allows CAP to inspect laboratories in lieu of CMS. In addition to holding a CLIA Certificate and CAP laboratory accreditation, Biodesix’s Quality Management System (QMS) holds an ISO 13485:2016 certificate. The Biodesix Boulder, Colorado clinical laboratory has received approval from The New York State Department of Health (NYSDOH), New York State Clinical Laboratory Evaluation Program (NYS CLEP) in Soluble Tumor Markers and Molecular, Cellular Tumor Markers as well as holding state permits and licenses in California, Maryland, New York, Pennsylvania, and Rhode Island.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2" w:name="page33"/>
    <w:bookmarkEnd w:id="32"/>
    <w:p>
      <w:pPr>
        <w:ind w:right="40" w:firstLine="539"/>
        <w:spacing w:after="0" w:line="279" w:lineRule="auto"/>
        <w:rPr>
          <w:sz w:val="20"/>
          <w:szCs w:val="20"/>
          <w:color w:val="auto"/>
        </w:rPr>
      </w:pPr>
      <w:r>
        <w:rPr>
          <w:rFonts w:ascii="Arial" w:cs="Arial" w:eastAsia="Arial" w:hAnsi="Arial"/>
          <w:sz w:val="17"/>
          <w:szCs w:val="17"/>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 certification under CLIA certificate of accreditation by CAP. The Boulder, Colorado clinical laboratory most recently passed its CAP inspection in February 2019.</w:t>
      </w:r>
    </w:p>
    <w:p>
      <w:pPr>
        <w:spacing w:after="0" w:line="63" w:lineRule="exact"/>
        <w:rPr>
          <w:sz w:val="20"/>
          <w:szCs w:val="20"/>
          <w:color w:val="auto"/>
        </w:rPr>
      </w:pPr>
    </w:p>
    <w:p>
      <w:pPr>
        <w:ind w:right="440" w:firstLine="539"/>
        <w:spacing w:after="0" w:line="257" w:lineRule="auto"/>
        <w:rPr>
          <w:sz w:val="20"/>
          <w:szCs w:val="20"/>
          <w:color w:val="auto"/>
        </w:rPr>
      </w:pPr>
      <w:r>
        <w:rPr>
          <w:rFonts w:ascii="Arial" w:cs="Arial" w:eastAsia="Arial" w:hAnsi="Arial"/>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80" w:lineRule="exact"/>
        <w:rPr>
          <w:sz w:val="20"/>
          <w:szCs w:val="20"/>
          <w:color w:val="auto"/>
        </w:rPr>
      </w:pPr>
    </w:p>
    <w:p>
      <w:pPr>
        <w:ind w:right="260" w:firstLine="539"/>
        <w:spacing w:after="0" w:line="255" w:lineRule="auto"/>
        <w:rPr>
          <w:sz w:val="20"/>
          <w:szCs w:val="20"/>
          <w:color w:val="auto"/>
        </w:rPr>
      </w:pPr>
      <w:r>
        <w:rPr>
          <w:rFonts w:ascii="Arial" w:cs="Arial" w:eastAsia="Arial" w:hAnsi="Arial"/>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84" w:lineRule="exact"/>
        <w:rPr>
          <w:sz w:val="20"/>
          <w:szCs w:val="20"/>
          <w:color w:val="auto"/>
        </w:rPr>
      </w:pPr>
    </w:p>
    <w:p>
      <w:pPr>
        <w:ind w:right="140" w:firstLine="539"/>
        <w:spacing w:after="0" w:line="273" w:lineRule="auto"/>
        <w:rPr>
          <w:sz w:val="20"/>
          <w:szCs w:val="20"/>
          <w:color w:val="auto"/>
        </w:rPr>
      </w:pPr>
      <w:r>
        <w:rPr>
          <w:rFonts w:ascii="Arial" w:cs="Arial" w:eastAsia="Arial" w:hAnsi="Arial"/>
          <w:sz w:val="17"/>
          <w:szCs w:val="17"/>
          <w:color w:val="auto"/>
        </w:rPr>
        <w:t>The International Organization for Standardization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has proposed a rule to harmonize and modernize its QSR, which would supplant the existing requirements with ISO 13485:2016 although this rule has been delayed several times spring 2018. In February 2021, we passed an ISO 13485:2016 inspection.</w:t>
      </w:r>
    </w:p>
    <w:p>
      <w:pPr>
        <w:spacing w:after="0" w:line="70" w:lineRule="exact"/>
        <w:rPr>
          <w:sz w:val="20"/>
          <w:szCs w:val="20"/>
          <w:color w:val="auto"/>
        </w:rPr>
      </w:pPr>
    </w:p>
    <w:p>
      <w:pPr>
        <w:ind w:right="180" w:firstLine="539"/>
        <w:spacing w:after="0" w:line="293"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56" w:lineRule="exact"/>
        <w:rPr>
          <w:sz w:val="20"/>
          <w:szCs w:val="20"/>
          <w:color w:val="auto"/>
        </w:rPr>
      </w:pPr>
    </w:p>
    <w:p>
      <w:pPr>
        <w:ind w:right="220" w:firstLine="539"/>
        <w:spacing w:after="0" w:line="301"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49" w:lineRule="exact"/>
        <w:rPr>
          <w:sz w:val="20"/>
          <w:szCs w:val="20"/>
          <w:color w:val="auto"/>
        </w:rPr>
      </w:pPr>
    </w:p>
    <w:p>
      <w:pPr>
        <w:ind w:firstLine="539"/>
        <w:spacing w:after="0" w:line="273" w:lineRule="auto"/>
        <w:rPr>
          <w:sz w:val="20"/>
          <w:szCs w:val="20"/>
          <w:color w:val="auto"/>
        </w:rPr>
      </w:pPr>
      <w:r>
        <w:rPr>
          <w:rFonts w:ascii="Arial" w:cs="Arial" w:eastAsia="Arial" w:hAnsi="Arial"/>
          <w:sz w:val="17"/>
          <w:szCs w:val="17"/>
          <w:color w:val="auto"/>
        </w:rPr>
        <w:t>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the New York State Dept. of Health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ind w:firstLine="539"/>
        <w:spacing w:after="0" w:line="311" w:lineRule="auto"/>
        <w:rPr>
          <w:sz w:val="20"/>
          <w:szCs w:val="20"/>
          <w:color w:val="auto"/>
        </w:rPr>
      </w:pPr>
      <w:r>
        <w:rPr>
          <w:rFonts w:ascii="Arial" w:cs="Arial" w:eastAsia="Arial" w:hAnsi="Arial"/>
          <w:sz w:val="16"/>
          <w:szCs w:val="16"/>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41" w:lineRule="exact"/>
        <w:rPr>
          <w:sz w:val="20"/>
          <w:szCs w:val="20"/>
          <w:color w:val="auto"/>
        </w:rPr>
      </w:pPr>
    </w:p>
    <w:p>
      <w:pPr>
        <w:ind w:right="60" w:firstLine="539"/>
        <w:spacing w:after="0" w:line="308" w:lineRule="auto"/>
        <w:rPr>
          <w:sz w:val="20"/>
          <w:szCs w:val="20"/>
          <w:color w:val="auto"/>
        </w:rPr>
      </w:pPr>
      <w:r>
        <w:rPr>
          <w:rFonts w:ascii="Arial" w:cs="Arial" w:eastAsia="Arial" w:hAnsi="Arial"/>
          <w:sz w:val="17"/>
          <w:szCs w:val="17"/>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38" w:lineRule="exact"/>
        <w:rPr>
          <w:sz w:val="20"/>
          <w:szCs w:val="20"/>
          <w:color w:val="auto"/>
        </w:rPr>
      </w:pPr>
    </w:p>
    <w:p>
      <w:pPr>
        <w:ind w:right="60" w:firstLine="539"/>
        <w:spacing w:after="0" w:line="291" w:lineRule="auto"/>
        <w:rPr>
          <w:sz w:val="20"/>
          <w:szCs w:val="20"/>
          <w:color w:val="auto"/>
        </w:rPr>
      </w:pPr>
      <w:r>
        <w:rPr>
          <w:rFonts w:ascii="Arial" w:cs="Arial" w:eastAsia="Arial" w:hAnsi="Arial"/>
          <w:sz w:val="16"/>
          <w:szCs w:val="16"/>
          <w:color w:val="auto"/>
        </w:rPr>
        <w:t>Our Boulder, Colorado and De Soto, Kansas laboratories are certified and adhere to the New York State Clinical Laboratory Evaluation Program (NYS CLEP), based on New York State Public Health Law, Article 5 Title 5. New York State Clinical Laboratory Evaluation Program is exempt from CLIA and establishes their own 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Our GeneStrat and VeriStrat tests have received New York State Clinical Laboratory Evaluation Program approval. New York State Clinical Laboratory Evaluation Program requires semi- annual inspections to ensure the laboratory meets all general and specialty standards. Biodesix passed New York State Clinical Laboratory Evaluation Program inspection in May 2019 and is currently scheduled for a routine re-inspection in May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for medical devices in the United States</w:t>
      </w:r>
    </w:p>
    <w:p>
      <w:pPr>
        <w:spacing w:after="0" w:line="108" w:lineRule="exact"/>
        <w:rPr>
          <w:sz w:val="20"/>
          <w:szCs w:val="20"/>
          <w:color w:val="auto"/>
        </w:rPr>
      </w:pPr>
    </w:p>
    <w:p>
      <w:pPr>
        <w:ind w:right="160" w:firstLine="539"/>
        <w:spacing w:after="0" w:line="257" w:lineRule="auto"/>
        <w:rPr>
          <w:sz w:val="20"/>
          <w:szCs w:val="20"/>
          <w:color w:val="auto"/>
        </w:rPr>
      </w:pPr>
      <w:r>
        <w:rPr>
          <w:rFonts w:ascii="Arial" w:cs="Arial" w:eastAsia="Arial" w:hAnsi="Arial"/>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80" w:lineRule="exact"/>
        <w:rPr>
          <w:sz w:val="20"/>
          <w:szCs w:val="20"/>
          <w:color w:val="auto"/>
        </w:rPr>
      </w:pPr>
    </w:p>
    <w:p>
      <w:pPr>
        <w:ind w:right="1740" w:firstLine="539"/>
        <w:spacing w:after="0" w:line="308" w:lineRule="auto"/>
        <w:rPr>
          <w:sz w:val="20"/>
          <w:szCs w:val="20"/>
          <w:color w:val="auto"/>
        </w:rPr>
      </w:pPr>
      <w:r>
        <w:rPr>
          <w:rFonts w:ascii="Arial" w:cs="Arial" w:eastAsia="Arial" w:hAnsi="Arial"/>
          <w:sz w:val="17"/>
          <w:szCs w:val="17"/>
          <w:color w:val="auto"/>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146" w:lineRule="exact"/>
        <w:rPr>
          <w:sz w:val="20"/>
          <w:szCs w:val="20"/>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17"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Market access, sales and marketing of medical devices in non-U.S. countries are subject to foreign regulatory requirements that vary widely from country to country. For example, in the European Economic</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Area (EEA), a medical device must meet the Medical Devices Directive’s (MDD)/In Vitro Medical Devices Directive’s (IVDD) Essential Requirements or, applicable on May 26, 2021, the Medical Devices Regulation’s (MDR) / applicable on May 26, 2022, In Vitro Medical Devices Regulation’s (IVDR) General Safety and Performance Requirements which apply to it, taking into account its intended purpose as defined by the data supplied by the manufacturer on the label, in the instructions for use or in promotional or sales materials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4" w:name="page35"/>
    <w:bookmarkEnd w:id="34"/>
    <w:p>
      <w:pPr>
        <w:ind w:right="20"/>
        <w:spacing w:after="0" w:line="254" w:lineRule="auto"/>
        <w:rPr>
          <w:sz w:val="20"/>
          <w:szCs w:val="20"/>
          <w:color w:val="auto"/>
        </w:rPr>
      </w:pPr>
      <w:r>
        <w:rPr>
          <w:rFonts w:ascii="Arial" w:cs="Arial" w:eastAsia="Arial" w:hAnsi="Arial"/>
          <w:sz w:val="18"/>
          <w:szCs w:val="18"/>
          <w:color w:val="auto"/>
        </w:rPr>
        <w:t>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87" w:lineRule="exact"/>
        <w:rPr>
          <w:sz w:val="20"/>
          <w:szCs w:val="20"/>
          <w:color w:val="auto"/>
        </w:rPr>
      </w:pPr>
    </w:p>
    <w:p>
      <w:pPr>
        <w:ind w:right="40" w:firstLine="540"/>
        <w:spacing w:after="0" w:line="254" w:lineRule="auto"/>
        <w:rPr>
          <w:sz w:val="20"/>
          <w:szCs w:val="20"/>
          <w:color w:val="auto"/>
        </w:rPr>
      </w:pPr>
      <w:r>
        <w:rPr>
          <w:rFonts w:ascii="Arial" w:cs="Arial" w:eastAsia="Arial" w:hAnsi="Arial"/>
          <w:sz w:val="18"/>
          <w:szCs w:val="18"/>
          <w:color w:val="auto"/>
        </w:rPr>
        <w:t>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inter alia, of analyzed clinical data collected from a clinical investigation of the device, or the results of other studies on substantially equivalent devices. Reliance on “substantially equivalent” devices is very restrictive and requires, inter alia,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84"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Similar requirements apply in the UK. For access to the UK market, manufacturers must obtain a UKCA Certificate and affix a UKCA mark to their medical devices. However, the CE mark will be accepted in the UK until July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 classification</w:t>
      </w:r>
    </w:p>
    <w:p>
      <w:pPr>
        <w:spacing w:after="0" w:line="108" w:lineRule="exact"/>
        <w:rPr>
          <w:sz w:val="20"/>
          <w:szCs w:val="20"/>
          <w:color w:val="auto"/>
        </w:rPr>
      </w:pPr>
    </w:p>
    <w:p>
      <w:pPr>
        <w:ind w:right="60" w:firstLine="539"/>
        <w:spacing w:after="0" w:line="263" w:lineRule="auto"/>
        <w:rPr>
          <w:sz w:val="20"/>
          <w:szCs w:val="20"/>
          <w:color w:val="auto"/>
        </w:rPr>
      </w:pPr>
      <w:r>
        <w:rPr>
          <w:rFonts w:ascii="Arial" w:cs="Arial" w:eastAsia="Arial" w:hAnsi="Arial"/>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76" w:lineRule="exact"/>
        <w:rPr>
          <w:sz w:val="20"/>
          <w:szCs w:val="20"/>
          <w:color w:val="auto"/>
        </w:rPr>
      </w:pPr>
    </w:p>
    <w:p>
      <w:pPr>
        <w:ind w:right="120" w:firstLine="535"/>
        <w:spacing w:after="0" w:line="275" w:lineRule="auto"/>
        <w:rPr>
          <w:sz w:val="20"/>
          <w:szCs w:val="20"/>
          <w:color w:val="auto"/>
        </w:rPr>
      </w:pPr>
      <w:r>
        <w:rPr>
          <w:rFonts w:ascii="Arial" w:cs="Arial" w:eastAsia="Arial" w:hAnsi="Arial"/>
          <w:sz w:val="17"/>
          <w:szCs w:val="17"/>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68" w:lineRule="exact"/>
        <w:rPr>
          <w:sz w:val="20"/>
          <w:szCs w:val="20"/>
          <w:color w:val="auto"/>
        </w:rPr>
      </w:pPr>
    </w:p>
    <w:p>
      <w:pPr>
        <w:ind w:right="340" w:firstLine="539"/>
        <w:spacing w:after="0" w:line="301" w:lineRule="auto"/>
        <w:rPr>
          <w:sz w:val="20"/>
          <w:szCs w:val="20"/>
          <w:color w:val="auto"/>
        </w:rPr>
      </w:pPr>
      <w:r>
        <w:rPr>
          <w:rFonts w:ascii="Arial" w:cs="Arial" w:eastAsia="Arial" w:hAnsi="Arial"/>
          <w:sz w:val="16"/>
          <w:szCs w:val="16"/>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49" w:lineRule="exact"/>
        <w:rPr>
          <w:sz w:val="20"/>
          <w:szCs w:val="20"/>
          <w:color w:val="auto"/>
        </w:rPr>
      </w:pPr>
    </w:p>
    <w:p>
      <w:pPr>
        <w:ind w:right="420" w:firstLine="539"/>
        <w:spacing w:after="0" w:line="263"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Premarket submission process</w:t>
      </w:r>
    </w:p>
    <w:p>
      <w:pPr>
        <w:spacing w:after="0" w:line="94" w:lineRule="exact"/>
        <w:rPr>
          <w:sz w:val="20"/>
          <w:szCs w:val="20"/>
          <w:color w:val="auto"/>
        </w:rPr>
      </w:pPr>
    </w:p>
    <w:p>
      <w:pPr>
        <w:ind w:right="180" w:firstLine="539"/>
        <w:spacing w:after="0" w:line="279" w:lineRule="auto"/>
        <w:rPr>
          <w:sz w:val="20"/>
          <w:szCs w:val="20"/>
          <w:color w:val="auto"/>
        </w:rPr>
      </w:pPr>
      <w:r>
        <w:rPr>
          <w:rFonts w:ascii="Arial" w:cs="Arial" w:eastAsia="Arial" w:hAnsi="Arial"/>
          <w:sz w:val="17"/>
          <w:szCs w:val="17"/>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40" w:firstLine="539"/>
        <w:spacing w:after="0" w:line="289" w:lineRule="auto"/>
        <w:rPr>
          <w:sz w:val="20"/>
          <w:szCs w:val="20"/>
          <w:color w:val="auto"/>
        </w:rPr>
      </w:pPr>
      <w:r>
        <w:rPr>
          <w:rFonts w:ascii="Arial" w:cs="Arial" w:eastAsia="Arial" w:hAnsi="Arial"/>
          <w:sz w:val="16"/>
          <w:szCs w:val="16"/>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58" w:lineRule="exact"/>
        <w:rPr>
          <w:sz w:val="20"/>
          <w:szCs w:val="20"/>
          <w:color w:val="auto"/>
        </w:rPr>
      </w:pPr>
    </w:p>
    <w:p>
      <w:pPr>
        <w:ind w:right="100" w:firstLine="539"/>
        <w:spacing w:after="0" w:line="254" w:lineRule="auto"/>
        <w:rPr>
          <w:sz w:val="20"/>
          <w:szCs w:val="20"/>
          <w:color w:val="auto"/>
        </w:rPr>
      </w:pPr>
      <w:r>
        <w:rPr>
          <w:rFonts w:ascii="Arial" w:cs="Arial" w:eastAsia="Arial" w:hAnsi="Arial"/>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87" w:lineRule="exact"/>
        <w:rPr>
          <w:sz w:val="20"/>
          <w:szCs w:val="20"/>
          <w:color w:val="auto"/>
        </w:rPr>
      </w:pPr>
    </w:p>
    <w:p>
      <w:pPr>
        <w:ind w:right="20" w:firstLine="539"/>
        <w:spacing w:after="0" w:line="275" w:lineRule="auto"/>
        <w:rPr>
          <w:sz w:val="20"/>
          <w:szCs w:val="20"/>
          <w:color w:val="auto"/>
        </w:rPr>
      </w:pPr>
      <w:r>
        <w:rPr>
          <w:rFonts w:ascii="Arial" w:cs="Arial" w:eastAsia="Arial" w:hAnsi="Arial"/>
          <w:sz w:val="17"/>
          <w:szCs w:val="17"/>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68" w:lineRule="exact"/>
        <w:rPr>
          <w:sz w:val="20"/>
          <w:szCs w:val="20"/>
          <w:color w:val="auto"/>
        </w:rPr>
      </w:pPr>
    </w:p>
    <w:p>
      <w:pPr>
        <w:ind w:firstLine="539"/>
        <w:spacing w:after="0" w:line="311" w:lineRule="auto"/>
        <w:rPr>
          <w:sz w:val="20"/>
          <w:szCs w:val="20"/>
          <w:color w:val="auto"/>
        </w:rPr>
      </w:pPr>
      <w:r>
        <w:rPr>
          <w:rFonts w:ascii="Arial" w:cs="Arial" w:eastAsia="Arial" w:hAnsi="Arial"/>
          <w:sz w:val="16"/>
          <w:szCs w:val="16"/>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41" w:lineRule="exact"/>
        <w:rPr>
          <w:sz w:val="20"/>
          <w:szCs w:val="20"/>
          <w:color w:val="auto"/>
        </w:rPr>
      </w:pPr>
    </w:p>
    <w:p>
      <w:pPr>
        <w:ind w:right="60" w:firstLine="539"/>
        <w:spacing w:after="0" w:line="257" w:lineRule="auto"/>
        <w:rPr>
          <w:sz w:val="20"/>
          <w:szCs w:val="20"/>
          <w:color w:val="auto"/>
        </w:rPr>
      </w:pPr>
      <w:r>
        <w:rPr>
          <w:rFonts w:ascii="Arial" w:cs="Arial" w:eastAsia="Arial" w:hAnsi="Arial"/>
          <w:sz w:val="18"/>
          <w:szCs w:val="18"/>
          <w:color w:val="auto"/>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80" w:lineRule="exact"/>
        <w:rPr>
          <w:sz w:val="20"/>
          <w:szCs w:val="20"/>
          <w:color w:val="auto"/>
        </w:rPr>
      </w:pPr>
    </w:p>
    <w:p>
      <w:pPr>
        <w:ind w:right="60" w:firstLine="539"/>
        <w:spacing w:after="0" w:line="289"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6" w:name="page37"/>
    <w:bookmarkEnd w:id="36"/>
    <w:p>
      <w:pPr>
        <w:ind w:right="40" w:firstLine="535"/>
        <w:spacing w:after="0" w:line="257" w:lineRule="auto"/>
        <w:rPr>
          <w:sz w:val="20"/>
          <w:szCs w:val="20"/>
          <w:color w:val="auto"/>
        </w:rPr>
      </w:pPr>
      <w:r>
        <w:rPr>
          <w:rFonts w:ascii="Arial" w:cs="Arial" w:eastAsia="Arial" w:hAnsi="Arial"/>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66" w:lineRule="exact"/>
        <w:rPr>
          <w:sz w:val="20"/>
          <w:szCs w:val="20"/>
          <w:color w:val="auto"/>
        </w:rPr>
      </w:pPr>
    </w:p>
    <w:p>
      <w:pPr>
        <w:ind w:firstLine="539"/>
        <w:spacing w:after="0" w:line="293" w:lineRule="auto"/>
        <w:rPr>
          <w:sz w:val="20"/>
          <w:szCs w:val="20"/>
          <w:color w:val="auto"/>
        </w:rPr>
      </w:pPr>
      <w:r>
        <w:rPr>
          <w:rFonts w:ascii="Arial" w:cs="Arial" w:eastAsia="Arial" w:hAnsi="Arial"/>
          <w:sz w:val="16"/>
          <w:szCs w:val="16"/>
          <w:color w:val="auto"/>
        </w:rPr>
        <w:t>Alternatively, the FDA also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56" w:lineRule="exact"/>
        <w:rPr>
          <w:sz w:val="20"/>
          <w:szCs w:val="20"/>
          <w:color w:val="auto"/>
        </w:rPr>
      </w:pPr>
    </w:p>
    <w:p>
      <w:pPr>
        <w:ind w:right="40" w:firstLine="539"/>
        <w:spacing w:after="0" w:line="273" w:lineRule="auto"/>
        <w:rPr>
          <w:sz w:val="20"/>
          <w:szCs w:val="20"/>
          <w:color w:val="auto"/>
        </w:rPr>
      </w:pPr>
      <w:r>
        <w:rPr>
          <w:rFonts w:ascii="Arial" w:cs="Arial" w:eastAsia="Arial" w:hAnsi="Arial"/>
          <w:sz w:val="17"/>
          <w:szCs w:val="17"/>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 Diagnostics and the Premarket Process</w:t>
      </w:r>
    </w:p>
    <w:p>
      <w:pPr>
        <w:spacing w:after="0" w:line="94" w:lineRule="exact"/>
        <w:rPr>
          <w:sz w:val="20"/>
          <w:szCs w:val="20"/>
          <w:color w:val="auto"/>
        </w:rPr>
      </w:pPr>
    </w:p>
    <w:p>
      <w:pPr>
        <w:ind w:firstLine="539"/>
        <w:spacing w:after="0" w:line="254" w:lineRule="auto"/>
        <w:rPr>
          <w:sz w:val="20"/>
          <w:szCs w:val="20"/>
          <w:color w:val="auto"/>
        </w:rPr>
      </w:pPr>
      <w:r>
        <w:rPr>
          <w:rFonts w:ascii="Arial" w:cs="Arial" w:eastAsia="Arial" w:hAnsi="Arial"/>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87" w:lineRule="exact"/>
        <w:rPr>
          <w:sz w:val="20"/>
          <w:szCs w:val="20"/>
          <w:color w:val="auto"/>
        </w:rPr>
      </w:pPr>
    </w:p>
    <w:p>
      <w:pPr>
        <w:ind w:right="80" w:firstLine="539"/>
        <w:spacing w:after="0" w:line="289" w:lineRule="auto"/>
        <w:rPr>
          <w:sz w:val="20"/>
          <w:szCs w:val="20"/>
          <w:color w:val="auto"/>
        </w:rPr>
      </w:pPr>
      <w:r>
        <w:rPr>
          <w:rFonts w:ascii="Arial" w:cs="Arial" w:eastAsia="Arial" w:hAnsi="Arial"/>
          <w:sz w:val="16"/>
          <w:szCs w:val="16"/>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Post-Market FDA Regulation</w:t>
      </w:r>
    </w:p>
    <w:p>
      <w:pPr>
        <w:spacing w:after="0" w:line="108" w:lineRule="exact"/>
        <w:rPr>
          <w:sz w:val="20"/>
          <w:szCs w:val="20"/>
          <w:color w:val="auto"/>
        </w:rPr>
      </w:pPr>
    </w:p>
    <w:p>
      <w:pPr>
        <w:ind w:right="40" w:firstLine="539"/>
        <w:spacing w:after="0" w:line="268" w:lineRule="auto"/>
        <w:rPr>
          <w:sz w:val="20"/>
          <w:szCs w:val="20"/>
          <w:color w:val="auto"/>
        </w:rPr>
      </w:pPr>
      <w:r>
        <w:rPr>
          <w:rFonts w:ascii="Arial" w:cs="Arial" w:eastAsia="Arial" w:hAnsi="Arial"/>
          <w:sz w:val="17"/>
          <w:szCs w:val="17"/>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Laws</w:t>
      </w:r>
    </w:p>
    <w:p>
      <w:pPr>
        <w:spacing w:after="0" w:line="94" w:lineRule="exact"/>
        <w:rPr>
          <w:sz w:val="20"/>
          <w:szCs w:val="20"/>
          <w:color w:val="auto"/>
        </w:rPr>
      </w:pPr>
    </w:p>
    <w:p>
      <w:pPr>
        <w:ind w:right="40" w:firstLine="539"/>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76" w:lineRule="exact"/>
        <w:rPr>
          <w:sz w:val="20"/>
          <w:szCs w:val="20"/>
          <w:color w:val="auto"/>
        </w:rPr>
      </w:pPr>
    </w:p>
    <w:p>
      <w:pPr>
        <w:ind w:right="40" w:firstLine="539"/>
        <w:spacing w:after="0" w:line="257" w:lineRule="auto"/>
        <w:rPr>
          <w:sz w:val="20"/>
          <w:szCs w:val="20"/>
          <w:color w:val="auto"/>
        </w:rPr>
      </w:pPr>
      <w:r>
        <w:rPr>
          <w:rFonts w:ascii="Arial" w:cs="Arial" w:eastAsia="Arial" w:hAnsi="Arial"/>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80" w:lineRule="exact"/>
        <w:rPr>
          <w:sz w:val="20"/>
          <w:szCs w:val="20"/>
          <w:color w:val="auto"/>
        </w:rPr>
      </w:pPr>
    </w:p>
    <w:p>
      <w:pPr>
        <w:ind w:firstLine="539"/>
        <w:spacing w:after="0" w:line="301" w:lineRule="auto"/>
        <w:rPr>
          <w:sz w:val="20"/>
          <w:szCs w:val="20"/>
          <w:color w:val="auto"/>
        </w:rPr>
      </w:pPr>
      <w:r>
        <w:rPr>
          <w:rFonts w:ascii="Arial" w:cs="Arial" w:eastAsia="Arial" w:hAnsi="Arial"/>
          <w:sz w:val="16"/>
          <w:szCs w:val="16"/>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49" w:lineRule="exact"/>
        <w:rPr>
          <w:sz w:val="20"/>
          <w:szCs w:val="20"/>
          <w:color w:val="auto"/>
        </w:rPr>
      </w:pPr>
    </w:p>
    <w:p>
      <w:pPr>
        <w:ind w:right="40" w:firstLine="539"/>
        <w:spacing w:after="0" w:line="257" w:lineRule="auto"/>
        <w:rPr>
          <w:sz w:val="20"/>
          <w:szCs w:val="20"/>
          <w:color w:val="auto"/>
        </w:rPr>
      </w:pPr>
      <w:r>
        <w:rPr>
          <w:rFonts w:ascii="Arial" w:cs="Arial" w:eastAsia="Arial" w:hAnsi="Arial"/>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80" w:lineRule="exact"/>
        <w:rPr>
          <w:sz w:val="20"/>
          <w:szCs w:val="20"/>
          <w:color w:val="auto"/>
        </w:rPr>
      </w:pPr>
    </w:p>
    <w:p>
      <w:pPr>
        <w:ind w:firstLine="539"/>
        <w:spacing w:after="0" w:line="272" w:lineRule="auto"/>
        <w:rPr>
          <w:sz w:val="20"/>
          <w:szCs w:val="20"/>
          <w:color w:val="auto"/>
        </w:rPr>
      </w:pPr>
      <w:r>
        <w:rPr>
          <w:rFonts w:ascii="Arial" w:cs="Arial" w:eastAsia="Arial" w:hAnsi="Arial"/>
          <w:sz w:val="17"/>
          <w:szCs w:val="17"/>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ind w:firstLine="539"/>
        <w:spacing w:after="0" w:line="272" w:lineRule="auto"/>
        <w:rPr>
          <w:sz w:val="20"/>
          <w:szCs w:val="20"/>
          <w:color w:val="auto"/>
        </w:rPr>
      </w:pPr>
      <w:r>
        <w:rPr>
          <w:rFonts w:ascii="Arial" w:cs="Arial" w:eastAsia="Arial" w:hAnsi="Arial"/>
          <w:sz w:val="17"/>
          <w:szCs w:val="17"/>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69" w:lineRule="exact"/>
        <w:rPr>
          <w:sz w:val="20"/>
          <w:szCs w:val="20"/>
          <w:color w:val="auto"/>
        </w:rPr>
      </w:pPr>
    </w:p>
    <w:p>
      <w:pPr>
        <w:ind w:right="180" w:firstLine="539"/>
        <w:spacing w:after="0" w:line="259" w:lineRule="auto"/>
        <w:rPr>
          <w:sz w:val="20"/>
          <w:szCs w:val="20"/>
          <w:color w:val="auto"/>
        </w:rPr>
      </w:pPr>
      <w:r>
        <w:rPr>
          <w:rFonts w:ascii="Arial" w:cs="Arial" w:eastAsia="Arial" w:hAnsi="Arial"/>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79" w:lineRule="exact"/>
        <w:rPr>
          <w:sz w:val="20"/>
          <w:szCs w:val="20"/>
          <w:color w:val="auto"/>
        </w:rPr>
      </w:pPr>
    </w:p>
    <w:p>
      <w:pPr>
        <w:ind w:right="200" w:firstLine="539"/>
        <w:spacing w:after="0" w:line="259" w:lineRule="auto"/>
        <w:rPr>
          <w:sz w:val="20"/>
          <w:szCs w:val="20"/>
          <w:color w:val="auto"/>
        </w:rPr>
      </w:pPr>
      <w:r>
        <w:rPr>
          <w:rFonts w:ascii="Arial" w:cs="Arial" w:eastAsia="Arial" w:hAnsi="Arial"/>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79" w:lineRule="exact"/>
        <w:rPr>
          <w:sz w:val="20"/>
          <w:szCs w:val="20"/>
          <w:color w:val="auto"/>
        </w:rPr>
      </w:pPr>
    </w:p>
    <w:p>
      <w:pPr>
        <w:ind w:right="40" w:firstLine="539"/>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w:t>
      </w:r>
    </w:p>
    <w:p>
      <w:pPr>
        <w:spacing w:after="0" w:line="94" w:lineRule="exact"/>
        <w:rPr>
          <w:sz w:val="20"/>
          <w:szCs w:val="20"/>
          <w:color w:val="auto"/>
        </w:rPr>
      </w:pPr>
    </w:p>
    <w:p>
      <w:pPr>
        <w:ind w:right="20" w:firstLine="539"/>
        <w:spacing w:after="0" w:line="288" w:lineRule="auto"/>
        <w:rPr>
          <w:sz w:val="20"/>
          <w:szCs w:val="20"/>
          <w:color w:val="auto"/>
        </w:rPr>
      </w:pPr>
      <w:r>
        <w:rPr>
          <w:rFonts w:ascii="Arial" w:cs="Arial" w:eastAsia="Arial" w:hAnsi="Arial"/>
          <w:sz w:val="16"/>
          <w:szCs w:val="16"/>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108" w:lineRule="exact"/>
        <w:rPr>
          <w:sz w:val="20"/>
          <w:szCs w:val="20"/>
          <w:color w:val="auto"/>
        </w:rPr>
      </w:pPr>
    </w:p>
    <w:p>
      <w:pPr>
        <w:ind w:right="40" w:firstLine="539"/>
        <w:spacing w:after="0" w:line="271" w:lineRule="auto"/>
        <w:rPr>
          <w:sz w:val="20"/>
          <w:szCs w:val="20"/>
          <w:color w:val="auto"/>
        </w:rPr>
      </w:pPr>
      <w:r>
        <w:rPr>
          <w:rFonts w:ascii="Arial" w:cs="Arial" w:eastAsia="Arial" w:hAnsi="Arial"/>
          <w:sz w:val="17"/>
          <w:szCs w:val="17"/>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70" w:lineRule="exact"/>
        <w:rPr>
          <w:sz w:val="20"/>
          <w:szCs w:val="20"/>
          <w:color w:val="auto"/>
        </w:rPr>
      </w:pPr>
    </w:p>
    <w:p>
      <w:pPr>
        <w:ind w:firstLine="539"/>
        <w:spacing w:after="0" w:line="254" w:lineRule="auto"/>
        <w:rPr>
          <w:sz w:val="20"/>
          <w:szCs w:val="20"/>
          <w:color w:val="auto"/>
        </w:rPr>
      </w:pPr>
      <w:r>
        <w:rPr>
          <w:rFonts w:ascii="Arial" w:cs="Arial" w:eastAsia="Arial" w:hAnsi="Arial"/>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87" w:lineRule="exact"/>
        <w:rPr>
          <w:sz w:val="20"/>
          <w:szCs w:val="20"/>
          <w:color w:val="auto"/>
        </w:rPr>
      </w:pPr>
    </w:p>
    <w:p>
      <w:pPr>
        <w:ind w:right="40" w:firstLine="540"/>
        <w:spacing w:after="0" w:line="270" w:lineRule="auto"/>
        <w:rPr>
          <w:sz w:val="20"/>
          <w:szCs w:val="20"/>
          <w:color w:val="auto"/>
        </w:rPr>
      </w:pPr>
      <w:r>
        <w:rPr>
          <w:rFonts w:ascii="Arial" w:cs="Arial" w:eastAsia="Arial" w:hAnsi="Arial"/>
          <w:sz w:val="17"/>
          <w:szCs w:val="17"/>
          <w:color w:val="auto"/>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resulting in improper access to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73" w:lineRule="exact"/>
        <w:rPr>
          <w:sz w:val="20"/>
          <w:szCs w:val="20"/>
          <w:color w:val="auto"/>
        </w:rPr>
      </w:pPr>
    </w:p>
    <w:p>
      <w:pPr>
        <w:ind w:firstLine="540"/>
        <w:spacing w:after="0" w:line="267" w:lineRule="auto"/>
        <w:rPr>
          <w:sz w:val="20"/>
          <w:szCs w:val="20"/>
          <w:color w:val="auto"/>
        </w:rPr>
      </w:pPr>
      <w:r>
        <w:rPr>
          <w:rFonts w:ascii="Arial" w:cs="Arial" w:eastAsia="Arial" w:hAnsi="Arial"/>
          <w:sz w:val="17"/>
          <w:szCs w:val="17"/>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California ballot initiative, the California Privacy Rights Act (CPRA) was adopted by California voters. The CPRA will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right="40" w:firstLine="539"/>
        <w:spacing w:after="0" w:line="257" w:lineRule="auto"/>
        <w:rPr>
          <w:sz w:val="20"/>
          <w:szCs w:val="20"/>
          <w:color w:val="auto"/>
        </w:rPr>
      </w:pPr>
      <w:r>
        <w:rPr>
          <w:rFonts w:ascii="Arial" w:cs="Arial" w:eastAsia="Arial" w:hAnsi="Arial"/>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GDPR. In the United Kingdom, the GDPR will be adopted in substantially the same form.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94" w:lineRule="exact"/>
        <w:rPr>
          <w:sz w:val="20"/>
          <w:szCs w:val="20"/>
          <w:color w:val="auto"/>
        </w:rPr>
      </w:pPr>
    </w:p>
    <w:p>
      <w:pPr>
        <w:ind w:right="40" w:firstLine="539"/>
        <w:spacing w:after="0" w:line="253" w:lineRule="auto"/>
        <w:rPr>
          <w:sz w:val="20"/>
          <w:szCs w:val="20"/>
          <w:color w:val="auto"/>
        </w:rPr>
      </w:pPr>
      <w:r>
        <w:rPr>
          <w:rFonts w:ascii="Arial" w:cs="Arial" w:eastAsia="Arial" w:hAnsi="Arial"/>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84" w:lineRule="exact"/>
        <w:rPr>
          <w:sz w:val="20"/>
          <w:szCs w:val="20"/>
          <w:color w:val="auto"/>
        </w:rPr>
      </w:pPr>
    </w:p>
    <w:p>
      <w:pPr>
        <w:ind w:right="140" w:firstLine="539"/>
        <w:spacing w:after="0" w:line="263" w:lineRule="auto"/>
        <w:rPr>
          <w:sz w:val="20"/>
          <w:szCs w:val="20"/>
          <w:color w:val="auto"/>
        </w:rPr>
      </w:pPr>
      <w:r>
        <w:rPr>
          <w:rFonts w:ascii="Arial" w:cs="Arial" w:eastAsia="Arial" w:hAnsi="Arial"/>
          <w:sz w:val="18"/>
          <w:szCs w:val="18"/>
          <w:color w:val="auto"/>
        </w:rPr>
        <w:t>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International Regulations</w:t>
      </w:r>
    </w:p>
    <w:p>
      <w:pPr>
        <w:spacing w:after="0" w:line="108" w:lineRule="exact"/>
        <w:rPr>
          <w:sz w:val="20"/>
          <w:szCs w:val="20"/>
          <w:color w:val="auto"/>
        </w:rPr>
      </w:pPr>
    </w:p>
    <w:p>
      <w:pPr>
        <w:jc w:val="both"/>
        <w:ind w:right="100" w:firstLine="539"/>
        <w:spacing w:after="0" w:line="259" w:lineRule="auto"/>
        <w:rPr>
          <w:sz w:val="20"/>
          <w:szCs w:val="20"/>
          <w:color w:val="auto"/>
        </w:rPr>
      </w:pPr>
      <w:r>
        <w:rPr>
          <w:rFonts w:ascii="Arial" w:cs="Arial" w:eastAsia="Arial" w:hAnsi="Arial"/>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79" w:lineRule="exact"/>
        <w:rPr>
          <w:sz w:val="20"/>
          <w:szCs w:val="20"/>
          <w:color w:val="auto"/>
        </w:rPr>
      </w:pPr>
    </w:p>
    <w:p>
      <w:pPr>
        <w:ind w:right="20" w:firstLine="539"/>
        <w:spacing w:after="0" w:line="255" w:lineRule="auto"/>
        <w:rPr>
          <w:sz w:val="20"/>
          <w:szCs w:val="20"/>
          <w:color w:val="auto"/>
        </w:rPr>
      </w:pPr>
      <w:r>
        <w:rPr>
          <w:rFonts w:ascii="Arial" w:cs="Arial" w:eastAsia="Arial" w:hAnsi="Arial"/>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84" w:lineRule="exact"/>
        <w:rPr>
          <w:sz w:val="20"/>
          <w:szCs w:val="20"/>
          <w:color w:val="auto"/>
        </w:rPr>
      </w:pPr>
    </w:p>
    <w:p>
      <w:pPr>
        <w:ind w:right="220" w:firstLine="539"/>
        <w:spacing w:after="0" w:line="257" w:lineRule="auto"/>
        <w:rPr>
          <w:sz w:val="20"/>
          <w:szCs w:val="20"/>
          <w:color w:val="auto"/>
        </w:rPr>
      </w:pPr>
      <w:r>
        <w:rPr>
          <w:rFonts w:ascii="Arial" w:cs="Arial" w:eastAsia="Arial" w:hAnsi="Arial"/>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80" w:lineRule="exact"/>
        <w:rPr>
          <w:sz w:val="20"/>
          <w:szCs w:val="20"/>
          <w:color w:val="auto"/>
        </w:rPr>
      </w:pPr>
    </w:p>
    <w:p>
      <w:pPr>
        <w:ind w:right="180" w:firstLine="539"/>
        <w:spacing w:after="0" w:line="257" w:lineRule="auto"/>
        <w:rPr>
          <w:sz w:val="20"/>
          <w:szCs w:val="20"/>
          <w:color w:val="auto"/>
        </w:rPr>
      </w:pPr>
      <w:r>
        <w:rPr>
          <w:rFonts w:ascii="Arial" w:cs="Arial" w:eastAsia="Arial" w:hAnsi="Arial"/>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80" w:lineRule="exact"/>
        <w:rPr>
          <w:sz w:val="20"/>
          <w:szCs w:val="20"/>
          <w:color w:val="auto"/>
        </w:rPr>
      </w:pPr>
    </w:p>
    <w:p>
      <w:pPr>
        <w:ind w:firstLine="539"/>
        <w:spacing w:after="0" w:line="269" w:lineRule="auto"/>
        <w:rPr>
          <w:sz w:val="20"/>
          <w:szCs w:val="20"/>
          <w:color w:val="auto"/>
        </w:rPr>
      </w:pPr>
      <w:r>
        <w:rPr>
          <w:rFonts w:ascii="Arial" w:cs="Arial" w:eastAsia="Arial" w:hAnsi="Arial"/>
          <w:sz w:val="17"/>
          <w:szCs w:val="17"/>
          <w:color w:val="auto"/>
        </w:rPr>
        <w:t>Market access, sales and marketing of medical devices in non-U.S. countries are subject to foreign regulatory requirements that vary widely from country to country. For example, in the European Economic Area (EEA), a medical device must meet MDDs/ IVDD Essential Requirements or, applicable on May 26, 2021, the MDR applicable on May 26, 2022,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182" w:lineRule="exact"/>
        <w:rPr>
          <w:sz w:val="20"/>
          <w:szCs w:val="20"/>
          <w:color w:val="auto"/>
        </w:rPr>
      </w:pPr>
    </w:p>
    <w:p>
      <w:pPr>
        <w:ind w:right="40" w:firstLine="540"/>
        <w:spacing w:after="0" w:line="291" w:lineRule="auto"/>
        <w:rPr>
          <w:sz w:val="20"/>
          <w:szCs w:val="20"/>
          <w:color w:val="auto"/>
        </w:rPr>
      </w:pPr>
      <w:r>
        <w:rPr>
          <w:rFonts w:ascii="Arial" w:cs="Arial" w:eastAsia="Arial" w:hAnsi="Arial"/>
          <w:sz w:val="16"/>
          <w:szCs w:val="16"/>
          <w:color w:val="auto"/>
        </w:rPr>
        <w:t xml:space="preserve">Manufacturers of medical devices must document in a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Arial" w:cs="Arial" w:eastAsia="Arial" w:hAnsi="Arial"/>
          <w:sz w:val="16"/>
          <w:szCs w:val="16"/>
          <w:i w:val="1"/>
          <w:iCs w:val="1"/>
          <w:color w:val="auto"/>
        </w:rPr>
        <w:t>inter alia</w:t>
      </w:r>
      <w:r>
        <w:rPr>
          <w:rFonts w:ascii="Arial" w:cs="Arial" w:eastAsia="Arial" w:hAnsi="Arial"/>
          <w:sz w:val="16"/>
          <w:szCs w:val="16"/>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2" w:name="page43"/>
    <w:bookmarkEnd w:id="42"/>
    <w:p>
      <w:pPr>
        <w:ind w:firstLine="540"/>
        <w:spacing w:after="0" w:line="277" w:lineRule="auto"/>
        <w:rPr>
          <w:sz w:val="20"/>
          <w:szCs w:val="20"/>
          <w:color w:val="auto"/>
        </w:rPr>
      </w:pPr>
      <w:r>
        <w:rPr>
          <w:rFonts w:ascii="Arial" w:cs="Arial" w:eastAsia="Arial" w:hAnsi="Arial"/>
          <w:sz w:val="18"/>
          <w:szCs w:val="18"/>
          <w:color w:val="auto"/>
        </w:rPr>
        <w:t>Similar requirements apply in the UK. For access to the UK market, manufacturers must obtain a UKCA Certificate and affix a UKCA mark to their medical devices. However, the CE mark will be accepted in the UK until July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08" w:lineRule="exact"/>
        <w:rPr>
          <w:sz w:val="20"/>
          <w:szCs w:val="20"/>
          <w:color w:val="auto"/>
        </w:rPr>
      </w:pPr>
    </w:p>
    <w:p>
      <w:pPr>
        <w:ind w:right="120" w:firstLine="539"/>
        <w:spacing w:after="0" w:line="296" w:lineRule="auto"/>
        <w:rPr>
          <w:sz w:val="20"/>
          <w:szCs w:val="20"/>
          <w:color w:val="auto"/>
        </w:rPr>
      </w:pPr>
      <w:r>
        <w:rPr>
          <w:rFonts w:ascii="Arial" w:cs="Arial" w:eastAsia="Arial" w:hAnsi="Arial"/>
          <w:sz w:val="16"/>
          <w:szCs w:val="16"/>
          <w:color w:val="auto"/>
        </w:rPr>
        <w:t>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53" w:lineRule="exact"/>
        <w:rPr>
          <w:sz w:val="20"/>
          <w:szCs w:val="20"/>
          <w:color w:val="auto"/>
        </w:rPr>
      </w:pPr>
    </w:p>
    <w:p>
      <w:pPr>
        <w:ind w:right="20" w:firstLine="539"/>
        <w:spacing w:after="0" w:line="268" w:lineRule="auto"/>
        <w:rPr>
          <w:sz w:val="20"/>
          <w:szCs w:val="20"/>
          <w:color w:val="auto"/>
        </w:rPr>
      </w:pPr>
      <w:r>
        <w:rPr>
          <w:rFonts w:ascii="Arial" w:cs="Arial" w:eastAsia="Arial" w:hAnsi="Arial"/>
          <w:sz w:val="17"/>
          <w:szCs w:val="17"/>
          <w:color w:val="auto"/>
        </w:rPr>
        <w:t>While the Biden administration has recently signaled its intent to pursue policies strengthening the ACA, the Trump administration and Congress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has not passed comprehensive legislation that would repeal all or part of the ACA, two bills affecting the implementation of certain taxes under the ACA have been signed into law.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heard oral argument on November 10, 2020; the case is expected to be decided in 2021.</w:t>
      </w:r>
    </w:p>
    <w:p>
      <w:pPr>
        <w:spacing w:after="0" w:line="72" w:lineRule="exact"/>
        <w:rPr>
          <w:sz w:val="20"/>
          <w:szCs w:val="20"/>
          <w:color w:val="auto"/>
        </w:rPr>
      </w:pPr>
    </w:p>
    <w:p>
      <w:pPr>
        <w:ind w:right="20" w:firstLine="539"/>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sequestrian reductions through FY 2030 to offset the cost of such temporary suspension. The Consolidated Appropriations Act, 2021 further extended the temporary suspension through March 31, 2021.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Additionally, the Biden administration has already indicated a shift in direction from Trump administration policies by issuing orders and other documents rolling back regulations and Executive Orders from the Trump administration, and as noted, indicating that it will pursue policies strengthening the ACA. The recent change in presidential administration could materially impact our business in ways that are difficult to predict.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firstLine="539"/>
        <w:spacing w:after="0" w:line="271" w:lineRule="auto"/>
        <w:rPr>
          <w:sz w:val="20"/>
          <w:szCs w:val="20"/>
          <w:color w:val="auto"/>
        </w:rPr>
      </w:pPr>
      <w:r>
        <w:rPr>
          <w:rFonts w:ascii="Arial" w:cs="Arial" w:eastAsia="Arial" w:hAnsi="Arial"/>
          <w:sz w:val="17"/>
          <w:szCs w:val="17"/>
          <w:color w:val="auto"/>
        </w:rPr>
        <w:t>In December 2020, in its enactment of the Consolidated Appropriations Act, Congress enacted the No Surprises Act. This law, which takes effect January 1, 2022, bars an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HHS to apply this exception to certain advanced tests. Additional information on the applicability of the No Surprises Act, any applicability of the notice and consent exception to advanced tests, and the rules governing the independent dispute resolution process may be determined in rulemaking and subregulatory guidance from HHS, the Department of Labor, and the Department of the Treasury in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right="20" w:firstLine="540"/>
        <w:spacing w:after="0" w:line="254" w:lineRule="auto"/>
        <w:rPr>
          <w:sz w:val="20"/>
          <w:szCs w:val="20"/>
          <w:color w:val="auto"/>
        </w:rPr>
      </w:pPr>
      <w:r>
        <w:rPr>
          <w:rFonts w:ascii="Arial" w:cs="Arial" w:eastAsia="Arial" w:hAnsi="Arial"/>
          <w:sz w:val="18"/>
          <w:szCs w:val="18"/>
          <w:color w:val="auto"/>
        </w:rPr>
        <w:t>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the section 1862(a)(1)(A) of the Social Security Act (SSA). For single-source laboratory tests, this determination is typically made by the Medicare Administrative Contractor (MAC) with jurisdiction over the laboratory where the test is performed. Our Boulder, Colorado laboratory is currently under the jurisdiction of Novitas Solutions, Inc. Our De Soto, Kansas laboratory is under the jurisdiction of Wisconsin Physicians Service Insurance Corporation, which participates in the MolDX program (administered by another MAC, Palmetto GBA) to set coverage policy for molecular diagnostic tests.</w:t>
      </w:r>
    </w:p>
    <w:p>
      <w:pPr>
        <w:spacing w:after="0" w:line="195" w:lineRule="exact"/>
        <w:rPr>
          <w:sz w:val="20"/>
          <w:szCs w:val="20"/>
          <w:color w:val="auto"/>
        </w:rPr>
      </w:pPr>
    </w:p>
    <w:p>
      <w:pPr>
        <w:ind w:right="200" w:firstLine="540"/>
        <w:spacing w:after="0" w:line="259" w:lineRule="auto"/>
        <w:rPr>
          <w:sz w:val="20"/>
          <w:szCs w:val="20"/>
          <w:color w:val="auto"/>
        </w:rPr>
      </w:pPr>
      <w:r>
        <w:rPr>
          <w:rFonts w:ascii="Arial" w:cs="Arial" w:eastAsia="Arial" w:hAnsi="Arial"/>
          <w:sz w:val="18"/>
          <w:szCs w:val="18"/>
          <w:color w:val="auto"/>
        </w:rPr>
        <w:t>Medicare pays for clinical diagnostic laboratory tests (CDLTs), on the Clinical Laboratory Fee Schedule (CLFS). Section 216(a) of the Protecting Access to Medicare Act of 2014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187"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or at the median of rates submitted by the individual MACs based on statutory and regulatory factors.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178"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w:t>
      </w:r>
    </w:p>
    <w:p>
      <w:pPr>
        <w:spacing w:after="0" w:line="94" w:lineRule="exact"/>
        <w:rPr>
          <w:sz w:val="20"/>
          <w:szCs w:val="20"/>
          <w:color w:val="auto"/>
        </w:rPr>
      </w:pPr>
    </w:p>
    <w:p>
      <w:pPr>
        <w:ind w:right="80" w:firstLine="539"/>
        <w:spacing w:after="0" w:line="271" w:lineRule="auto"/>
        <w:rPr>
          <w:sz w:val="20"/>
          <w:szCs w:val="20"/>
          <w:color w:val="auto"/>
        </w:rPr>
      </w:pPr>
      <w:r>
        <w:rPr>
          <w:rFonts w:ascii="Arial" w:cs="Arial" w:eastAsia="Arial" w:hAnsi="Arial"/>
          <w:sz w:val="17"/>
          <w:szCs w:val="17"/>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40"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34"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4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54"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Stock—We are an “emerging growth company” and a “smaller reporting company,” and the reduced disclosure requirements applicable to emerging growth companies and smaller reporting companies may make our common stock less attractive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Our culture is underpinned by our cultural beliefs including an unwavering commitment to inclusion and diversity. We are committed to fostering a diverse and inclusive workplace that attracts and retains exceptional talent offering opportunities for our team members to grow and develop in their careers, supported by strong compensation,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recruitment and our newly introduced Diversity, Equity and Inclusion Council that focus on recognizing outstanding individual contributions to company performance, cultural fit of new team members and acknowledging the diversity or our team to ensure our team members feel valued and can do their best work. We have a national annual community service initiative, “Biodesix Gives Back” that allows each team member to invest ten hours of paid community service to organizations of their choosing.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5" w:name="page46"/>
    <w:bookmarkEnd w:id="45"/>
    <w:p>
      <w:pPr>
        <w:ind w:right="180" w:firstLine="589"/>
        <w:spacing w:after="0" w:line="263" w:lineRule="auto"/>
        <w:rPr>
          <w:sz w:val="20"/>
          <w:szCs w:val="20"/>
          <w:color w:val="auto"/>
        </w:rPr>
      </w:pPr>
      <w:r>
        <w:rPr>
          <w:rFonts w:ascii="Arial" w:cs="Arial" w:eastAsia="Arial" w:hAnsi="Arial"/>
          <w:sz w:val="18"/>
          <w:szCs w:val="18"/>
          <w:color w:val="auto"/>
        </w:rPr>
        <w:t>As of December 31, 2020, we had approximately 200 full-time and part-time employees with more than 95% located in the United States. Of our 200 full-time and part-time team members, the majority of our team member base is located in proximity to our corporate office and testing facilities located in Boulder, Colorado and our laboratory in De Soto, Kansas.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7" w:lineRule="exact"/>
        <w:rPr>
          <w:sz w:val="20"/>
          <w:szCs w:val="20"/>
          <w:color w:val="auto"/>
        </w:rPr>
      </w:pPr>
    </w:p>
    <w:p>
      <w:pPr>
        <w:ind w:right="140" w:firstLine="540"/>
        <w:spacing w:after="0" w:line="263" w:lineRule="auto"/>
        <w:rPr>
          <w:sz w:val="20"/>
          <w:szCs w:val="20"/>
          <w:color w:val="auto"/>
        </w:rPr>
      </w:pPr>
      <w:r>
        <w:rPr>
          <w:rFonts w:ascii="Arial" w:cs="Arial" w:eastAsia="Arial" w:hAnsi="Arial"/>
          <w:sz w:val="18"/>
          <w:szCs w:val="18"/>
          <w:color w:val="auto"/>
        </w:rPr>
        <w:t>We believe that a diverse employee population, including across background, gender, ethnicity, sexual orientation and lived experiences, is critical to our success. Our employees are encouraged to leverage their personal strengths and experiences to continually innovate and contribute to the development of new ideas and process improvements that drive better experiences for our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17" w:lineRule="exact"/>
        <w:rPr>
          <w:sz w:val="20"/>
          <w:szCs w:val="20"/>
          <w:color w:val="auto"/>
        </w:rPr>
      </w:pPr>
    </w:p>
    <w:p>
      <w:pPr>
        <w:ind w:firstLine="540"/>
        <w:spacing w:after="0" w:line="254" w:lineRule="auto"/>
        <w:rPr>
          <w:sz w:val="20"/>
          <w:szCs w:val="20"/>
          <w:color w:val="auto"/>
        </w:rPr>
      </w:pPr>
      <w:r>
        <w:rPr>
          <w:rFonts w:ascii="Arial" w:cs="Arial" w:eastAsia="Arial" w:hAnsi="Arial"/>
          <w:sz w:val="18"/>
          <w:szCs w:val="18"/>
          <w:color w:val="auto"/>
        </w:rPr>
        <w:t>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engagement and retention. We are reviewing feedback we received on our current cultural beliefs to determine if any modifications are needed. Additionally, the Company celebrates our top sales performers through the President’s Club and other top company performers as nominated by fellow team members through our four (4) Performance Excellence Awards that recognize creativity and innovation, an entrepreneurial spirit, a strategic impact on the success of the Company and lastly, embodying the Biodesix cultural beliefs and goes “above and beyond” daily.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117"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We invest in our team members career growth and provide team members with a wide range of development opportunities, including face-to-face, virtual, and self-directed learning, mentoring, coaching, and external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7" w:lineRule="exact"/>
        <w:rPr>
          <w:sz w:val="20"/>
          <w:szCs w:val="20"/>
          <w:color w:val="auto"/>
        </w:rPr>
      </w:pPr>
    </w:p>
    <w:p>
      <w:pPr>
        <w:ind w:right="80" w:firstLine="540"/>
        <w:spacing w:after="0" w:line="271" w:lineRule="auto"/>
        <w:rPr>
          <w:sz w:val="20"/>
          <w:szCs w:val="20"/>
          <w:color w:val="auto"/>
        </w:rPr>
      </w:pPr>
      <w:r>
        <w:rPr>
          <w:rFonts w:ascii="Arial" w:cs="Arial" w:eastAsia="Arial" w:hAnsi="Arial"/>
          <w:sz w:val="17"/>
          <w:szCs w:val="17"/>
          <w:color w:val="auto"/>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through our professional employer organization (PEO) to enhance physical, financial, and mental well-being for all our team members. Since the onset of the COVID-19 pandemic, we have successfully transitioned a significant portion of our workforce to a remote working environment and implemented several safety and social distancing measures in our sites to protect the health and safety of our team members. We also have provided extraordinary safety protocols and standards for all of “essential” team members who work in our Laboratories and our field sales organization including regularly scheduled serial testing for COVID-19. We also have an active “Friends and Family” COVID-19 testing program for our team members, their families and close friends.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Equity</w:t>
      </w:r>
    </w:p>
    <w:p>
      <w:pPr>
        <w:spacing w:after="0" w:line="117" w:lineRule="exact"/>
        <w:rPr>
          <w:sz w:val="20"/>
          <w:szCs w:val="20"/>
          <w:color w:val="auto"/>
        </w:rPr>
      </w:pPr>
    </w:p>
    <w:p>
      <w:pPr>
        <w:ind w:right="20" w:firstLine="540"/>
        <w:spacing w:after="0" w:line="301" w:lineRule="auto"/>
        <w:rPr>
          <w:sz w:val="20"/>
          <w:szCs w:val="20"/>
          <w:color w:val="auto"/>
        </w:rPr>
      </w:pPr>
      <w:r>
        <w:rPr>
          <w:rFonts w:ascii="Arial" w:cs="Arial" w:eastAsia="Arial" w:hAnsi="Arial"/>
          <w:sz w:val="16"/>
          <w:szCs w:val="16"/>
          <w:color w:val="auto"/>
        </w:rPr>
        <w:t>The main objective of our compensation program is to provide a compensation package that will attract, retain, motivate, and reward superior team members who operate in a highly competitive and technologically 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49" w:lineRule="exact"/>
        <w:rPr>
          <w:sz w:val="20"/>
          <w:szCs w:val="20"/>
          <w:color w:val="auto"/>
        </w:rPr>
      </w:pPr>
    </w:p>
    <w:p>
      <w:pPr>
        <w:ind w:right="40" w:firstLine="535"/>
        <w:spacing w:after="0" w:line="286" w:lineRule="auto"/>
        <w:rPr>
          <w:sz w:val="20"/>
          <w:szCs w:val="20"/>
          <w:color w:val="auto"/>
        </w:rPr>
      </w:pPr>
      <w:r>
        <w:rPr>
          <w:rFonts w:ascii="Arial" w:cs="Arial" w:eastAsia="Arial" w:hAnsi="Arial"/>
          <w:sz w:val="17"/>
          <w:szCs w:val="17"/>
          <w:color w:val="auto"/>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have no pay disparities based on gender, race, or ethnicity.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35"/>
        <w:spacing w:after="0" w:line="255" w:lineRule="auto"/>
        <w:rPr>
          <w:sz w:val="20"/>
          <w:szCs w:val="20"/>
          <w:color w:val="auto"/>
        </w:rPr>
      </w:pPr>
      <w:r>
        <w:rPr>
          <w:rFonts w:ascii="Arial" w:cs="Arial" w:eastAsia="Arial" w:hAnsi="Arial"/>
          <w:sz w:val="18"/>
          <w:szCs w:val="18"/>
          <w:color w:val="auto"/>
        </w:rPr>
        <w:t>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foregoing website addresses are provided as inactive textual references only. The information provided on our website (or any other website referred to in this report) is not part of this report and is not incorporated by reference as part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this Item 1A. Risk Factors.</w:t>
      </w:r>
    </w:p>
    <w:p>
      <w:pPr>
        <w:spacing w:after="0" w:line="200" w:lineRule="exact"/>
        <w:rPr>
          <w:sz w:val="20"/>
          <w:szCs w:val="20"/>
          <w:color w:val="auto"/>
        </w:rPr>
      </w:pPr>
    </w:p>
    <w:p>
      <w:pPr>
        <w:spacing w:after="0" w:line="308" w:lineRule="exact"/>
        <w:rPr>
          <w:sz w:val="20"/>
          <w:szCs w:val="20"/>
          <w:color w:val="auto"/>
        </w:rPr>
      </w:pPr>
    </w:p>
    <w:p>
      <w:pPr>
        <w:ind w:left="1020" w:right="18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achieve profitability, we may not be able to sustain it.</w:t>
      </w:r>
    </w:p>
    <w:p>
      <w:pPr>
        <w:spacing w:after="0" w:line="62" w:lineRule="exact"/>
        <w:rPr>
          <w:rFonts w:ascii="Arial" w:cs="Arial" w:eastAsia="Arial" w:hAnsi="Arial"/>
          <w:sz w:val="18"/>
          <w:szCs w:val="18"/>
          <w:color w:val="auto"/>
        </w:rPr>
      </w:pPr>
    </w:p>
    <w:p>
      <w:pPr>
        <w:ind w:left="1020" w:right="10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17" w:lineRule="exact"/>
        <w:rPr>
          <w:rFonts w:ascii="Arial" w:cs="Arial" w:eastAsia="Arial" w:hAnsi="Arial"/>
          <w:sz w:val="18"/>
          <w:szCs w:val="18"/>
          <w:color w:val="auto"/>
        </w:rPr>
      </w:pPr>
    </w:p>
    <w:p>
      <w:pPr>
        <w:ind w:left="1020" w:right="420" w:hanging="432"/>
        <w:spacing w:after="0" w:line="308"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38" w:lineRule="exact"/>
        <w:rPr>
          <w:rFonts w:ascii="Arial" w:cs="Arial" w:eastAsia="Arial" w:hAnsi="Arial"/>
          <w:sz w:val="17"/>
          <w:szCs w:val="17"/>
          <w:color w:val="auto"/>
        </w:rPr>
      </w:pPr>
    </w:p>
    <w:p>
      <w:pPr>
        <w:ind w:left="1020" w:right="26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cannot maintain our current relationships, or enter into new relationships, with biopharmaceutical companies, our revenue prospects could be reduced.</w:t>
      </w:r>
    </w:p>
    <w:p>
      <w:pPr>
        <w:spacing w:after="0" w:line="62" w:lineRule="exact"/>
        <w:rPr>
          <w:rFonts w:ascii="Arial" w:cs="Arial" w:eastAsia="Arial" w:hAnsi="Arial"/>
          <w:sz w:val="18"/>
          <w:szCs w:val="18"/>
          <w:color w:val="auto"/>
        </w:rPr>
      </w:pPr>
    </w:p>
    <w:p>
      <w:pPr>
        <w:ind w:left="1020" w:right="58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need to ensure strong product performance and reliability to maintain and grow our business.</w:t>
      </w:r>
    </w:p>
    <w:p>
      <w:pPr>
        <w:spacing w:after="0" w:line="117" w:lineRule="exact"/>
        <w:rPr>
          <w:rFonts w:ascii="Arial" w:cs="Arial" w:eastAsia="Arial" w:hAnsi="Arial"/>
          <w:sz w:val="18"/>
          <w:szCs w:val="18"/>
          <w:color w:val="auto"/>
        </w:rPr>
      </w:pPr>
    </w:p>
    <w:p>
      <w:pPr>
        <w:ind w:left="1020" w:right="660" w:hanging="43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depend upon third-party suppliers, including contract manufacturers and single source suppliers, making us vulnerable to supply problems and price fluctuations.</w:t>
      </w:r>
    </w:p>
    <w:p>
      <w:pPr>
        <w:spacing w:after="0" w:line="62" w:lineRule="exact"/>
        <w:rPr>
          <w:rFonts w:ascii="Arial" w:cs="Arial" w:eastAsia="Arial" w:hAnsi="Arial"/>
          <w:sz w:val="18"/>
          <w:szCs w:val="18"/>
          <w:color w:val="auto"/>
        </w:rPr>
      </w:pPr>
    </w:p>
    <w:p>
      <w:pPr>
        <w:jc w:val="both"/>
        <w:ind w:left="1020" w:right="240" w:hanging="432"/>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75" w:lineRule="exact"/>
        <w:rPr>
          <w:rFonts w:ascii="Arial" w:cs="Arial" w:eastAsia="Arial" w:hAnsi="Arial"/>
          <w:sz w:val="18"/>
          <w:szCs w:val="18"/>
          <w:color w:val="auto"/>
        </w:rPr>
      </w:pPr>
    </w:p>
    <w:p>
      <w:pPr>
        <w:ind w:left="1020" w:right="20" w:hanging="432"/>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15" w:lineRule="exact"/>
        <w:rPr>
          <w:rFonts w:ascii="Arial" w:cs="Arial" w:eastAsia="Arial" w:hAnsi="Arial"/>
          <w:sz w:val="16"/>
          <w:szCs w:val="16"/>
          <w:color w:val="auto"/>
        </w:rPr>
      </w:pPr>
    </w:p>
    <w:p>
      <w:pPr>
        <w:ind w:left="1020" w:right="200" w:hanging="432"/>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75" w:lineRule="exact"/>
        <w:rPr>
          <w:rFonts w:ascii="Arial" w:cs="Arial" w:eastAsia="Arial" w:hAnsi="Arial"/>
          <w:sz w:val="18"/>
          <w:szCs w:val="18"/>
          <w:color w:val="auto"/>
        </w:rPr>
      </w:pPr>
    </w:p>
    <w:p>
      <w:pPr>
        <w:ind w:left="1020" w:right="200" w:hanging="432"/>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that could adversely affect our business, financial condition, and results of operations and cash flows. All of the risks described below should be carefully considered together with the other information contained and incorporated by reference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62"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We have incurred losses since our inception, and expect to continue to incur losses for the foreseeable future. We have reported net losses of $31.4 million and $30.7 million the years ended December 31, 2020 and 2019, respectively. As a result of these losses, as of December 31, 2020, we had an accumulated deficit of approximately $258.8 million. Our cash and cash equivalents were $62.1 million as of December 31, 2020 and we expect our cash and cash equivalents will enable us to fund our operating expenses for at least the next twelve months. We have based this estimate on assumptions that in the future may prove to be wrong, and we could use our capital resources sooner than we currently expect.</w:t>
      </w:r>
    </w:p>
    <w:p>
      <w:pPr>
        <w:spacing w:after="0" w:line="136"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particularly with respect to our COVID-19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2" w:lineRule="exact"/>
        <w:rPr>
          <w:sz w:val="20"/>
          <w:szCs w:val="20"/>
          <w:color w:val="auto"/>
        </w:rPr>
      </w:pPr>
    </w:p>
    <w:p>
      <w:pPr>
        <w:ind w:right="340" w:firstLine="589"/>
        <w:spacing w:after="0" w:line="279" w:lineRule="auto"/>
        <w:rPr>
          <w:sz w:val="20"/>
          <w:szCs w:val="20"/>
          <w:color w:val="auto"/>
        </w:rPr>
      </w:pPr>
      <w:r>
        <w:rPr>
          <w:rFonts w:ascii="Arial" w:cs="Arial" w:eastAsia="Arial" w:hAnsi="Arial"/>
          <w:sz w:val="17"/>
          <w:szCs w:val="17"/>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degree of market acceptance of our current and future diagnostic tests and services depends on a number of factors, including:</w:t>
      </w:r>
    </w:p>
    <w:p>
      <w:pPr>
        <w:spacing w:after="0" w:line="117" w:lineRule="exact"/>
        <w:rPr>
          <w:sz w:val="20"/>
          <w:szCs w:val="20"/>
          <w:color w:val="auto"/>
        </w:rPr>
      </w:pPr>
    </w:p>
    <w:p>
      <w:pPr>
        <w:ind w:left="1020" w:hanging="43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use of our diagnostic tests relative to those currently on the market;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provide incremental data that show the clinical benefits and cost effectiveness, and operational benefits, of our diagnostic tests;</w:t>
      </w:r>
    </w:p>
    <w:p>
      <w:pPr>
        <w:spacing w:after="0" w:line="140" w:lineRule="exact"/>
        <w:rPr>
          <w:rFonts w:ascii="Arial" w:cs="Arial" w:eastAsia="Arial" w:hAnsi="Arial"/>
          <w:sz w:val="16"/>
          <w:szCs w:val="16"/>
          <w:color w:val="auto"/>
        </w:rPr>
      </w:pPr>
    </w:p>
    <w:p>
      <w:pPr>
        <w:ind w:left="1020" w:hanging="43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coverage and reimbursement acceptance of our products and services;</w:t>
      </w:r>
    </w:p>
    <w:p>
      <w:pPr>
        <w:spacing w:after="0" w:line="117" w:lineRule="exact"/>
        <w:rPr>
          <w:rFonts w:ascii="Arial" w:cs="Arial" w:eastAsia="Arial" w:hAnsi="Arial"/>
          <w:sz w:val="18"/>
          <w:szCs w:val="18"/>
          <w:color w:val="auto"/>
        </w:rPr>
      </w:pPr>
    </w:p>
    <w:p>
      <w:pPr>
        <w:ind w:left="1020" w:right="400" w:hanging="432"/>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our diagnostic tests based on the collective bargaining power of the GPO members;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diagnostic tests resulting from defects or errors;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accuracy of our tests relative to those of our competitors;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or conformity assessment bodies; and</w:t>
      </w:r>
    </w:p>
    <w:p>
      <w:pPr>
        <w:spacing w:after="0" w:line="117" w:lineRule="exact"/>
        <w:rPr>
          <w:rFonts w:ascii="Arial" w:cs="Arial" w:eastAsia="Arial" w:hAnsi="Arial"/>
          <w:sz w:val="18"/>
          <w:szCs w:val="18"/>
          <w:color w:val="auto"/>
        </w:rPr>
      </w:pPr>
    </w:p>
    <w:p>
      <w:pPr>
        <w:ind w:left="1020" w:right="480" w:hanging="43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regulatory authorities or conformity assessment bodies.</w:t>
      </w:r>
    </w:p>
    <w:p>
      <w:pPr>
        <w:spacing w:after="0" w:line="130"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60"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There is no assurance that our COVID-19 and antibody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test could decrease significantly and this could have an adverse effect on our results of operation and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As of December 31, 2020, we had approximately 200 full and part-time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5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Since our inception, we have experienced multiple cycles of growth and anticipate further growth in our business operations. This future growth could create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54"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We may not be able to maintain the quality or expected turnaround times of our diagnostic tests and services,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37" w:lineRule="exact"/>
        <w:rPr>
          <w:sz w:val="20"/>
          <w:szCs w:val="20"/>
          <w:color w:val="auto"/>
        </w:rPr>
      </w:pPr>
    </w:p>
    <w:p>
      <w:pPr>
        <w:ind w:right="60" w:firstLine="589"/>
        <w:spacing w:after="0" w:line="285" w:lineRule="auto"/>
        <w:rPr>
          <w:sz w:val="20"/>
          <w:szCs w:val="20"/>
          <w:color w:val="auto"/>
        </w:rPr>
      </w:pPr>
      <w:r>
        <w:rPr>
          <w:rFonts w:ascii="Arial" w:cs="Arial" w:eastAsia="Arial" w:hAnsi="Arial"/>
          <w:sz w:val="16"/>
          <w:szCs w:val="16"/>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1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cannot maintain our current relationships, or enter into new relationships, with biopharmaceutical companies, our revenue prospects could be reduced.</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For fiscal years 2020 and 2019, revenue from our top biopharmaceutical customer accounted for 3% and 21%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6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right="40" w:firstLine="589"/>
        <w:spacing w:after="0" w:line="257" w:lineRule="auto"/>
        <w:rPr>
          <w:sz w:val="20"/>
          <w:szCs w:val="20"/>
          <w:color w:val="auto"/>
        </w:rPr>
      </w:pPr>
      <w:r>
        <w:rPr>
          <w:rFonts w:ascii="Arial" w:cs="Arial" w:eastAsia="Arial" w:hAnsi="Arial"/>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jc w:val="both"/>
        <w:ind w:right="160" w:firstLine="589"/>
        <w:spacing w:after="0" w:line="311" w:lineRule="auto"/>
        <w:rPr>
          <w:sz w:val="20"/>
          <w:szCs w:val="20"/>
          <w:color w:val="auto"/>
        </w:rPr>
      </w:pPr>
      <w:r>
        <w:rPr>
          <w:rFonts w:ascii="Arial" w:cs="Arial" w:eastAsia="Arial" w:hAnsi="Arial"/>
          <w:sz w:val="16"/>
          <w:szCs w:val="16"/>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41" w:lineRule="exact"/>
        <w:rPr>
          <w:sz w:val="20"/>
          <w:szCs w:val="20"/>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17" w:lineRule="exact"/>
        <w:rPr>
          <w:rFonts w:ascii="Arial" w:cs="Arial" w:eastAsia="Arial" w:hAnsi="Arial"/>
          <w:sz w:val="18"/>
          <w:szCs w:val="18"/>
          <w:color w:val="auto"/>
        </w:rPr>
      </w:pPr>
    </w:p>
    <w:p>
      <w:pPr>
        <w:ind w:left="1020" w:right="44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17" w:lineRule="exact"/>
        <w:rPr>
          <w:rFonts w:ascii="Arial" w:cs="Arial" w:eastAsia="Arial" w:hAnsi="Arial"/>
          <w:sz w:val="18"/>
          <w:szCs w:val="18"/>
          <w:color w:val="auto"/>
        </w:rPr>
      </w:pPr>
    </w:p>
    <w:p>
      <w:pPr>
        <w:ind w:left="1020" w:right="68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62" w:lineRule="exact"/>
        <w:rPr>
          <w:rFonts w:ascii="Arial" w:cs="Arial" w:eastAsia="Arial" w:hAnsi="Arial"/>
          <w:sz w:val="18"/>
          <w:szCs w:val="18"/>
          <w:color w:val="auto"/>
        </w:rPr>
      </w:pPr>
    </w:p>
    <w:p>
      <w:pPr>
        <w:ind w:left="1020" w:right="30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62" w:lineRule="exact"/>
        <w:rPr>
          <w:rFonts w:ascii="Arial" w:cs="Arial" w:eastAsia="Arial" w:hAnsi="Arial"/>
          <w:sz w:val="18"/>
          <w:szCs w:val="18"/>
          <w:color w:val="auto"/>
        </w:rPr>
      </w:pPr>
    </w:p>
    <w:p>
      <w:pPr>
        <w:ind w:left="1020" w:right="4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tests;</w:t>
      </w:r>
    </w:p>
    <w:p>
      <w:pPr>
        <w:spacing w:after="0" w:line="62" w:lineRule="exact"/>
        <w:rPr>
          <w:rFonts w:ascii="Arial" w:cs="Arial" w:eastAsia="Arial" w:hAnsi="Arial"/>
          <w:sz w:val="18"/>
          <w:szCs w:val="18"/>
          <w:color w:val="auto"/>
        </w:rPr>
      </w:pPr>
    </w:p>
    <w:p>
      <w:pPr>
        <w:ind w:left="1020" w:right="66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positive or negative coverage, or public perception, of our diagnostic tests or those of our competitors or broader industry trends;</w:t>
      </w:r>
    </w:p>
    <w:p>
      <w:pPr>
        <w:spacing w:after="0" w:line="128" w:lineRule="exact"/>
        <w:rPr>
          <w:rFonts w:ascii="Arial" w:cs="Arial" w:eastAsia="Arial" w:hAnsi="Arial"/>
          <w:sz w:val="17"/>
          <w:szCs w:val="17"/>
          <w:color w:val="auto"/>
        </w:rPr>
      </w:pPr>
    </w:p>
    <w:p>
      <w:pPr>
        <w:ind w:left="1020" w:right="8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if any, of the spread of COVID-19 and any newly discovered variants, and the resulting effects on the number of patients treated or the demand for our non-COVID-19 tests;</w:t>
      </w:r>
    </w:p>
    <w:p>
      <w:pPr>
        <w:spacing w:after="0" w:line="62" w:lineRule="exact"/>
        <w:rPr>
          <w:rFonts w:ascii="Arial" w:cs="Arial" w:eastAsia="Arial" w:hAnsi="Arial"/>
          <w:sz w:val="18"/>
          <w:szCs w:val="18"/>
          <w:color w:val="auto"/>
        </w:rPr>
      </w:pPr>
    </w:p>
    <w:p>
      <w:pPr>
        <w:ind w:left="1020" w:right="220" w:hanging="432"/>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75" w:lineRule="exact"/>
        <w:rPr>
          <w:rFonts w:ascii="Arial" w:cs="Arial" w:eastAsia="Arial" w:hAnsi="Arial"/>
          <w:sz w:val="18"/>
          <w:szCs w:val="18"/>
          <w:color w:val="auto"/>
        </w:rPr>
      </w:pPr>
    </w:p>
    <w:p>
      <w:pPr>
        <w:ind w:left="1020" w:right="700" w:hanging="432"/>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conformity certifications or clearances for planned or future improvements or enhancements to our diagnostic tests;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requirements or in the status of regulatory approvals or applications or conformity certifications;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98"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addition, we can provide no assurances that the demand for our COVID-19 and antibody testing program will be sustained, and even if it is, the period of time for which it would be sustained. As vaccines for COVID-19 become more available and widespread in the future, we expect the demand for our COVID-19 diagnostic and antibody tests will decrease. As a result, the increase in revenue due to any increase in demand for our COVID-19 and antibody testing program is not indicative of results expected for any future period.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51" w:name="page52"/>
    <w:bookmarkEnd w:id="51"/>
    <w:p>
      <w:pPr>
        <w:ind w:right="140" w:firstLine="589"/>
        <w:spacing w:after="0" w:line="25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6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r>
        <w:rPr>
          <w:rFonts w:ascii="Arial" w:cs="Arial" w:eastAsia="Arial" w:hAnsi="Arial"/>
          <w:sz w:val="18"/>
          <w:szCs w:val="18"/>
          <w:i w:val="1"/>
          <w:iCs w:val="1"/>
          <w:color w:val="auto"/>
        </w:rPr>
        <w:t>.</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37"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our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2" w:name="page53"/>
    <w:bookmarkEnd w:id="52"/>
    <w:p>
      <w:pPr>
        <w:ind w:right="100" w:firstLine="589"/>
        <w:spacing w:after="0" w:line="257"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61"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test and Platelia SARS-CoV-2 Total Ab test for commercial diagnostic services. For more information regarding this license and supply agreement and the permission granted to us by Bio-Rad with respect to such tests, please see “Business—Material Agreements—Agreements with Bio-Rad.”</w:t>
      </w:r>
    </w:p>
    <w:p>
      <w:pPr>
        <w:spacing w:after="0" w:line="145"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6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outbreak of the novel strain of coronavirus disease, COVID-19, and its variants could adversely affect our business.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COVID-19 has spread throughout the United States and to most countries globally. Numerous 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3" w:name="page54"/>
    <w:bookmarkEnd w:id="53"/>
    <w:p>
      <w:pPr>
        <w:ind w:right="120" w:firstLine="589"/>
        <w:spacing w:after="0" w:line="291" w:lineRule="auto"/>
        <w:rPr>
          <w:sz w:val="20"/>
          <w:szCs w:val="20"/>
          <w:color w:val="auto"/>
        </w:rPr>
      </w:pPr>
      <w:r>
        <w:rPr>
          <w:rFonts w:ascii="Arial" w:cs="Arial" w:eastAsia="Arial" w:hAnsi="Arial"/>
          <w:sz w:val="16"/>
          <w:szCs w:val="16"/>
          <w:color w:val="auto"/>
        </w:rPr>
        <w:t>The COVID-19 pandemic also has negatively affected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39"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The COVID-19 pandemic has also created an opportunity for our diagnostic tests and we have commercialized two diagnostic tests to test for the presence of COVID-19 and antibodies. We are expecting to increase our testing capacity for our COVID-19 diagnostic and antibody testing program in the near term to meet the rising demand for rapid and accurate testing. We expect that the revenue we generate from this expansion will comprise a significant portion of our revenue for the first quarter of 2021.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56"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0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54" w:name="page55"/>
    <w:bookmarkEnd w:id="54"/>
    <w:p>
      <w:pPr>
        <w:ind w:right="460"/>
        <w:spacing w:after="0" w:line="375" w:lineRule="auto"/>
        <w:rPr>
          <w:sz w:val="20"/>
          <w:szCs w:val="20"/>
          <w:color w:val="auto"/>
        </w:rPr>
      </w:pPr>
      <w:r>
        <w:rPr>
          <w:rFonts w:ascii="Arial" w:cs="Arial" w:eastAsia="Arial" w:hAnsi="Arial"/>
          <w:sz w:val="15"/>
          <w:szCs w:val="15"/>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62"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1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18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3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laws in other jurisdictions (e.g., the EU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firstLine="589"/>
        <w:spacing w:after="0" w:line="290" w:lineRule="auto"/>
        <w:rPr>
          <w:sz w:val="20"/>
          <w:szCs w:val="20"/>
          <w:color w:val="auto"/>
        </w:rPr>
      </w:pPr>
      <w:r>
        <w:rPr>
          <w:rFonts w:ascii="Arial" w:cs="Arial" w:eastAsia="Arial" w:hAnsi="Arial"/>
          <w:sz w:val="16"/>
          <w:szCs w:val="16"/>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38"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payer concentration, with a limited number of customers accounting for a substantial portion of our revenues.</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For year ended December 31, 2020, Medicare reimbursed to us 18% of our diagnostic test revenue and two healthcare providers accounted for 47% of our total revenue. For the year ended December 31, 2019, Medicare reimbursed to us 60%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6" w:name="page57"/>
    <w:bookmarkEnd w:id="56"/>
    <w:p>
      <w:pPr>
        <w:ind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62" w:lineRule="exact"/>
        <w:rPr>
          <w:sz w:val="20"/>
          <w:szCs w:val="20"/>
          <w:color w:val="auto"/>
        </w:rPr>
      </w:pPr>
    </w:p>
    <w:p>
      <w:pPr>
        <w:ind w:firstLine="589"/>
        <w:spacing w:after="0" w:line="308" w:lineRule="auto"/>
        <w:rPr>
          <w:sz w:val="20"/>
          <w:szCs w:val="20"/>
          <w:color w:val="auto"/>
        </w:rPr>
      </w:pPr>
      <w:r>
        <w:rPr>
          <w:rFonts w:ascii="Arial" w:cs="Arial" w:eastAsia="Arial" w:hAnsi="Arial"/>
          <w:sz w:val="15"/>
          <w:szCs w:val="15"/>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and antibody testing program,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3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2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76"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38"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76" w:lineRule="exact"/>
        <w:rPr>
          <w:sz w:val="20"/>
          <w:szCs w:val="20"/>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diagnostic tests and services;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impact on the market price of our common stock;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98"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17"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53" w:lineRule="exact"/>
        <w:rPr>
          <w:sz w:val="20"/>
          <w:szCs w:val="20"/>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payers;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17" w:lineRule="exact"/>
        <w:rPr>
          <w:rFonts w:ascii="Arial" w:cs="Arial" w:eastAsia="Arial" w:hAnsi="Arial"/>
          <w:sz w:val="18"/>
          <w:szCs w:val="18"/>
          <w:color w:val="auto"/>
        </w:rPr>
      </w:pPr>
    </w:p>
    <w:p>
      <w:pPr>
        <w:ind w:left="1020" w:right="580" w:hanging="43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lines of diagnostic tests and the ability to offer rebates or bundle them to offer greater discounts or other incentives to gain a competitive advantage;</w:t>
      </w:r>
    </w:p>
    <w:p>
      <w:pPr>
        <w:spacing w:after="0" w:line="62" w:lineRule="exact"/>
        <w:rPr>
          <w:rFonts w:ascii="Arial" w:cs="Arial" w:eastAsia="Arial" w:hAnsi="Arial"/>
          <w:sz w:val="18"/>
          <w:szCs w:val="18"/>
          <w:color w:val="auto"/>
        </w:rPr>
      </w:pPr>
    </w:p>
    <w:p>
      <w:pPr>
        <w:ind w:left="1020" w:right="260" w:hanging="43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or certification for diagnostic tests;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continued success depends on our ability to:</w:t>
      </w:r>
    </w:p>
    <w:p>
      <w:pPr>
        <w:spacing w:after="0" w:line="117" w:lineRule="exact"/>
        <w:rPr>
          <w:sz w:val="20"/>
          <w:szCs w:val="20"/>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penetrate the lung disease diagnostic solutions market and increase utilization of our diagnostic tests;</w:t>
      </w:r>
    </w:p>
    <w:p>
      <w:pPr>
        <w:spacing w:after="0" w:line="117" w:lineRule="exact"/>
        <w:rPr>
          <w:rFonts w:ascii="Arial" w:cs="Arial" w:eastAsia="Arial" w:hAnsi="Arial"/>
          <w:sz w:val="18"/>
          <w:szCs w:val="18"/>
          <w:color w:val="auto"/>
        </w:rPr>
      </w:pPr>
    </w:p>
    <w:p>
      <w:pPr>
        <w:ind w:left="1020" w:right="180" w:hanging="43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cost-effectively manufacture our diagnostic tests and their component parts as well as drive down the cost of service.</w:t>
      </w:r>
    </w:p>
    <w:p>
      <w:pPr>
        <w:spacing w:after="0" w:line="198"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43"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47" w:lineRule="exact"/>
        <w:rPr>
          <w:sz w:val="20"/>
          <w:szCs w:val="20"/>
          <w:color w:val="auto"/>
        </w:rPr>
      </w:pPr>
    </w:p>
    <w:p>
      <w:pPr>
        <w:jc w:val="both"/>
        <w:ind w:right="120" w:firstLine="589"/>
        <w:spacing w:after="0" w:line="259" w:lineRule="auto"/>
        <w:rPr>
          <w:sz w:val="20"/>
          <w:szCs w:val="20"/>
          <w:color w:val="auto"/>
        </w:rPr>
      </w:pPr>
      <w:r>
        <w:rPr>
          <w:rFonts w:ascii="Arial" w:cs="Arial" w:eastAsia="Arial" w:hAnsi="Arial"/>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9" w:name="page60"/>
    <w:bookmarkEnd w:id="59"/>
    <w:p>
      <w:pPr>
        <w:ind w:firstLine="589"/>
        <w:spacing w:after="0" w:line="272" w:lineRule="auto"/>
        <w:rPr>
          <w:sz w:val="20"/>
          <w:szCs w:val="20"/>
          <w:color w:val="auto"/>
        </w:rPr>
      </w:pPr>
      <w:r>
        <w:rPr>
          <w:rFonts w:ascii="Arial" w:cs="Arial" w:eastAsia="Arial" w:hAnsi="Arial"/>
          <w:sz w:val="17"/>
          <w:szCs w:val="17"/>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62"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37"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84"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Pricing and reimbursement of medical devices is not harmonized at European level, but is the exclusive competence of the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52"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benefits or costs of our Co-Development and Collaboration Agreement with AVEO Oncology.</w:t>
      </w:r>
    </w:p>
    <w:p>
      <w:pPr>
        <w:spacing w:after="0" w:line="12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5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43"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was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 For more information regarding this Collaboration Agreement, please see “Business —Drug Co-Development.”</w:t>
      </w:r>
    </w:p>
    <w:p>
      <w:pPr>
        <w:spacing w:after="0" w:line="140" w:lineRule="exact"/>
        <w:rPr>
          <w:sz w:val="20"/>
          <w:szCs w:val="20"/>
          <w:color w:val="auto"/>
        </w:rPr>
      </w:pPr>
    </w:p>
    <w:p>
      <w:pPr>
        <w:jc w:val="both"/>
        <w:ind w:right="120" w:firstLine="589"/>
        <w:spacing w:after="0" w:line="279" w:lineRule="auto"/>
        <w:rPr>
          <w:sz w:val="20"/>
          <w:szCs w:val="20"/>
          <w:color w:val="auto"/>
        </w:rPr>
      </w:pPr>
      <w:r>
        <w:rPr>
          <w:rFonts w:ascii="Arial" w:cs="Arial" w:eastAsia="Arial" w:hAnsi="Arial"/>
          <w:sz w:val="17"/>
          <w:szCs w:val="17"/>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purchased select assets and liabilities from Integrated Diagnostics, Inc. and IND Funding, LLC (collectively, the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firstLine="589"/>
        <w:spacing w:after="0" w:line="273" w:lineRule="auto"/>
        <w:rPr>
          <w:sz w:val="20"/>
          <w:szCs w:val="20"/>
          <w:color w:val="auto"/>
        </w:rPr>
      </w:pPr>
      <w:r>
        <w:rPr>
          <w:rFonts w:ascii="Arial" w:cs="Arial" w:eastAsia="Arial" w:hAnsi="Arial"/>
          <w:sz w:val="17"/>
          <w:szCs w:val="17"/>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If the gross margin target is met, the Company is required to issue 2,520,108 shares of common stock. For the 6 months following the achievement of the milestone, the Seller has the option to require us to redeem the common shares for $37 million in cash over 8 equal installments due each calendar quarter. If the Seller elects not to exercise this option, we have 12 months to repurchase the common stock in two equal quarterly cash installments totaling $37 million. As of December 31, 2020, we have not made any payments in connection with the contingent consideration.</w:t>
      </w:r>
    </w:p>
    <w:p>
      <w:pPr>
        <w:spacing w:after="0" w:line="15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EarlyCDT®-Lung. We renamed the test and relaunched the test on February 28, 2020 as the Nodify CDT test and the De Soto, Kansas lab will be the sole United States provider of the Nodify CDT test.</w:t>
      </w:r>
    </w:p>
    <w:p>
      <w:pPr>
        <w:spacing w:after="0" w:line="14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 which we elected to not exercise.</w:t>
      </w:r>
    </w:p>
    <w:p>
      <w:pPr>
        <w:spacing w:after="0" w:line="138"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As consideration for the rights granted to us, we agreed to payments of $1.2 million and further agreed to an option fee for the screening option of $9.0 million due within 30 days of exercising the option. As of December 31, 2020, we have paid $1.2 million of the agreed upon payments. We also agreed to a revenue share payment of 8% of recognized revenue for non-screening tests up to an annual minimum volume and 5% thereafter, with an escalating minimum through the first four years of sales. An insignificant amount of royalty payments was paid for the year ended December 31, 2020. In September 2020, we notified Oncimmune that we would not exercise this option for expansion of the field of use.</w:t>
      </w:r>
    </w:p>
    <w:p>
      <w:pPr>
        <w:spacing w:after="0" w:line="149"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i w:val="1"/>
          <w:iCs w:val="1"/>
          <w:color w:val="auto"/>
        </w:rPr>
        <w:t>Our research and development programs and laboratory operations depend on our ability to attract and retain highly skilled scientists and technicians.</w:t>
      </w:r>
    </w:p>
    <w:p>
      <w:pPr>
        <w:spacing w:after="0" w:line="15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ind w:right="160" w:firstLine="589"/>
        <w:spacing w:after="0" w:line="272" w:lineRule="auto"/>
        <w:rPr>
          <w:sz w:val="20"/>
          <w:szCs w:val="20"/>
          <w:color w:val="auto"/>
        </w:rPr>
      </w:pPr>
      <w:r>
        <w:rPr>
          <w:rFonts w:ascii="Arial" w:cs="Arial" w:eastAsia="Arial" w:hAnsi="Arial"/>
          <w:sz w:val="17"/>
          <w:szCs w:val="17"/>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17"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17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6"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260" w:firstLine="58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3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43"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43"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62"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We will need to raise additional capital in the future to expand our business, to pursue strategic investments, to take advantage of financing opportunities or for other reasons, including to:</w:t>
      </w:r>
    </w:p>
    <w:p>
      <w:pPr>
        <w:spacing w:after="0" w:line="62" w:lineRule="exact"/>
        <w:rPr>
          <w:sz w:val="20"/>
          <w:szCs w:val="20"/>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and address competitive developments;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fund development and marketing efforts of our diagnostic tests or any other future diagnostic tests;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our technologies into other types of cancer management and lung disease detection diagnostic tests;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17" w:lineRule="exact"/>
        <w:rPr>
          <w:sz w:val="20"/>
          <w:szCs w:val="20"/>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17"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rate of progress in establishing payer coverage and reimbursement arrangements with domestic and international commercial third-party payers and government payers;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17" w:lineRule="exact"/>
        <w:rPr>
          <w:rFonts w:ascii="Arial" w:cs="Arial" w:eastAsia="Arial" w:hAnsi="Arial"/>
          <w:sz w:val="18"/>
          <w:szCs w:val="18"/>
          <w:color w:val="auto"/>
        </w:rPr>
      </w:pPr>
    </w:p>
    <w:p>
      <w:pPr>
        <w:ind w:left="1020" w:right="420" w:hanging="43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and reimbursement for our diagnostic tests;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diagnostic tests in research and early development;</w:t>
      </w:r>
    </w:p>
    <w:p>
      <w:pPr>
        <w:spacing w:after="0" w:line="140" w:lineRule="exact"/>
        <w:rPr>
          <w:rFonts w:ascii="Arial" w:cs="Arial" w:eastAsia="Arial" w:hAnsi="Arial"/>
          <w:sz w:val="16"/>
          <w:szCs w:val="16"/>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64" w:name="page65"/>
    <w:bookmarkEnd w:id="64"/>
    <w:p>
      <w:pPr>
        <w:ind w:right="60" w:firstLine="589"/>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39" w:lineRule="exact"/>
        <w:rPr>
          <w:sz w:val="20"/>
          <w:szCs w:val="20"/>
          <w:color w:val="auto"/>
        </w:rPr>
      </w:pPr>
    </w:p>
    <w:p>
      <w:pPr>
        <w:ind w:right="120" w:firstLine="589"/>
        <w:spacing w:after="0" w:line="289" w:lineRule="auto"/>
        <w:rPr>
          <w:sz w:val="20"/>
          <w:szCs w:val="20"/>
          <w:color w:val="auto"/>
        </w:rPr>
      </w:pPr>
      <w:r>
        <w:rPr>
          <w:rFonts w:ascii="Arial" w:cs="Arial" w:eastAsia="Arial" w:hAnsi="Arial"/>
          <w:sz w:val="16"/>
          <w:szCs w:val="16"/>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26"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Governmental Regulation</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57"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ind w:right="40"/>
        <w:spacing w:after="0" w:line="255" w:lineRule="auto"/>
        <w:rPr>
          <w:sz w:val="20"/>
          <w:szCs w:val="20"/>
          <w:color w:val="auto"/>
        </w:rPr>
      </w:pPr>
      <w:r>
        <w:rPr>
          <w:rFonts w:ascii="Arial" w:cs="Arial" w:eastAsia="Arial" w:hAnsi="Arial"/>
          <w:sz w:val="18"/>
          <w:szCs w:val="18"/>
          <w:color w:val="auto"/>
        </w:rPr>
        <w:t>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52"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151" w:lineRule="exact"/>
        <w:rPr>
          <w:sz w:val="20"/>
          <w:szCs w:val="20"/>
          <w:color w:val="auto"/>
        </w:rPr>
      </w:pPr>
    </w:p>
    <w:p>
      <w:pPr>
        <w:ind w:firstLine="594"/>
        <w:spacing w:after="0" w:line="286" w:lineRule="auto"/>
        <w:rPr>
          <w:sz w:val="20"/>
          <w:szCs w:val="20"/>
          <w:color w:val="auto"/>
        </w:rPr>
      </w:pPr>
      <w:r>
        <w:rPr>
          <w:rFonts w:ascii="Arial" w:cs="Arial" w:eastAsia="Arial" w:hAnsi="Arial"/>
          <w:sz w:val="16"/>
          <w:szCs w:val="16"/>
          <w:color w:val="auto"/>
        </w:rPr>
        <w:t>Outside the United States, the reimbursement process and timelines vary significantly. In Europe, pricing and reimbursement of medical devices is the exclusive competence of the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30" w:lineRule="exact"/>
        <w:rPr>
          <w:sz w:val="20"/>
          <w:szCs w:val="20"/>
          <w:color w:val="auto"/>
        </w:rPr>
      </w:pPr>
    </w:p>
    <w:p>
      <w:pPr>
        <w:ind w:right="120" w:firstLine="594"/>
        <w:spacing w:after="0" w:line="271" w:lineRule="auto"/>
        <w:rPr>
          <w:sz w:val="20"/>
          <w:szCs w:val="20"/>
          <w:color w:val="auto"/>
        </w:rPr>
      </w:pPr>
      <w:r>
        <w:rPr>
          <w:rFonts w:ascii="Arial" w:cs="Arial" w:eastAsia="Arial" w:hAnsi="Arial"/>
          <w:sz w:val="17"/>
          <w:szCs w:val="17"/>
          <w:color w:val="auto"/>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new Biden administration.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38"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Measures to reduce healthcare costs may hurt our business.</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diagnostic tests.</w:t>
      </w:r>
    </w:p>
    <w:p>
      <w:pPr>
        <w:spacing w:after="0" w:line="117" w:lineRule="exact"/>
        <w:rPr>
          <w:sz w:val="20"/>
          <w:szCs w:val="20"/>
          <w:color w:val="auto"/>
        </w:rPr>
      </w:pPr>
    </w:p>
    <w:p>
      <w:pPr>
        <w:ind w:right="80" w:firstLine="594"/>
        <w:spacing w:after="0" w:line="270"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40" w:lineRule="exact"/>
        <w:rPr>
          <w:sz w:val="20"/>
          <w:szCs w:val="20"/>
          <w:color w:val="auto"/>
        </w:rPr>
      </w:pPr>
    </w:p>
    <w:p>
      <w:pPr>
        <w:ind w:right="40" w:firstLine="594"/>
        <w:spacing w:after="0" w:line="287" w:lineRule="auto"/>
        <w:rPr>
          <w:sz w:val="20"/>
          <w:szCs w:val="20"/>
          <w:color w:val="auto"/>
        </w:rPr>
      </w:pPr>
      <w:r>
        <w:rPr>
          <w:rFonts w:ascii="Arial" w:cs="Arial" w:eastAsia="Arial" w:hAnsi="Arial"/>
          <w:sz w:val="16"/>
          <w:szCs w:val="16"/>
          <w:color w:val="auto"/>
        </w:rPr>
        <w:t>There have been judicial challenges to certain aspects of the ACA, as well as efforts by the Trump administration and Congress to repeal, replace or alter the implementation of certain aspects of the ACA. For example, as part of the Tax Cuts and Jobs Act of 2017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noted above,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heard oral argument on November 10, 2020;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41" w:lineRule="exact"/>
        <w:rPr>
          <w:sz w:val="20"/>
          <w:szCs w:val="20"/>
          <w:color w:val="auto"/>
        </w:rPr>
      </w:pPr>
    </w:p>
    <w:p>
      <w:pPr>
        <w:ind w:right="20" w:firstLine="594"/>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2021.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37" w:lineRule="exact"/>
        <w:rPr>
          <w:sz w:val="20"/>
          <w:szCs w:val="20"/>
          <w:color w:val="auto"/>
        </w:rPr>
      </w:pPr>
    </w:p>
    <w:p>
      <w:pPr>
        <w:ind w:firstLine="594"/>
        <w:spacing w:after="0" w:line="272" w:lineRule="auto"/>
        <w:rPr>
          <w:sz w:val="20"/>
          <w:szCs w:val="20"/>
          <w:color w:val="auto"/>
        </w:rPr>
      </w:pPr>
      <w:r>
        <w:rPr>
          <w:rFonts w:ascii="Arial" w:cs="Arial" w:eastAsia="Arial" w:hAnsi="Arial"/>
          <w:sz w:val="17"/>
          <w:szCs w:val="17"/>
          <w:color w:val="auto"/>
        </w:rPr>
        <w:t>The Biden administration and Congress may continue to pursue significant changes to the current healthcare laws, and the Biden administration has indicated its intent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200" w:firstLine="589"/>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harm:</w:t>
      </w:r>
    </w:p>
    <w:p>
      <w:pPr>
        <w:spacing w:after="0" w:line="62" w:lineRule="exact"/>
        <w:rPr>
          <w:sz w:val="20"/>
          <w:szCs w:val="20"/>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diagnostic tests;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9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anti-corruption, anti-bribery, anti-money laundering and similar laws.</w:t>
      </w:r>
    </w:p>
    <w:p>
      <w:pPr>
        <w:spacing w:after="0" w:line="117" w:lineRule="exact"/>
        <w:rPr>
          <w:sz w:val="20"/>
          <w:szCs w:val="20"/>
          <w:color w:val="auto"/>
        </w:rPr>
      </w:pPr>
    </w:p>
    <w:p>
      <w:pPr>
        <w:ind w:right="240" w:firstLine="589"/>
        <w:spacing w:after="0" w:line="291" w:lineRule="auto"/>
        <w:rPr>
          <w:sz w:val="20"/>
          <w:szCs w:val="20"/>
          <w:color w:val="auto"/>
        </w:rPr>
      </w:pPr>
      <w:r>
        <w:rPr>
          <w:rFonts w:ascii="Arial" w:cs="Arial" w:eastAsia="Arial" w:hAnsi="Arial"/>
          <w:sz w:val="16"/>
          <w:szCs w:val="16"/>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26"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healthcare fraud and abuse laws.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8" w:name="page69"/>
    <w:bookmarkEnd w:id="68"/>
    <w:p>
      <w:pPr>
        <w:ind w:left="600"/>
        <w:spacing w:after="0"/>
        <w:rPr>
          <w:sz w:val="20"/>
          <w:szCs w:val="20"/>
          <w:color w:val="auto"/>
        </w:rPr>
      </w:pPr>
      <w:r>
        <w:rPr>
          <w:rFonts w:ascii="Arial" w:cs="Arial" w:eastAsia="Arial" w:hAnsi="Arial"/>
          <w:sz w:val="18"/>
          <w:szCs w:val="18"/>
          <w:color w:val="auto"/>
        </w:rPr>
        <w:t>Restrictions under applicable United States federal and state healthcare laws and regulations include the following:</w:t>
      </w:r>
    </w:p>
    <w:p>
      <w:pPr>
        <w:spacing w:after="0" w:line="117" w:lineRule="exact"/>
        <w:rPr>
          <w:sz w:val="20"/>
          <w:szCs w:val="20"/>
          <w:color w:val="auto"/>
        </w:rPr>
      </w:pPr>
    </w:p>
    <w:p>
      <w:pPr>
        <w:ind w:left="1020" w:right="80" w:hanging="432"/>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78" w:lineRule="exact"/>
        <w:rPr>
          <w:rFonts w:ascii="Arial" w:cs="Arial" w:eastAsia="Arial" w:hAnsi="Arial"/>
          <w:sz w:val="18"/>
          <w:szCs w:val="18"/>
          <w:color w:val="auto"/>
        </w:rPr>
      </w:pPr>
    </w:p>
    <w:p>
      <w:pPr>
        <w:jc w:val="both"/>
        <w:ind w:left="1020" w:right="160" w:hanging="432"/>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75" w:lineRule="exact"/>
        <w:rPr>
          <w:rFonts w:ascii="Arial" w:cs="Arial" w:eastAsia="Arial" w:hAnsi="Arial"/>
          <w:sz w:val="18"/>
          <w:szCs w:val="18"/>
          <w:color w:val="auto"/>
        </w:rPr>
      </w:pPr>
    </w:p>
    <w:p>
      <w:pPr>
        <w:ind w:left="1020" w:right="140" w:hanging="432"/>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15" w:lineRule="exact"/>
        <w:rPr>
          <w:rFonts w:ascii="Arial" w:cs="Arial" w:eastAsia="Arial" w:hAnsi="Arial"/>
          <w:sz w:val="16"/>
          <w:szCs w:val="16"/>
          <w:color w:val="auto"/>
        </w:rPr>
      </w:pPr>
    </w:p>
    <w:p>
      <w:pPr>
        <w:ind w:left="1020" w:right="180" w:hanging="432"/>
        <w:spacing w:after="0" w:line="25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84" w:lineRule="exact"/>
        <w:rPr>
          <w:rFonts w:ascii="Arial" w:cs="Arial" w:eastAsia="Arial" w:hAnsi="Arial"/>
          <w:sz w:val="18"/>
          <w:szCs w:val="18"/>
          <w:color w:val="auto"/>
        </w:rPr>
      </w:pPr>
    </w:p>
    <w:p>
      <w:pPr>
        <w:ind w:left="1020" w:hanging="432"/>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78" w:lineRule="exact"/>
        <w:rPr>
          <w:rFonts w:ascii="Arial" w:cs="Arial" w:eastAsia="Arial" w:hAnsi="Arial"/>
          <w:sz w:val="18"/>
          <w:szCs w:val="18"/>
          <w:color w:val="auto"/>
        </w:rPr>
      </w:pPr>
    </w:p>
    <w:p>
      <w:pPr>
        <w:ind w:left="1020" w:right="640" w:hanging="432"/>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57" w:lineRule="exact"/>
        <w:rPr>
          <w:sz w:val="20"/>
          <w:szCs w:val="20"/>
          <w:color w:val="auto"/>
        </w:rPr>
      </w:pPr>
    </w:p>
    <w:p>
      <w:pPr>
        <w:ind w:right="40" w:firstLine="594"/>
        <w:spacing w:after="0" w:line="287" w:lineRule="auto"/>
        <w:rPr>
          <w:sz w:val="20"/>
          <w:szCs w:val="20"/>
          <w:color w:val="auto"/>
        </w:rPr>
      </w:pPr>
      <w:r>
        <w:rPr>
          <w:rFonts w:ascii="Arial" w:cs="Arial" w:eastAsia="Arial" w:hAnsi="Arial"/>
          <w:sz w:val="16"/>
          <w:szCs w:val="16"/>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31" w:lineRule="exact"/>
        <w:rPr>
          <w:sz w:val="20"/>
          <w:szCs w:val="20"/>
          <w:color w:val="auto"/>
        </w:rPr>
      </w:pPr>
    </w:p>
    <w:p>
      <w:pPr>
        <w:ind w:firstLine="594"/>
        <w:spacing w:after="0" w:line="254" w:lineRule="auto"/>
        <w:rPr>
          <w:sz w:val="20"/>
          <w:szCs w:val="20"/>
          <w:color w:val="auto"/>
        </w:rPr>
      </w:pPr>
      <w:r>
        <w:rPr>
          <w:rFonts w:ascii="Arial" w:cs="Arial" w:eastAsia="Arial" w:hAnsi="Arial"/>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FDA regulation of our industry generally or our tests specifically could be disruptive to our business.</w:t>
      </w:r>
    </w:p>
    <w:p>
      <w:pPr>
        <w:spacing w:after="0" w:line="11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3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54"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46"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 developed COVID-19 IVD tests, which apply to test developers and authorized laboratories.</w:t>
      </w:r>
    </w:p>
    <w:p>
      <w:pPr>
        <w:spacing w:after="0" w:line="126"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The EUA for Bio-Rad’s SARS-CoV-2 Droplet Digital PCR™ test provides several conditions for authorized laboratories, including that the test result reports will include Fact Sheets that are authorized as part of the EUA, 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70" w:lineRule="exact"/>
        <w:rPr>
          <w:sz w:val="20"/>
          <w:szCs w:val="20"/>
          <w:color w:val="auto"/>
        </w:rPr>
      </w:pPr>
    </w:p>
    <w:p>
      <w:pPr>
        <w:ind w:left="1020" w:hanging="432"/>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test has been authorized only for the detection of nucleic acid from SARS-CoV-2, not for any other viruses or pathogens; and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left="1020" w:right="40" w:hanging="432"/>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43"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Other statements that appear in advertising and promotional materials must not represent or suggest that this test is safe or effective for the detection of SARS-CoV-2.</w:t>
      </w:r>
    </w:p>
    <w:p>
      <w:pPr>
        <w:spacing w:after="0" w:line="143"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76" w:lineRule="exact"/>
        <w:rPr>
          <w:sz w:val="20"/>
          <w:szCs w:val="20"/>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17" w:lineRule="exact"/>
        <w:rPr>
          <w:rFonts w:ascii="Arial" w:cs="Arial" w:eastAsia="Arial" w:hAnsi="Arial"/>
          <w:sz w:val="18"/>
          <w:szCs w:val="18"/>
          <w:color w:val="auto"/>
        </w:rPr>
      </w:pPr>
    </w:p>
    <w:p>
      <w:pPr>
        <w:ind w:left="1020" w:right="520" w:hanging="43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total antibodies, including IgM/IgG/IgA, against SARS-CoV-2, not for any other viruses or pathogens; and</w:t>
      </w:r>
    </w:p>
    <w:p>
      <w:pPr>
        <w:spacing w:after="0" w:line="62" w:lineRule="exact"/>
        <w:rPr>
          <w:rFonts w:ascii="Arial" w:cs="Arial" w:eastAsia="Arial" w:hAnsi="Arial"/>
          <w:sz w:val="18"/>
          <w:szCs w:val="18"/>
          <w:color w:val="auto"/>
        </w:rPr>
      </w:pPr>
    </w:p>
    <w:p>
      <w:pPr>
        <w:ind w:left="1020" w:right="40" w:hanging="432"/>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6" w:lineRule="exact"/>
        <w:rPr>
          <w:sz w:val="20"/>
          <w:szCs w:val="20"/>
          <w:color w:val="auto"/>
        </w:rPr>
      </w:pPr>
    </w:p>
    <w:p>
      <w:pPr>
        <w:ind w:right="20" w:firstLine="594"/>
        <w:spacing w:after="0" w:line="270" w:lineRule="auto"/>
        <w:rPr>
          <w:sz w:val="20"/>
          <w:szCs w:val="20"/>
          <w:color w:val="auto"/>
        </w:rPr>
      </w:pPr>
      <w:r>
        <w:rPr>
          <w:rFonts w:ascii="Arial" w:cs="Arial" w:eastAsia="Arial" w:hAnsi="Arial"/>
          <w:sz w:val="17"/>
          <w:szCs w:val="17"/>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 developed COVID-19 IVD tests, which apply to test developers and authorized laboratories.</w:t>
      </w:r>
    </w:p>
    <w:p>
      <w:pPr>
        <w:spacing w:after="0" w:line="140" w:lineRule="exact"/>
        <w:rPr>
          <w:sz w:val="20"/>
          <w:szCs w:val="20"/>
          <w:color w:val="auto"/>
        </w:rPr>
      </w:pPr>
    </w:p>
    <w:p>
      <w:pPr>
        <w:ind w:right="40" w:firstLine="594"/>
        <w:spacing w:after="0" w:line="291" w:lineRule="auto"/>
        <w:rPr>
          <w:sz w:val="20"/>
          <w:szCs w:val="20"/>
          <w:color w:val="auto"/>
        </w:rPr>
      </w:pPr>
      <w:r>
        <w:rPr>
          <w:rFonts w:ascii="Arial" w:cs="Arial" w:eastAsia="Arial" w:hAnsi="Arial"/>
          <w:sz w:val="16"/>
          <w:szCs w:val="16"/>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126" w:lineRule="exact"/>
        <w:rPr>
          <w:sz w:val="20"/>
          <w:szCs w:val="20"/>
          <w:color w:val="auto"/>
        </w:rPr>
      </w:pPr>
    </w:p>
    <w:p>
      <w:pPr>
        <w:ind w:right="20" w:firstLine="594"/>
        <w:spacing w:after="0" w:line="342" w:lineRule="auto"/>
        <w:rPr>
          <w:sz w:val="20"/>
          <w:szCs w:val="20"/>
          <w:color w:val="auto"/>
        </w:rPr>
      </w:pPr>
      <w:r>
        <w:rPr>
          <w:rFonts w:ascii="Arial" w:cs="Arial" w:eastAsia="Arial" w:hAnsi="Arial"/>
          <w:sz w:val="16"/>
          <w:szCs w:val="16"/>
          <w:color w:val="auto"/>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97" w:lineRule="exact"/>
        <w:rPr>
          <w:sz w:val="20"/>
          <w:szCs w:val="20"/>
          <w:color w:val="auto"/>
        </w:rPr>
      </w:pPr>
    </w:p>
    <w:p>
      <w:pPr>
        <w:ind w:right="20" w:firstLine="594"/>
        <w:spacing w:after="0" w:line="259"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right="40" w:firstLine="589"/>
        <w:spacing w:after="0" w:line="259" w:lineRule="auto"/>
        <w:rPr>
          <w:sz w:val="20"/>
          <w:szCs w:val="20"/>
          <w:color w:val="auto"/>
        </w:rPr>
      </w:pPr>
      <w:r>
        <w:rPr>
          <w:rFonts w:ascii="Arial" w:cs="Arial" w:eastAsia="Arial" w:hAnsi="Arial"/>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60"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24"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54"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Boulder, Colorado and De Soto, Kansas laboratories are College of American Pathologists (CAP)-accredited (Boulder) or COLA-accredited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 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1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62"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2" w:name="page73"/>
    <w:bookmarkEnd w:id="72"/>
    <w:p>
      <w:pPr>
        <w:ind w:right="140"/>
        <w:spacing w:after="0" w:line="277" w:lineRule="auto"/>
        <w:rPr>
          <w:sz w:val="20"/>
          <w:szCs w:val="20"/>
          <w:color w:val="auto"/>
        </w:rPr>
      </w:pPr>
      <w:r>
        <w:rPr>
          <w:rFonts w:ascii="Arial" w:cs="Arial" w:eastAsia="Arial" w:hAnsi="Arial"/>
          <w:sz w:val="18"/>
          <w:szCs w:val="18"/>
          <w:b w:val="1"/>
          <w:bCs w:val="1"/>
          <w:i w:val="1"/>
          <w:iCs w:val="1"/>
          <w:color w:val="auto"/>
        </w:rPr>
        <w:t>Our current line of diagnostic tests is covered under CLIA and CMS, although our COVID testing program and select partnerships we may enter may cause us to be subject to additional FDA requirements.</w:t>
      </w:r>
    </w:p>
    <w:p>
      <w:pPr>
        <w:spacing w:after="0" w:line="62" w:lineRule="exact"/>
        <w:rPr>
          <w:sz w:val="20"/>
          <w:szCs w:val="20"/>
          <w:color w:val="auto"/>
        </w:rPr>
      </w:pPr>
    </w:p>
    <w:p>
      <w:pPr>
        <w:jc w:val="both"/>
        <w:ind w:right="400" w:firstLine="589"/>
        <w:spacing w:after="0" w:line="286" w:lineRule="auto"/>
        <w:rPr>
          <w:sz w:val="20"/>
          <w:szCs w:val="20"/>
          <w:color w:val="auto"/>
        </w:rPr>
      </w:pPr>
      <w:r>
        <w:rPr>
          <w:rFonts w:ascii="Arial" w:cs="Arial" w:eastAsia="Arial" w:hAnsi="Arial"/>
          <w:sz w:val="17"/>
          <w:szCs w:val="17"/>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158" w:lineRule="exact"/>
        <w:rPr>
          <w:sz w:val="20"/>
          <w:szCs w:val="20"/>
          <w:color w:val="auto"/>
        </w:rPr>
      </w:pPr>
    </w:p>
    <w:p>
      <w:pPr>
        <w:ind w:right="20" w:firstLine="589"/>
        <w:spacing w:after="0" w:line="327" w:lineRule="auto"/>
        <w:rPr>
          <w:sz w:val="20"/>
          <w:szCs w:val="20"/>
          <w:color w:val="auto"/>
        </w:rPr>
      </w:pPr>
      <w:r>
        <w:rPr>
          <w:rFonts w:ascii="Arial" w:cs="Arial" w:eastAsia="Arial" w:hAnsi="Arial"/>
          <w:sz w:val="15"/>
          <w:szCs w:val="15"/>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99"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30"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2" w:lineRule="exact"/>
        <w:rPr>
          <w:sz w:val="20"/>
          <w:szCs w:val="20"/>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test design, development, manufacture, and release;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1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post-marketing surveillance, including reporting of deaths or serious injuries and recalls and correction and removals;</w:t>
      </w:r>
    </w:p>
    <w:p>
      <w:pPr>
        <w:spacing w:after="0" w:line="117" w:lineRule="exact"/>
        <w:rPr>
          <w:sz w:val="20"/>
          <w:szCs w:val="20"/>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98"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60" w:firstLine="589"/>
        <w:spacing w:after="0" w:line="270" w:lineRule="auto"/>
        <w:rPr>
          <w:sz w:val="20"/>
          <w:szCs w:val="20"/>
          <w:color w:val="auto"/>
        </w:rPr>
      </w:pPr>
      <w:r>
        <w:rPr>
          <w:rFonts w:ascii="Arial" w:cs="Arial" w:eastAsia="Arial" w:hAnsi="Arial"/>
          <w:sz w:val="17"/>
          <w:szCs w:val="17"/>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54"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43"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54"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510(k), de-novo or PMA process can be expensive, lengthy and unpredictable. The FDA can delay, limit, or deny clearance or approval of a device for many reasons, including:</w:t>
      </w:r>
    </w:p>
    <w:p>
      <w:pPr>
        <w:spacing w:after="0" w:line="62" w:lineRule="exact"/>
        <w:rPr>
          <w:sz w:val="20"/>
          <w:szCs w:val="20"/>
          <w:color w:val="auto"/>
        </w:rPr>
      </w:pPr>
    </w:p>
    <w:p>
      <w:pPr>
        <w:ind w:left="1020" w:right="720" w:hanging="432"/>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conformity assessment body that the diagnostic tests are safe or effective for their proposed intended uses;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disagreement of the FDA with the design or implementation of our clinical trials or the interpretation of data from clinical trials;</w:t>
      </w:r>
    </w:p>
    <w:p>
      <w:pPr>
        <w:spacing w:after="0" w:line="128" w:lineRule="exact"/>
        <w:rPr>
          <w:rFonts w:ascii="Arial" w:cs="Arial" w:eastAsia="Arial" w:hAnsi="Arial"/>
          <w:sz w:val="17"/>
          <w:szCs w:val="17"/>
          <w:color w:val="auto"/>
        </w:rPr>
      </w:pPr>
    </w:p>
    <w:p>
      <w:pPr>
        <w:ind w:left="1020" w:hanging="432"/>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1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data from our clinical trials may be insufficient to support clearance or approval, where required;</w:t>
      </w:r>
    </w:p>
    <w:p>
      <w:pPr>
        <w:spacing w:after="0" w:line="117" w:lineRule="exact"/>
        <w:rPr>
          <w:sz w:val="20"/>
          <w:szCs w:val="20"/>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17" w:lineRule="exact"/>
        <w:rPr>
          <w:rFonts w:ascii="Arial" w:cs="Arial" w:eastAsia="Arial" w:hAnsi="Arial"/>
          <w:sz w:val="18"/>
          <w:szCs w:val="18"/>
          <w:color w:val="auto"/>
        </w:rPr>
      </w:pPr>
    </w:p>
    <w:p>
      <w:pPr>
        <w:ind w:left="1020" w:right="520" w:hanging="432"/>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43"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2" w:lineRule="exact"/>
        <w:rPr>
          <w:sz w:val="20"/>
          <w:szCs w:val="20"/>
          <w:color w:val="auto"/>
        </w:rPr>
      </w:pPr>
    </w:p>
    <w:p>
      <w:pPr>
        <w:ind w:left="1020" w:hanging="432"/>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140" w:lineRule="exact"/>
        <w:rPr>
          <w:rFonts w:ascii="Arial" w:cs="Arial" w:eastAsia="Arial" w:hAnsi="Arial"/>
          <w:sz w:val="16"/>
          <w:szCs w:val="16"/>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diagnostic tests;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17" w:lineRule="exact"/>
        <w:rPr>
          <w:rFonts w:ascii="Arial" w:cs="Arial" w:eastAsia="Arial" w:hAnsi="Arial"/>
          <w:sz w:val="18"/>
          <w:szCs w:val="18"/>
          <w:color w:val="auto"/>
        </w:rPr>
      </w:pPr>
    </w:p>
    <w:p>
      <w:pPr>
        <w:ind w:left="1020" w:right="120" w:hanging="432"/>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premarket approval of new diagnostic tests or services, new intended uses, or modifications to existing diagnostic tests or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74" w:name="page75"/>
    <w:bookmarkEnd w:id="74"/>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regulatory clearance or premarket approvals that have already been granted;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As discussed above, we believe that our current line of diagnostic tests and their components are LDTs, subject to state licensing requirements and federal regulation by CMS under CLIA, although our COVID-19 testing program and select partnerships we may enter may cause us to be subject to additional FDA regulations discussed above.</w:t>
      </w:r>
    </w:p>
    <w:p>
      <w:pPr>
        <w:spacing w:after="0" w:line="15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 to be Class</w:t>
      </w:r>
    </w:p>
    <w:p>
      <w:pPr>
        <w:spacing w:after="0" w:line="2" w:lineRule="exact"/>
        <w:rPr>
          <w:sz w:val="20"/>
          <w:szCs w:val="20"/>
          <w:color w:val="auto"/>
        </w:rPr>
      </w:pPr>
    </w:p>
    <w:p>
      <w:pPr>
        <w:ind w:right="160" w:firstLine="8"/>
        <w:spacing w:after="0" w:line="255" w:lineRule="auto"/>
        <w:tabs>
          <w:tab w:leader="none" w:pos="2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9"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4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success of any new diagnostic test or enhancement to an existing diagnostic test will depend on a number of factors, including our ability to, among others:</w:t>
      </w:r>
    </w:p>
    <w:p>
      <w:pPr>
        <w:spacing w:after="0" w:line="62" w:lineRule="exact"/>
        <w:rPr>
          <w:sz w:val="20"/>
          <w:szCs w:val="20"/>
          <w:color w:val="auto"/>
        </w:rPr>
      </w:pPr>
    </w:p>
    <w:p>
      <w:pPr>
        <w:ind w:left="1020" w:hanging="43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1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develop and introduce new diagnostic tests or enhancements to our existing diagnostic tests in a timely manner;</w:t>
      </w:r>
    </w:p>
    <w:p>
      <w:pPr>
        <w:spacing w:after="0" w:line="117" w:lineRule="exact"/>
        <w:rPr>
          <w:sz w:val="20"/>
          <w:szCs w:val="20"/>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avoid infringing upon, misappropriating, or violating the intellectual property rights of third parties;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diagnostic tests with data from clinical studies;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obtain the necessary regulatory clearances or approvals or certifications for new diagnostic tests or enhancements to existing diagnostic tests;</w:t>
      </w:r>
    </w:p>
    <w:p>
      <w:pPr>
        <w:spacing w:after="0" w:line="140" w:lineRule="exact"/>
        <w:rPr>
          <w:rFonts w:ascii="Arial" w:cs="Arial" w:eastAsia="Arial" w:hAnsi="Arial"/>
          <w:sz w:val="16"/>
          <w:szCs w:val="16"/>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diagnostic tests or modified diagnostic tests;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diagnostic tests.</w:t>
      </w:r>
    </w:p>
    <w:p>
      <w:pPr>
        <w:spacing w:after="0" w:line="185"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57"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ind w:right="80"/>
        <w:spacing w:after="0" w:line="277" w:lineRule="auto"/>
        <w:rPr>
          <w:sz w:val="20"/>
          <w:szCs w:val="20"/>
          <w:color w:val="auto"/>
        </w:rPr>
      </w:pPr>
      <w:r>
        <w:rPr>
          <w:rFonts w:ascii="Arial" w:cs="Arial" w:eastAsia="Arial" w:hAnsi="Arial"/>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62" w:lineRule="exact"/>
        <w:rPr>
          <w:sz w:val="20"/>
          <w:szCs w:val="20"/>
          <w:color w:val="auto"/>
        </w:rPr>
      </w:pPr>
    </w:p>
    <w:p>
      <w:pPr>
        <w:ind w:right="140" w:firstLine="589"/>
        <w:spacing w:after="0" w:line="289" w:lineRule="auto"/>
        <w:rPr>
          <w:sz w:val="20"/>
          <w:szCs w:val="20"/>
          <w:color w:val="auto"/>
        </w:rPr>
      </w:pPr>
      <w:r>
        <w:rPr>
          <w:rFonts w:ascii="Arial" w:cs="Arial" w:eastAsia="Arial" w:hAnsi="Arial"/>
          <w:sz w:val="16"/>
          <w:szCs w:val="16"/>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26"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178"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spacing w:after="0" w:line="1"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60" w:lineRule="exact"/>
        <w:rPr>
          <w:sz w:val="20"/>
          <w:szCs w:val="20"/>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recall, detention, or seizure of our diagnostic tests;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of new diagnostic tests or modified versions of current diagnostic tests;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revocation of EUAs that have been authorized previously;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refusal to grant export approval for our diagnostic tests;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80" w:firstLine="589"/>
        <w:spacing w:after="0" w:line="311" w:lineRule="auto"/>
        <w:rPr>
          <w:sz w:val="20"/>
          <w:szCs w:val="20"/>
          <w:color w:val="auto"/>
        </w:rPr>
      </w:pPr>
      <w:r>
        <w:rPr>
          <w:rFonts w:ascii="Arial" w:cs="Arial" w:eastAsia="Arial" w:hAnsi="Arial"/>
          <w:sz w:val="16"/>
          <w:szCs w:val="16"/>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2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diagnostic tests and services may in the future be subject to product recalls that could harm our reputation, business and financial results.</w:t>
      </w:r>
    </w:p>
    <w:p>
      <w:pPr>
        <w:spacing w:after="0" w:line="140"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16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38" w:lineRule="exact"/>
        <w:rPr>
          <w:sz w:val="20"/>
          <w:szCs w:val="20"/>
          <w:color w:val="auto"/>
        </w:rPr>
      </w:pPr>
    </w:p>
    <w:p>
      <w:pPr>
        <w:ind w:right="220" w:firstLine="589"/>
        <w:spacing w:after="0" w:line="301"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46"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77" w:name="page78"/>
    <w:bookmarkEnd w:id="77"/>
    <w:p>
      <w:pPr>
        <w:ind w:right="260"/>
        <w:spacing w:after="0" w:line="311" w:lineRule="auto"/>
        <w:rPr>
          <w:sz w:val="20"/>
          <w:szCs w:val="20"/>
          <w:color w:val="auto"/>
        </w:rPr>
      </w:pPr>
      <w:r>
        <w:rPr>
          <w:rFonts w:ascii="Arial" w:cs="Arial" w:eastAsia="Arial" w:hAnsi="Arial"/>
          <w:sz w:val="16"/>
          <w:szCs w:val="16"/>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41" w:lineRule="exact"/>
        <w:rPr>
          <w:sz w:val="20"/>
          <w:szCs w:val="20"/>
          <w:color w:val="auto"/>
        </w:rPr>
      </w:pPr>
    </w:p>
    <w:p>
      <w:pPr>
        <w:jc w:val="both"/>
        <w:ind w:right="320" w:firstLine="589"/>
        <w:spacing w:after="0" w:line="259" w:lineRule="auto"/>
        <w:rPr>
          <w:sz w:val="20"/>
          <w:szCs w:val="20"/>
          <w:color w:val="auto"/>
        </w:rPr>
      </w:pPr>
      <w:r>
        <w:rPr>
          <w:rFonts w:ascii="Arial" w:cs="Arial" w:eastAsia="Arial" w:hAnsi="Arial"/>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4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39"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7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76" w:lineRule="exact"/>
        <w:rPr>
          <w:sz w:val="20"/>
          <w:szCs w:val="20"/>
          <w:color w:val="auto"/>
        </w:rPr>
      </w:pPr>
    </w:p>
    <w:p>
      <w:pPr>
        <w:ind w:firstLine="589"/>
        <w:spacing w:after="0" w:line="313" w:lineRule="auto"/>
        <w:rPr>
          <w:sz w:val="20"/>
          <w:szCs w:val="20"/>
          <w:color w:val="auto"/>
        </w:rPr>
      </w:pPr>
      <w:r>
        <w:rPr>
          <w:rFonts w:ascii="Arial" w:cs="Arial" w:eastAsia="Arial" w:hAnsi="Arial"/>
          <w:sz w:val="15"/>
          <w:szCs w:val="15"/>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53"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23"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8" w:name="page79"/>
    <w:bookmarkEnd w:id="78"/>
    <w:p>
      <w:pPr>
        <w:ind w:right="20"/>
        <w:spacing w:after="0" w:line="271" w:lineRule="auto"/>
        <w:rPr>
          <w:sz w:val="20"/>
          <w:szCs w:val="20"/>
          <w:color w:val="auto"/>
        </w:rPr>
      </w:pPr>
      <w:r>
        <w:rPr>
          <w:rFonts w:ascii="Arial" w:cs="Arial" w:eastAsia="Arial" w:hAnsi="Arial"/>
          <w:sz w:val="17"/>
          <w:szCs w:val="17"/>
          <w:color w:val="auto"/>
        </w:rPr>
        <w:t>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38"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60"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the California Privacy Rights Act (the CPRA). That passed in November 2020. The CPRA will impose additional data protection obligations on companies doing business in California, including additional consumer rights, including regarding certain uses of sensitive data. It also creates a new California data protection agency 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 even prevent us from providing certain offerings in jurisdictions in which we currently operate and in which we may operate in the future.</w:t>
      </w:r>
    </w:p>
    <w:p>
      <w:pPr>
        <w:spacing w:after="0" w:line="13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ind w:right="80" w:firstLine="589"/>
        <w:spacing w:after="0" w:line="273" w:lineRule="auto"/>
        <w:rPr>
          <w:sz w:val="20"/>
          <w:szCs w:val="20"/>
          <w:color w:val="auto"/>
        </w:rPr>
      </w:pPr>
      <w:r>
        <w:rPr>
          <w:rFonts w:ascii="Arial" w:cs="Arial" w:eastAsia="Arial" w:hAnsi="Arial"/>
          <w:sz w:val="17"/>
          <w:szCs w:val="17"/>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5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24"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43" w:lineRule="exact"/>
        <w:rPr>
          <w:sz w:val="20"/>
          <w:szCs w:val="20"/>
          <w:color w:val="auto"/>
        </w:rPr>
      </w:pPr>
    </w:p>
    <w:p>
      <w:pPr>
        <w:ind w:right="160" w:firstLine="589"/>
        <w:spacing w:after="0" w:line="320" w:lineRule="auto"/>
        <w:rPr>
          <w:sz w:val="20"/>
          <w:szCs w:val="20"/>
          <w:color w:val="auto"/>
        </w:rPr>
      </w:pPr>
      <w:r>
        <w:rPr>
          <w:rFonts w:ascii="Arial" w:cs="Arial" w:eastAsia="Arial" w:hAnsi="Arial"/>
          <w:sz w:val="15"/>
          <w:szCs w:val="15"/>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19"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46"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HIPPA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0" w:name="page81"/>
    <w:bookmarkEnd w:id="80"/>
    <w:p>
      <w:pPr>
        <w:ind w:right="20" w:firstLine="589"/>
        <w:spacing w:after="0" w:line="277" w:lineRule="auto"/>
        <w:rPr>
          <w:sz w:val="20"/>
          <w:szCs w:val="20"/>
          <w:color w:val="auto"/>
        </w:rPr>
      </w:pPr>
      <w:r>
        <w:rPr>
          <w:rFonts w:ascii="Arial" w:cs="Arial" w:eastAsia="Arial" w:hAnsi="Arial"/>
          <w:sz w:val="18"/>
          <w:szCs w:val="18"/>
          <w:color w:val="auto"/>
        </w:rPr>
        <w:t>Complying with these various laws and regulations could cause us to incur substantial costs or require us to change our business practices, systems and compliance procedures in a manner adverse to our business.</w:t>
      </w:r>
    </w:p>
    <w:p>
      <w:pPr>
        <w:spacing w:after="0" w:line="143"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may eventually operate in a number of countries outside of the United States whose laws, including data privacy laws, may in some cases be more stringent than the requirements in the United States. For example, EU and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13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Certain of our processing activities are subject to the EU General Data Protection Regulation and the UK General Data Protection Regulation (collectively, the “GDPR”) – including, those involving pseudonymised / key-coded data - 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 engaged to process personal data on the instructions of the controller, and (vii) apply enhanced protections to health data and other special categories of personal data.</w:t>
      </w:r>
    </w:p>
    <w:p>
      <w:pPr>
        <w:spacing w:after="0" w:line="154"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spacing w:after="0" w:line="157"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38"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The GDPR also prohibits the transfer of personal data from the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The CJEU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w:t>
      </w:r>
    </w:p>
    <w:p>
      <w:pPr>
        <w:spacing w:after="0" w:line="140"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81" w:name="page82"/>
    <w:bookmarkEnd w:id="81"/>
    <w:p>
      <w:pPr>
        <w:ind w:right="20" w:firstLine="589"/>
        <w:spacing w:after="0" w:line="270"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1"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2"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76" w:lineRule="exact"/>
        <w:rPr>
          <w:sz w:val="20"/>
          <w:szCs w:val="20"/>
          <w:color w:val="auto"/>
        </w:rPr>
      </w:pPr>
    </w:p>
    <w:p>
      <w:pPr>
        <w:ind w:left="1020" w:hanging="432"/>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FDA regulations, including those laws requiring the reporting of true, complete, and accurate information to the FDA authorities;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198"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37"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6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2" w:name="page83"/>
    <w:bookmarkEnd w:id="82"/>
    <w:p>
      <w:pPr>
        <w:spacing w:after="0" w:line="257" w:lineRule="auto"/>
        <w:rPr>
          <w:sz w:val="20"/>
          <w:szCs w:val="20"/>
          <w:color w:val="auto"/>
        </w:rPr>
      </w:pPr>
      <w:r>
        <w:rPr>
          <w:rFonts w:ascii="Arial" w:cs="Arial" w:eastAsia="Arial" w:hAnsi="Arial"/>
          <w:sz w:val="18"/>
          <w:szCs w:val="18"/>
          <w:color w:val="auto"/>
        </w:rPr>
        <w:t>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4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60"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4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3" w:name="page84"/>
    <w:bookmarkEnd w:id="83"/>
    <w:p>
      <w:pPr>
        <w:ind w:right="520"/>
        <w:spacing w:after="0" w:line="308" w:lineRule="auto"/>
        <w:rPr>
          <w:sz w:val="20"/>
          <w:szCs w:val="20"/>
          <w:color w:val="auto"/>
        </w:rPr>
      </w:pPr>
      <w:r>
        <w:rPr>
          <w:rFonts w:ascii="Arial" w:cs="Arial" w:eastAsia="Arial" w:hAnsi="Arial"/>
          <w:sz w:val="17"/>
          <w:szCs w:val="17"/>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38"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63" w:lineRule="exact"/>
        <w:rPr>
          <w:sz w:val="20"/>
          <w:szCs w:val="20"/>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117"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85" w:lineRule="exact"/>
        <w:rPr>
          <w:sz w:val="20"/>
          <w:szCs w:val="20"/>
          <w:color w:val="auto"/>
        </w:rPr>
      </w:pPr>
    </w:p>
    <w:p>
      <w:pPr>
        <w:jc w:val="both"/>
        <w:ind w:right="300" w:firstLine="589"/>
        <w:spacing w:after="0" w:line="311" w:lineRule="auto"/>
        <w:rPr>
          <w:sz w:val="20"/>
          <w:szCs w:val="20"/>
          <w:color w:val="auto"/>
        </w:rPr>
      </w:pPr>
      <w:r>
        <w:rPr>
          <w:rFonts w:ascii="Arial" w:cs="Arial" w:eastAsia="Arial" w:hAnsi="Arial"/>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2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38"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62"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4" w:name="page85"/>
    <w:bookmarkEnd w:id="84"/>
    <w:p>
      <w:pPr>
        <w:ind w:right="220" w:firstLine="589"/>
        <w:spacing w:after="0" w:line="301" w:lineRule="auto"/>
        <w:rPr>
          <w:sz w:val="20"/>
          <w:szCs w:val="20"/>
          <w:color w:val="auto"/>
        </w:rPr>
      </w:pPr>
      <w:r>
        <w:rPr>
          <w:rFonts w:ascii="Arial" w:cs="Arial" w:eastAsia="Arial" w:hAnsi="Arial"/>
          <w:sz w:val="16"/>
          <w:szCs w:val="16"/>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30"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impaired if we are unable to obtain, maintain and protect our intellectual property rights.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79" w:lineRule="exact"/>
        <w:rPr>
          <w:sz w:val="20"/>
          <w:szCs w:val="20"/>
          <w:color w:val="auto"/>
        </w:rPr>
      </w:pPr>
    </w:p>
    <w:p>
      <w:pPr>
        <w:ind w:left="1020" w:right="520" w:hanging="432"/>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prevent our competitors from duplicating our diagnostic tests and products, including our COVID-19 testing program and Nodify XL2, Nodify CDT, GeneStrat and VeriStrat tests;</w:t>
      </w:r>
    </w:p>
    <w:p>
      <w:pPr>
        <w:spacing w:after="0" w:line="62" w:lineRule="exact"/>
        <w:rPr>
          <w:rFonts w:ascii="Arial" w:cs="Arial" w:eastAsia="Arial" w:hAnsi="Arial"/>
          <w:sz w:val="18"/>
          <w:szCs w:val="18"/>
          <w:color w:val="auto"/>
        </w:rPr>
      </w:pPr>
    </w:p>
    <w:p>
      <w:pPr>
        <w:ind w:left="1020" w:right="280" w:hanging="432"/>
        <w:spacing w:after="0" w:line="342"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15" w:lineRule="exact"/>
        <w:rPr>
          <w:rFonts w:ascii="Arial" w:cs="Arial" w:eastAsia="Arial" w:hAnsi="Arial"/>
          <w:sz w:val="16"/>
          <w:szCs w:val="16"/>
          <w:color w:val="auto"/>
        </w:rPr>
      </w:pPr>
    </w:p>
    <w:p>
      <w:pPr>
        <w:ind w:left="1020" w:hanging="432"/>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allow us to gain or maintain a competitive advantage.</w:t>
      </w:r>
    </w:p>
    <w:p>
      <w:pPr>
        <w:spacing w:after="0" w:line="185" w:lineRule="exact"/>
        <w:rPr>
          <w:sz w:val="20"/>
          <w:szCs w:val="20"/>
          <w:color w:val="auto"/>
        </w:rPr>
      </w:pPr>
    </w:p>
    <w:p>
      <w:pPr>
        <w:ind w:firstLine="594"/>
        <w:spacing w:after="0" w:line="254"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54" w:lineRule="exact"/>
        <w:rPr>
          <w:sz w:val="20"/>
          <w:szCs w:val="20"/>
          <w:color w:val="auto"/>
        </w:rPr>
      </w:pPr>
    </w:p>
    <w:p>
      <w:pPr>
        <w:ind w:right="140" w:firstLine="594"/>
        <w:spacing w:after="0" w:line="272" w:lineRule="auto"/>
        <w:rPr>
          <w:sz w:val="20"/>
          <w:szCs w:val="20"/>
          <w:color w:val="auto"/>
        </w:rPr>
      </w:pPr>
      <w:r>
        <w:rPr>
          <w:rFonts w:ascii="Arial" w:cs="Arial" w:eastAsia="Arial" w:hAnsi="Arial"/>
          <w:sz w:val="17"/>
          <w:szCs w:val="17"/>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50" w:lineRule="exact"/>
        <w:rPr>
          <w:sz w:val="20"/>
          <w:szCs w:val="20"/>
          <w:color w:val="auto"/>
        </w:rPr>
      </w:pPr>
    </w:p>
    <w:p>
      <w:pPr>
        <w:ind w:right="100" w:firstLine="594"/>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5" w:name="page86"/>
    <w:bookmarkEnd w:id="85"/>
    <w:p>
      <w:pPr>
        <w:ind w:firstLine="589"/>
        <w:spacing w:after="0" w:line="285"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49"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40"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86" w:name="page87"/>
    <w:bookmarkEnd w:id="86"/>
    <w:p>
      <w:pPr>
        <w:ind w:right="40" w:firstLine="589"/>
        <w:spacing w:after="0" w:line="287"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45"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2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7" w:name="page88"/>
    <w:bookmarkEnd w:id="87"/>
    <w:p>
      <w:pPr>
        <w:jc w:val="both"/>
        <w:ind w:right="60" w:firstLine="589"/>
        <w:spacing w:after="0" w:line="263" w:lineRule="auto"/>
        <w:rPr>
          <w:sz w:val="20"/>
          <w:szCs w:val="20"/>
          <w:color w:val="auto"/>
        </w:rPr>
      </w:pPr>
      <w:r>
        <w:rPr>
          <w:rFonts w:ascii="Arial" w:cs="Arial" w:eastAsia="Arial" w:hAnsi="Arial"/>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157" w:lineRule="exact"/>
        <w:rPr>
          <w:sz w:val="20"/>
          <w:szCs w:val="20"/>
          <w:color w:val="auto"/>
        </w:rPr>
      </w:pPr>
    </w:p>
    <w:p>
      <w:pPr>
        <w:jc w:val="both"/>
        <w:ind w:right="140" w:firstLine="589"/>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62" w:lineRule="exact"/>
        <w:rPr>
          <w:sz w:val="20"/>
          <w:szCs w:val="20"/>
          <w:color w:val="auto"/>
        </w:rPr>
      </w:pPr>
    </w:p>
    <w:p>
      <w:pPr>
        <w:ind w:right="100" w:firstLine="589"/>
        <w:spacing w:after="0" w:line="268"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46"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8" w:name="page89"/>
    <w:bookmarkEnd w:id="88"/>
    <w:p>
      <w:pPr>
        <w:ind w:right="320" w:firstLine="589"/>
        <w:spacing w:after="0" w:line="290" w:lineRule="auto"/>
        <w:rPr>
          <w:sz w:val="20"/>
          <w:szCs w:val="20"/>
          <w:color w:val="auto"/>
        </w:rPr>
      </w:pPr>
      <w:r>
        <w:rPr>
          <w:rFonts w:ascii="Arial" w:cs="Arial" w:eastAsia="Arial" w:hAnsi="Arial"/>
          <w:sz w:val="16"/>
          <w:szCs w:val="16"/>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38"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62"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28"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89" w:name="page90"/>
    <w:bookmarkEnd w:id="89"/>
    <w:p>
      <w:pPr>
        <w:ind w:right="80" w:firstLine="589"/>
        <w:spacing w:after="0" w:line="289"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38"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121" w:lineRule="exact"/>
        <w:rPr>
          <w:sz w:val="20"/>
          <w:szCs w:val="20"/>
          <w:color w:val="auto"/>
        </w:rPr>
      </w:pPr>
    </w:p>
    <w:p>
      <w:pPr>
        <w:ind w:right="100" w:firstLine="589"/>
        <w:spacing w:after="0" w:line="270" w:lineRule="auto"/>
        <w:rPr>
          <w:sz w:val="20"/>
          <w:szCs w:val="20"/>
          <w:color w:val="auto"/>
        </w:rPr>
      </w:pPr>
      <w:r>
        <w:rPr>
          <w:rFonts w:ascii="Arial" w:cs="Arial" w:eastAsia="Arial" w:hAnsi="Arial"/>
          <w:sz w:val="17"/>
          <w:szCs w:val="17"/>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1"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0" w:name="page91"/>
    <w:bookmarkEnd w:id="90"/>
    <w:p>
      <w:pPr>
        <w:ind w:firstLine="589"/>
        <w:spacing w:after="0" w:line="291" w:lineRule="auto"/>
        <w:rPr>
          <w:sz w:val="20"/>
          <w:szCs w:val="20"/>
          <w:color w:val="auto"/>
        </w:rPr>
      </w:pPr>
      <w:r>
        <w:rPr>
          <w:rFonts w:ascii="Arial" w:cs="Arial" w:eastAsia="Arial" w:hAnsi="Arial"/>
          <w:sz w:val="16"/>
          <w:szCs w:val="16"/>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39"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45"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3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priority or inventorship of our patents and other intellectual property rights.</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37"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1" w:name="page92"/>
    <w:bookmarkEnd w:id="91"/>
    <w:p>
      <w:pPr>
        <w:ind w:right="100"/>
        <w:spacing w:after="0" w:line="259" w:lineRule="auto"/>
        <w:rPr>
          <w:sz w:val="20"/>
          <w:szCs w:val="20"/>
          <w:color w:val="auto"/>
        </w:rPr>
      </w:pPr>
      <w:r>
        <w:rPr>
          <w:rFonts w:ascii="Arial" w:cs="Arial" w:eastAsia="Arial" w:hAnsi="Arial"/>
          <w:sz w:val="18"/>
          <w:szCs w:val="18"/>
          <w:color w:val="auto"/>
        </w:rPr>
        <w:t>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62"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post-grant review or interference. Additionally, if we and our licensing partners initiate or become involved in legal proceedings against a</w:t>
      </w:r>
      <w:r>
        <w:rPr>
          <w:rFonts w:ascii="Arial" w:cs="Arial" w:eastAsia="Arial" w:hAnsi="Arial"/>
          <w:sz w:val="16"/>
          <w:szCs w:val="16"/>
          <w:i w:val="1"/>
          <w:iCs w:val="1"/>
          <w:color w:val="auto"/>
        </w:rPr>
        <w:t xml:space="preserve"> </w:t>
      </w:r>
      <w:r>
        <w:rPr>
          <w:rFonts w:ascii="Arial" w:cs="Arial" w:eastAsia="Arial" w:hAnsi="Arial"/>
          <w:sz w:val="16"/>
          <w:szCs w:val="16"/>
          <w:color w:val="auto"/>
        </w:rPr>
        <w:t>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47"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3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We may not be aware of all third-party intellectual property rights potentially relating to our current or future diagnostic tests, products or services.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92" w:name="page93"/>
    <w:bookmarkEnd w:id="92"/>
    <w:p>
      <w:pPr>
        <w:ind w:right="20" w:firstLine="589"/>
        <w:spacing w:after="0" w:line="272" w:lineRule="auto"/>
        <w:rPr>
          <w:sz w:val="20"/>
          <w:szCs w:val="20"/>
          <w:color w:val="auto"/>
        </w:rPr>
      </w:pPr>
      <w:r>
        <w:rPr>
          <w:rFonts w:ascii="Arial" w:cs="Arial" w:eastAsia="Arial" w:hAnsi="Arial"/>
          <w:sz w:val="17"/>
          <w:szCs w:val="17"/>
          <w:color w:val="auto"/>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62" w:lineRule="exact"/>
        <w:rPr>
          <w:sz w:val="20"/>
          <w:szCs w:val="20"/>
          <w:color w:val="auto"/>
        </w:rPr>
      </w:pPr>
    </w:p>
    <w:p>
      <w:pPr>
        <w:ind w:right="280" w:firstLine="589"/>
        <w:spacing w:after="0" w:line="259" w:lineRule="auto"/>
        <w:rPr>
          <w:sz w:val="20"/>
          <w:szCs w:val="20"/>
          <w:color w:val="auto"/>
        </w:rPr>
      </w:pPr>
      <w:r>
        <w:rPr>
          <w:rFonts w:ascii="Arial" w:cs="Arial" w:eastAsia="Arial" w:hAnsi="Arial"/>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60" w:lineRule="exact"/>
        <w:rPr>
          <w:sz w:val="20"/>
          <w:szCs w:val="20"/>
          <w:color w:val="auto"/>
        </w:rPr>
      </w:pPr>
    </w:p>
    <w:p>
      <w:pPr>
        <w:ind w:right="80" w:firstLine="589"/>
        <w:spacing w:after="0" w:line="311" w:lineRule="auto"/>
        <w:rPr>
          <w:sz w:val="20"/>
          <w:szCs w:val="20"/>
          <w:color w:val="auto"/>
        </w:rPr>
      </w:pPr>
      <w:r>
        <w:rPr>
          <w:rFonts w:ascii="Arial" w:cs="Arial" w:eastAsia="Arial" w:hAnsi="Arial"/>
          <w:sz w:val="16"/>
          <w:szCs w:val="16"/>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08"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52" w:lineRule="exact"/>
        <w:rPr>
          <w:sz w:val="20"/>
          <w:szCs w:val="20"/>
          <w:color w:val="auto"/>
        </w:rPr>
      </w:pPr>
    </w:p>
    <w:p>
      <w:pPr>
        <w:ind w:right="220" w:firstLine="589"/>
        <w:spacing w:after="0" w:line="273"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5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52"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Any of the foregoing could have a material adverse effect on our competitive position, business, financial conditions,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3" w:name="page94"/>
    <w:bookmarkEnd w:id="93"/>
    <w:p>
      <w:pPr>
        <w:ind w:right="720" w:firstLine="589"/>
        <w:spacing w:after="0" w:line="277" w:lineRule="auto"/>
        <w:rPr>
          <w:sz w:val="20"/>
          <w:szCs w:val="20"/>
          <w:color w:val="auto"/>
        </w:rPr>
      </w:pPr>
      <w:r>
        <w:rPr>
          <w:rFonts w:ascii="Arial" w:cs="Arial" w:eastAsia="Arial" w:hAnsi="Arial"/>
          <w:sz w:val="18"/>
          <w:szCs w:val="18"/>
          <w:color w:val="auto"/>
        </w:rPr>
        <w:t>Moreover, disputes may also arise between us and our current or future licensors regarding intellectual property rights subject to a license agreement, including those relating to:</w:t>
      </w:r>
    </w:p>
    <w:p>
      <w:pPr>
        <w:spacing w:after="0" w:line="62" w:lineRule="exact"/>
        <w:rPr>
          <w:sz w:val="20"/>
          <w:szCs w:val="20"/>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right="14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17" w:lineRule="exact"/>
        <w:rPr>
          <w:rFonts w:ascii="Arial" w:cs="Arial" w:eastAsia="Arial" w:hAnsi="Arial"/>
          <w:sz w:val="18"/>
          <w:szCs w:val="18"/>
          <w:color w:val="auto"/>
        </w:rPr>
      </w:pPr>
    </w:p>
    <w:p>
      <w:pPr>
        <w:ind w:left="1020" w:right="50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20" w:right="420" w:hanging="432"/>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rights by our licensors and us and our collaborators; and</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we do not prevail in such disputes, we may lose any or all of our rights under such license agreements.</w:t>
      </w:r>
    </w:p>
    <w:p>
      <w:pPr>
        <w:spacing w:after="0" w:line="18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38"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188"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23"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4" w:name="page95"/>
    <w:bookmarkEnd w:id="94"/>
    <w:p>
      <w:pPr>
        <w:ind w:right="60"/>
        <w:spacing w:after="0" w:line="286" w:lineRule="auto"/>
        <w:rPr>
          <w:sz w:val="20"/>
          <w:szCs w:val="20"/>
          <w:color w:val="auto"/>
        </w:rPr>
      </w:pPr>
      <w:r>
        <w:rPr>
          <w:rFonts w:ascii="Arial" w:cs="Arial" w:eastAsia="Arial" w:hAnsi="Arial"/>
          <w:sz w:val="16"/>
          <w:szCs w:val="16"/>
          <w:color w:val="auto"/>
        </w:rPr>
        <w:t>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diagnostic tests, products and services for an adequate amount of time.</w:t>
      </w:r>
    </w:p>
    <w:p>
      <w:pPr>
        <w:spacing w:after="0" w:line="140"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43"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540" w:firstLine="589"/>
        <w:spacing w:after="0" w:line="263" w:lineRule="auto"/>
        <w:rPr>
          <w:sz w:val="20"/>
          <w:szCs w:val="20"/>
          <w:color w:val="auto"/>
        </w:rPr>
      </w:pPr>
      <w:r>
        <w:rPr>
          <w:rFonts w:ascii="Arial" w:cs="Arial" w:eastAsia="Arial" w:hAnsi="Arial"/>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5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5" w:name="page96"/>
    <w:bookmarkEnd w:id="95"/>
    <w:p>
      <w:pPr>
        <w:ind w:right="20" w:firstLine="58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20" w:hanging="432"/>
        <w:spacing w:after="0" w:line="259"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78" w:lineRule="exact"/>
        <w:rPr>
          <w:rFonts w:ascii="Arial" w:cs="Arial" w:eastAsia="Arial" w:hAnsi="Arial"/>
          <w:sz w:val="18"/>
          <w:szCs w:val="18"/>
          <w:color w:val="auto"/>
        </w:rPr>
      </w:pPr>
    </w:p>
    <w:p>
      <w:pPr>
        <w:ind w:left="1020" w:hanging="432"/>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or our current or future licensors or collaborators, might not have been the first to make the inventions covered by the applicable issued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patent or pending patent application that we own or license now or may own or license in the future;</w:t>
      </w:r>
    </w:p>
    <w:p>
      <w:pPr>
        <w:spacing w:after="0" w:line="103" w:lineRule="exact"/>
        <w:rPr>
          <w:sz w:val="20"/>
          <w:szCs w:val="20"/>
          <w:color w:val="auto"/>
        </w:rPr>
      </w:pPr>
    </w:p>
    <w:p>
      <w:pPr>
        <w:ind w:left="1020" w:right="180" w:hanging="432"/>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180" w:hanging="432"/>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it is possible that our current or future pending patent applications will not lead to issued patents;</w:t>
      </w:r>
    </w:p>
    <w:p>
      <w:pPr>
        <w:spacing w:after="0" w:line="117" w:lineRule="exact"/>
        <w:rPr>
          <w:sz w:val="20"/>
          <w:szCs w:val="20"/>
          <w:color w:val="auto"/>
        </w:rPr>
      </w:pPr>
    </w:p>
    <w:p>
      <w:pPr>
        <w:ind w:left="1020" w:right="20" w:hanging="432"/>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1020" w:right="160" w:hanging="432"/>
        <w:spacing w:after="0" w:line="263"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75" w:lineRule="exact"/>
        <w:rPr>
          <w:rFonts w:ascii="Arial" w:cs="Arial" w:eastAsia="Arial" w:hAnsi="Arial"/>
          <w:sz w:val="18"/>
          <w:szCs w:val="18"/>
          <w:color w:val="auto"/>
        </w:rPr>
      </w:pPr>
    </w:p>
    <w:p>
      <w:pPr>
        <w:ind w:left="1020" w:hanging="432"/>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rights.</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We completed our initial public offering in October 2020. Prior to that time, there had not been a public market for our common stock. An active trading market may not develop or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If we fail to satisfy the continued listing standards of the Nasdaq Global Market, we could be de-listed, which would negatively impact the price of our common stock.</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your shares at or above the price you paid for them.</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17" w:lineRule="exact"/>
        <w:rPr>
          <w:sz w:val="20"/>
          <w:szCs w:val="20"/>
          <w:color w:val="auto"/>
        </w:rPr>
      </w:pPr>
    </w:p>
    <w:p>
      <w:pPr>
        <w:ind w:left="1020" w:hanging="432"/>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volume and customer mix for our COVID-19, Nodify XL2, Nodify CDT, GeneStrat and VeriStrat testing;</w:t>
      </w:r>
    </w:p>
    <w:p>
      <w:pPr>
        <w:spacing w:after="0" w:line="117"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introduction of new diagnostic tests or enhancements to such tests by us or others in our industry;</w:t>
      </w:r>
    </w:p>
    <w:p>
      <w:pPr>
        <w:spacing w:after="0" w:line="117" w:lineRule="exact"/>
        <w:rPr>
          <w:sz w:val="20"/>
          <w:szCs w:val="20"/>
          <w:color w:val="auto"/>
        </w:rPr>
      </w:pPr>
    </w:p>
    <w:p>
      <w:pPr>
        <w:ind w:left="1020" w:hanging="432"/>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17" w:lineRule="exact"/>
        <w:rPr>
          <w:rFonts w:ascii="Arial" w:cs="Arial" w:eastAsia="Arial" w:hAnsi="Arial"/>
          <w:sz w:val="18"/>
          <w:szCs w:val="18"/>
          <w:color w:val="auto"/>
        </w:rPr>
      </w:pPr>
    </w:p>
    <w:p>
      <w:pPr>
        <w:ind w:left="1020" w:right="180" w:hanging="432"/>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or certification for, and market new and enhanced diagnostic tests on a timely basis;</w:t>
      </w:r>
    </w:p>
    <w:p>
      <w:pPr>
        <w:spacing w:after="0" w:line="62" w:lineRule="exact"/>
        <w:rPr>
          <w:rFonts w:ascii="Arial" w:cs="Arial" w:eastAsia="Arial" w:hAnsi="Arial"/>
          <w:sz w:val="18"/>
          <w:szCs w:val="18"/>
          <w:color w:val="auto"/>
        </w:rPr>
      </w:pPr>
    </w:p>
    <w:p>
      <w:pPr>
        <w:ind w:left="1020" w:hanging="432"/>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media exposure of our diagnostic tests or of those of others in our industry;</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17" w:lineRule="exact"/>
        <w:rPr>
          <w:rFonts w:ascii="Arial" w:cs="Arial" w:eastAsia="Arial" w:hAnsi="Arial"/>
          <w:sz w:val="18"/>
          <w:szCs w:val="18"/>
          <w:color w:val="auto"/>
        </w:rPr>
      </w:pPr>
    </w:p>
    <w:p>
      <w:pPr>
        <w:ind w:left="1020" w:right="380" w:hanging="432"/>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43"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spacing w:after="0" w:line="14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7" w:name="page98"/>
    <w:bookmarkEnd w:id="97"/>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54"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43"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2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the date on which we have issued, in any three-year period, more than $1.0 billion in non-convertible debt securities; and (iv) the last day of the fiscal year ending after the fifth anniversary of the completion of our initial public offering.</w:t>
      </w:r>
    </w:p>
    <w:p>
      <w:pPr>
        <w:spacing w:after="0" w:line="18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2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4"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380" w:firstLine="589"/>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w:t>
      </w:r>
    </w:p>
    <w:p>
      <w:pPr>
        <w:spacing w:after="0" w:line="83"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We have 26,561,504 outstanding shares of common stock based on the number of shares outstanding as of December 31, 2020. This includes the 4,000,000 shares that we sold in our initial public offering in October 2020, which may be resold in the public market immediately without restriction, unless purchased by our affiliates. Of the remaining shares, 22,561,504 shares are currently restricted as a result of securities laws or Section 107 of the JOBS Act provides that an “emerging growth company” can take advantage of the extended transition period provided in 180-day lock-up agreements but will be able to be sold after the offering. Moreover, holders of an aggregate of 20,090,745 shares of our common stock that were issued upon conversion of our convertible preferred stock have rights, subject to some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subject to volume limitations applicable to affiliates lock-up agreements.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2"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approximately 60.7%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62"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As a result of our initial public offering completed in October 2020, we expect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16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76"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ind w:right="20" w:firstLine="589"/>
        <w:spacing w:after="0" w:line="279" w:lineRule="auto"/>
        <w:rPr>
          <w:sz w:val="20"/>
          <w:szCs w:val="20"/>
          <w:color w:val="auto"/>
        </w:rPr>
      </w:pPr>
      <w:r>
        <w:rPr>
          <w:rFonts w:ascii="Arial" w:cs="Arial" w:eastAsia="Arial" w:hAnsi="Arial"/>
          <w:sz w:val="17"/>
          <w:szCs w:val="17"/>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63" w:lineRule="exact"/>
        <w:rPr>
          <w:sz w:val="20"/>
          <w:szCs w:val="20"/>
          <w:color w:val="auto"/>
        </w:rPr>
      </w:pPr>
    </w:p>
    <w:p>
      <w:pPr>
        <w:ind w:left="880" w:hanging="440"/>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221"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3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0" w:name="page101"/>
    <w:bookmarkEnd w:id="100"/>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130"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62" w:lineRule="exact"/>
        <w:rPr>
          <w:sz w:val="20"/>
          <w:szCs w:val="20"/>
          <w:color w:val="auto"/>
        </w:rPr>
      </w:pPr>
    </w:p>
    <w:p>
      <w:pPr>
        <w:ind w:left="1020" w:right="20" w:hanging="432"/>
        <w:spacing w:after="0" w:line="259"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78" w:lineRule="exact"/>
        <w:rPr>
          <w:rFonts w:ascii="Arial" w:cs="Arial" w:eastAsia="Arial" w:hAnsi="Arial"/>
          <w:sz w:val="18"/>
          <w:szCs w:val="18"/>
          <w:color w:val="auto"/>
        </w:rPr>
      </w:pPr>
    </w:p>
    <w:p>
      <w:pPr>
        <w:ind w:left="1020" w:hanging="432"/>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020" w:right="220" w:hanging="432"/>
        <w:spacing w:after="0" w:line="342"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20" w:right="600" w:hanging="432"/>
        <w:spacing w:after="0" w:line="342"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15" w:lineRule="exact"/>
        <w:rPr>
          <w:rFonts w:ascii="Arial" w:cs="Arial" w:eastAsia="Arial" w:hAnsi="Arial"/>
          <w:sz w:val="16"/>
          <w:szCs w:val="16"/>
          <w:color w:val="auto"/>
        </w:rPr>
      </w:pPr>
    </w:p>
    <w:p>
      <w:pPr>
        <w:ind w:left="1020" w:right="260" w:hanging="432"/>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articles of incorporation provisions to reduce our indemnification obligations to directors, officers, employees and agents.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Our headquarters is located in Boulder, Colorado, where we office and laboratory space, under a lease that expires in January 2023. We also lease laboratory space located in De Soto, Kansas, under a lease that expires in October 2023. A portion of our employees are located outside of Colorado 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3900" w:type="dxa"/>
            <w:vAlign w:val="bottom"/>
            <w:gridSpan w:val="3"/>
          </w:tcPr>
          <w:p>
            <w:pPr>
              <w:ind w:left="180"/>
              <w:spacing w:after="0"/>
              <w:rPr>
                <w:sz w:val="20"/>
                <w:szCs w:val="20"/>
                <w:color w:val="auto"/>
              </w:rPr>
            </w:pPr>
            <w:r>
              <w:rPr>
                <w:rFonts w:ascii="Arial" w:cs="Arial" w:eastAsia="Arial" w:hAnsi="Arial"/>
                <w:sz w:val="18"/>
                <w:szCs w:val="18"/>
                <w:b w:val="1"/>
                <w:bCs w:val="1"/>
                <w:color w:val="auto"/>
              </w:rPr>
              <w:t>Use</w:t>
            </w:r>
          </w:p>
        </w:tc>
        <w:tc>
          <w:tcPr>
            <w:tcW w:w="1980" w:type="dxa"/>
            <w:vAlign w:val="bottom"/>
            <w:gridSpan w:val="2"/>
          </w:tcPr>
          <w:p>
            <w:pPr>
              <w:ind w:left="360"/>
              <w:spacing w:after="0"/>
              <w:rPr>
                <w:sz w:val="20"/>
                <w:szCs w:val="20"/>
                <w:color w:val="auto"/>
              </w:rPr>
            </w:pPr>
            <w:r>
              <w:rPr>
                <w:rFonts w:ascii="Arial" w:cs="Arial" w:eastAsia="Arial" w:hAnsi="Arial"/>
                <w:sz w:val="18"/>
                <w:szCs w:val="18"/>
                <w:b w:val="1"/>
                <w:bCs w:val="1"/>
                <w:color w:val="auto"/>
              </w:rPr>
              <w:t>Square Feet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22"/>
        </w:trPr>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Boulder, Colorado</w:t>
            </w:r>
          </w:p>
        </w:tc>
        <w:tc>
          <w:tcPr>
            <w:tcW w:w="18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Office and laboratory</w:t>
            </w:r>
          </w:p>
        </w:tc>
        <w:tc>
          <w:tcPr>
            <w:tcW w:w="200" w:type="dxa"/>
            <w:vAlign w:val="bottom"/>
          </w:tcPr>
          <w:p>
            <w:pPr>
              <w:spacing w:after="0"/>
              <w:rPr>
                <w:sz w:val="19"/>
                <w:szCs w:val="19"/>
                <w:color w:val="auto"/>
              </w:rPr>
            </w:pPr>
          </w:p>
        </w:tc>
        <w:tc>
          <w:tcPr>
            <w:tcW w:w="17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29,722</w:t>
            </w:r>
          </w:p>
        </w:tc>
        <w:tc>
          <w:tcPr>
            <w:tcW w:w="20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January 14, 2023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 Soto, Kansas</w:t>
            </w:r>
          </w:p>
        </w:tc>
        <w:tc>
          <w:tcPr>
            <w:tcW w:w="3900" w:type="dxa"/>
            <w:vAlign w:val="bottom"/>
            <w:gridSpan w:val="3"/>
          </w:tcPr>
          <w:p>
            <w:pPr>
              <w:ind w:left="180"/>
              <w:spacing w:after="0"/>
              <w:rPr>
                <w:sz w:val="20"/>
                <w:szCs w:val="20"/>
                <w:color w:val="auto"/>
              </w:rPr>
            </w:pPr>
            <w:r>
              <w:rPr>
                <w:rFonts w:ascii="Arial" w:cs="Arial" w:eastAsia="Arial" w:hAnsi="Arial"/>
                <w:sz w:val="18"/>
                <w:szCs w:val="18"/>
                <w:color w:val="auto"/>
              </w:rPr>
              <w:t>Laboratory</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9,066</w:t>
            </w:r>
          </w:p>
        </w:tc>
        <w:tc>
          <w:tcPr>
            <w:tcW w:w="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October 31, 2023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0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Our common stock is traded on The NASDAQ Global Market under the symbol "BDSX." The high and low closing prices for our common stock on The NASDAQ Global Market for the period from October 28, 2020 (the date our common stock began trading following our initial public offering) to December 31, 2020 were $20.16 and $10.89,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12, 2021, there were approximately 172 holders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On October 28, 2020 we completed an initial public offering of our common stock. In connection with our initial public offering, we issued and sold 4,000,000 shares of common stock at a price to the public of $18.00 per share. As a result of the initial public offering, we received approximately $63.8 million in net proceeds, after deducting underwriting discounts and commissions of $5.0 million and offering expenses of approximately $3.2 million paid by us. The offering was completed in October 2020.</w:t>
      </w:r>
    </w:p>
    <w:p>
      <w:pPr>
        <w:spacing w:after="0" w:line="14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registered the shares under the Securities Act on a Registration Statement on Form S-1 (Registration No. 333-249260), which was filed on October 29, 2020 and declared effective on October 27, 2020. From the date of the initial closing of the initial public offering through December 31, 2020, we have used a portion of the net proceeds from the sale of these securities to fund our operations, to make capital expenditures, for working capital and for other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From January 1, 2019 through December 31, 2020, we granted stock options under our 2016 and 2006 Stock Plans to purchase 1.7 million shares of our common stock at exercise prices ranging from $0.77 to $6.83 per share, and issued an aggregate of 0.4 million shares of common stock pursuant to the exercise of stock options with aggregate proceeds of approximately $1.4 million. These issuances were undertaken in reliance upon an exemption from registration under Rule 701 of the Securities Act of 1933.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320" w:firstLine="589"/>
        <w:spacing w:after="0" w:line="29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audited financial statements and related notes and other financial information included elsewhere in this Annual Report on Form 10-K and our audited financial statements and notes thereto and the related Management’s Discussion and Analysis of Financial Condition and Results of Operations included in our final prospectus dated October 29, 2020 that forms a part of our Registration Statement on Form S-1 (File No. 333-249260), as filed with the Securities and Exchange Commission (SEC) pursuant to Rule 424(b) under the Securities Act of 1933, as amended (the “Securities Act”), on October 29, 2020 (Prospectus).</w:t>
      </w:r>
    </w:p>
    <w:p>
      <w:pPr>
        <w:spacing w:after="0" w:line="12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i w:val="1"/>
          <w:iCs w:val="1"/>
          <w:color w:val="auto"/>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Forward-looking statements are not guarantees of future performance and are subject to risks and uncertainties that could cause actual results and events to differ from those anticipated.</w:t>
      </w:r>
    </w:p>
    <w:p>
      <w:pPr>
        <w:spacing w:after="0" w:line="134"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i w:val="1"/>
          <w:iCs w:val="1"/>
          <w:color w:val="auto"/>
        </w:rPr>
        <w:t>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136"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to supplement the financial statements and the related notes in Part II - Item 8 of this Annual Report on Form10-K. We intend for this discussion to provide you with information that will assist you in understanding our financial statements, the changes in key items in those financial statements from year to year and the primary factors that accounted for those changes. Data for the years ended December 31, 2020 and 2019 has been derived from our audited financial statements included in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26"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ind w:firstLine="58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research and development initiatives.</w:t>
      </w:r>
    </w:p>
    <w:p>
      <w:pPr>
        <w:spacing w:after="0" w:line="165"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SARS-CoV- 2 ddPCR test was FDA EUA authorized on May 1, 2020, authorizing performance of the test in laboratories certified under Clinical Laboratory Improvement Amendments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141"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37"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5" w:name="page106"/>
    <w:bookmarkEnd w:id="105"/>
    <w:p>
      <w:pPr>
        <w:ind w:right="20" w:firstLine="58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5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Since our inception, we have performed over 285,000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4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17"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We have funded our operations to date principally from net proceeds from an initial public offering of our common stock, the sale of convertible preferred stock, revenue from diagnostic testing and services, and the incurrence of indebtedness. We had cash and cash equivalents of $62.1 million and $5.3 million as of December 31,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ind w:left="1020" w:right="40" w:hanging="432"/>
        <w:spacing w:after="0" w:line="289"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Testing volume and customer mix. </w:t>
      </w:r>
      <w:r>
        <w:rPr>
          <w:rFonts w:ascii="Arial" w:cs="Arial" w:eastAsia="Arial" w:hAnsi="Arial"/>
          <w:sz w:val="16"/>
          <w:szCs w:val="16"/>
          <w:color w:val="auto"/>
        </w:rPr>
        <w:t>Our revenues and costs are affected by the volume of testing and mix of customers from period to</w:t>
      </w:r>
      <w:r>
        <w:rPr>
          <w:rFonts w:ascii="Arial" w:cs="Arial" w:eastAsia="Arial" w:hAnsi="Arial"/>
          <w:sz w:val="16"/>
          <w:szCs w:val="16"/>
          <w:b w:val="1"/>
          <w:bCs w:val="1"/>
          <w:color w:val="auto"/>
        </w:rPr>
        <w:t xml:space="preserve"> </w:t>
      </w:r>
      <w:r>
        <w:rPr>
          <w:rFonts w:ascii="Arial" w:cs="Arial" w:eastAsia="Arial" w:hAnsi="Arial"/>
          <w:sz w:val="16"/>
          <w:szCs w:val="16"/>
          <w:color w:val="auto"/>
        </w:rPr>
        <w:t>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Our operating revenues and costs significantly increased during 2020 due to the expected increase in demand for COVID-19 testing.</w:t>
      </w:r>
    </w:p>
    <w:p>
      <w:pPr>
        <w:spacing w:after="0" w:line="52" w:lineRule="exact"/>
        <w:rPr>
          <w:rFonts w:ascii="Arial" w:cs="Arial" w:eastAsia="Arial" w:hAnsi="Arial"/>
          <w:sz w:val="16"/>
          <w:szCs w:val="16"/>
          <w:color w:val="auto"/>
        </w:rPr>
      </w:pPr>
    </w:p>
    <w:p>
      <w:pPr>
        <w:jc w:val="both"/>
        <w:ind w:left="1020" w:right="260" w:hanging="432"/>
        <w:spacing w:after="0" w:line="303" w:lineRule="auto"/>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Reimbursement for clinical diagnostic testing. </w:t>
      </w:r>
      <w:r>
        <w:rPr>
          <w:rFonts w:ascii="Arial" w:cs="Arial" w:eastAsia="Arial" w:hAnsi="Arial"/>
          <w:sz w:val="16"/>
          <w:szCs w:val="16"/>
          <w:color w:val="auto"/>
        </w:rPr>
        <w:t>Our revenue depends on achieving broad coverage and reimbursement for our tests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46" w:lineRule="exact"/>
        <w:rPr>
          <w:rFonts w:ascii="Arial" w:cs="Arial" w:eastAsia="Arial" w:hAnsi="Arial"/>
          <w:sz w:val="16"/>
          <w:szCs w:val="16"/>
          <w:color w:val="auto"/>
        </w:rPr>
      </w:pPr>
    </w:p>
    <w:p>
      <w:pPr>
        <w:ind w:left="1020"/>
        <w:spacing w:after="0" w:line="270" w:lineRule="auto"/>
        <w:rPr>
          <w:rFonts w:ascii="Arial" w:cs="Arial" w:eastAsia="Arial" w:hAnsi="Arial"/>
          <w:sz w:val="16"/>
          <w:szCs w:val="16"/>
          <w:color w:val="auto"/>
        </w:rPr>
      </w:pPr>
      <w:r>
        <w:rPr>
          <w:rFonts w:ascii="Arial" w:cs="Arial" w:eastAsia="Arial" w:hAnsi="Arial"/>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06" w:name="page107"/>
    <w:bookmarkEnd w:id="106"/>
    <w:p>
      <w:pPr>
        <w:ind w:left="1020" w:right="80" w:hanging="432"/>
        <w:spacing w:after="0" w:line="273" w:lineRule="auto"/>
        <w:tabs>
          <w:tab w:leader="none" w:pos="1020" w:val="left"/>
        </w:tabs>
        <w:numPr>
          <w:ilvl w:val="1"/>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67" w:lineRule="exact"/>
        <w:rPr>
          <w:rFonts w:ascii="Arial" w:cs="Arial" w:eastAsia="Arial" w:hAnsi="Arial"/>
          <w:sz w:val="17"/>
          <w:szCs w:val="17"/>
          <w:color w:val="auto"/>
        </w:rPr>
      </w:pPr>
    </w:p>
    <w:p>
      <w:pPr>
        <w:ind w:left="1020" w:right="20"/>
        <w:spacing w:after="0" w:line="279" w:lineRule="auto"/>
        <w:rPr>
          <w:rFonts w:ascii="Arial" w:cs="Arial" w:eastAsia="Arial" w:hAnsi="Arial"/>
          <w:sz w:val="17"/>
          <w:szCs w:val="17"/>
          <w:color w:val="auto"/>
        </w:rPr>
      </w:pPr>
      <w:r>
        <w:rPr>
          <w:rFonts w:ascii="Arial" w:cs="Arial" w:eastAsia="Arial" w:hAnsi="Arial"/>
          <w:sz w:val="17"/>
          <w:szCs w:val="17"/>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59" w:lineRule="exact"/>
        <w:rPr>
          <w:rFonts w:ascii="Arial" w:cs="Arial" w:eastAsia="Arial" w:hAnsi="Arial"/>
          <w:sz w:val="17"/>
          <w:szCs w:val="17"/>
          <w:color w:val="auto"/>
        </w:rPr>
      </w:pPr>
    </w:p>
    <w:p>
      <w:pPr>
        <w:ind w:left="980" w:right="20" w:hanging="432"/>
        <w:spacing w:after="0" w:line="271"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Ability to attract new biopharmaceutical customers and maintain and expand relationships with existing customers</w:t>
      </w:r>
      <w:r>
        <w:rPr>
          <w:rFonts w:ascii="Arial" w:cs="Arial" w:eastAsia="Arial" w:hAnsi="Arial"/>
          <w:sz w:val="17"/>
          <w:szCs w:val="17"/>
          <w:color w:val="auto"/>
        </w:rPr>
        <w:t>.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65" w:lineRule="exact"/>
        <w:rPr>
          <w:rFonts w:ascii="Arial" w:cs="Arial" w:eastAsia="Arial" w:hAnsi="Arial"/>
          <w:sz w:val="17"/>
          <w:szCs w:val="17"/>
          <w:color w:val="auto"/>
        </w:rPr>
      </w:pPr>
    </w:p>
    <w:p>
      <w:pPr>
        <w:ind w:left="980" w:hanging="432"/>
        <w:spacing w:after="0" w:line="272"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Motivating and expanding our field sales force and customer support team</w:t>
      </w:r>
      <w:r>
        <w:rPr>
          <w:rFonts w:ascii="Arial" w:cs="Arial" w:eastAsia="Arial" w:hAnsi="Arial"/>
          <w:sz w:val="17"/>
          <w:szCs w:val="17"/>
          <w:color w:val="auto"/>
        </w:rPr>
        <w:t>. Our field sales force is the primary point of contact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setting. These representatives of the company must cover expansive geographic regions which limits their time for interaction and education of our products in the clinical setting. As a result of the successful capital raise associated with our initial public offering,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we increase testing volume for our COVID-19 testing program, we plan to hire additional project support members to assist us in managing testing capacity.</w:t>
      </w:r>
    </w:p>
    <w:p>
      <w:pPr>
        <w:spacing w:after="0" w:line="135"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Part II, Item 1A. “Risk Factors”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COVID-19 pandemic has disrupted, and we expect will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to help slow the spread of COVID-19 in the coming months, including complying with government directives and guidelines as they are modified and supplemented.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7" w:name="page108"/>
    <w:bookmarkEnd w:id="107"/>
    <w:p>
      <w:pPr>
        <w:ind w:right="60" w:firstLine="589"/>
        <w:spacing w:after="0" w:line="254" w:lineRule="auto"/>
        <w:rPr>
          <w:sz w:val="20"/>
          <w:szCs w:val="20"/>
          <w:color w:val="auto"/>
        </w:rPr>
      </w:pPr>
      <w:r>
        <w:rPr>
          <w:rFonts w:ascii="Arial" w:cs="Arial" w:eastAsia="Arial" w:hAnsi="Arial"/>
          <w:sz w:val="18"/>
          <w:szCs w:val="18"/>
          <w:color w:val="auto"/>
        </w:rPr>
        <w:t>The COVID-19 pandemic negatively affected, and we expect will continue to negatively affect, our lung diagnostic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received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65"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Conversely, we are also experiencing a substantial increase in revenues related to an increase in the demand for our Biodesix WorkSafe testing program, our COVID-19 testing program. We expect that our costs to expand capacity for COVID-19 testing will increase for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acquiring herd immunity based on previous natural infection, and the availability and rapid distribution of vaccines, the evolution of variant strains that impact diagnostic test performance, or otherwise, the need for a COVID-19 test could decrease significantly and this could have an adverse effect on our results of operations and profitability. As a result, the increase in revenue due to any increase in demand for these diagnostic tests may not be indicative of our future revenue. See Part II., Item 1A. “Risk Factors” for a description of how the COVID-19 pandemic may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and Operational Highlights</w:t>
      </w:r>
    </w:p>
    <w:p>
      <w:pPr>
        <w:spacing w:after="0" w:line="121"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Our fiscal year corresponds to a calendar year. The Company generated record revenue in fiscal 2020 of $45.6 million, representing an increase of 86%, of which $27.0 million was associated with the three-month period ended December 31, 2020.</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were significant developments affecting our business, capital structure and liquidity during the year ended December 31, 2020:</w:t>
      </w:r>
    </w:p>
    <w:p>
      <w:pPr>
        <w:spacing w:after="0" w:line="129" w:lineRule="exact"/>
        <w:rPr>
          <w:sz w:val="20"/>
          <w:szCs w:val="20"/>
          <w:color w:val="auto"/>
        </w:rPr>
      </w:pPr>
    </w:p>
    <w:p>
      <w:pPr>
        <w:ind w:left="1020" w:right="500" w:hanging="432"/>
        <w:spacing w:after="0" w:line="259"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October 2020 we completed our initial public offering, in which we sold 4.0 million shares of common stock for an offering price of $18.00 per common share. The successful offering enabled the Company to raise approximately $63.8 million in net proceeds, after deducting offering costs, underwriting discounts and commissions, providing significant cash resources to fund the Company’s growth strategy and working capital and general corporate purposes;</w:t>
      </w:r>
    </w:p>
    <w:p>
      <w:pPr>
        <w:spacing w:after="0" w:line="78" w:lineRule="exact"/>
        <w:rPr>
          <w:rFonts w:ascii="Arial" w:cs="Arial" w:eastAsia="Arial" w:hAnsi="Arial"/>
          <w:sz w:val="18"/>
          <w:szCs w:val="18"/>
          <w:color w:val="auto"/>
        </w:rPr>
      </w:pPr>
    </w:p>
    <w:p>
      <w:pPr>
        <w:ind w:left="1020" w:right="60" w:hanging="432"/>
        <w:spacing w:after="0" w:line="263"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December 31, 2020, we held cash and cash equivalents of $62.1 million, an increase of $56.8 million as compared to December 31, 2019. Our December 31, 2020 cash and cash equivalent balance includes a reduction for a prepayment of approximately $7 million for three years of premiums for the Company’s directors and officer (D&amp;O) liability insurance coverage;</w:t>
      </w:r>
    </w:p>
    <w:p>
      <w:pPr>
        <w:spacing w:after="0" w:line="75" w:lineRule="exact"/>
        <w:rPr>
          <w:rFonts w:ascii="Arial" w:cs="Arial" w:eastAsia="Arial" w:hAnsi="Arial"/>
          <w:sz w:val="18"/>
          <w:szCs w:val="18"/>
          <w:color w:val="auto"/>
        </w:rPr>
      </w:pPr>
    </w:p>
    <w:p>
      <w:pPr>
        <w:ind w:left="1020" w:hanging="432"/>
        <w:spacing w:after="0" w:line="286" w:lineRule="auto"/>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Initiated biomarker study to affirm Nodify XL2® test’s importance in clinical decision making (ALTITUDE). The first-in-class biomarker study is aligned with the recommendations from the official 2018 American Thoracic Society (ATS) policy statement of the early detection of lung cancer. Dr. Gerard A. Silvestri of Medical University of South Carolina named Principal Investigator;</w:t>
      </w:r>
    </w:p>
    <w:p>
      <w:pPr>
        <w:spacing w:after="0" w:line="57" w:lineRule="exact"/>
        <w:rPr>
          <w:rFonts w:ascii="Arial" w:cs="Arial" w:eastAsia="Arial" w:hAnsi="Arial"/>
          <w:sz w:val="17"/>
          <w:szCs w:val="17"/>
          <w:color w:val="auto"/>
        </w:rPr>
      </w:pPr>
    </w:p>
    <w:p>
      <w:pPr>
        <w:ind w:left="1020" w:right="280" w:hanging="432"/>
        <w:spacing w:after="0" w:line="308" w:lineRule="auto"/>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Announced results of study showing the Company’s proprietary blood collection device (BCD) collects, separates, and transports blood at ambient temperature to simplify specimen collection and transport while maintaining accuracy of diagnostic test results;</w:t>
      </w:r>
    </w:p>
    <w:p>
      <w:pPr>
        <w:spacing w:after="0" w:line="38" w:lineRule="exact"/>
        <w:rPr>
          <w:rFonts w:ascii="Arial" w:cs="Arial" w:eastAsia="Arial" w:hAnsi="Arial"/>
          <w:sz w:val="17"/>
          <w:szCs w:val="17"/>
          <w:color w:val="auto"/>
        </w:rPr>
      </w:pPr>
    </w:p>
    <w:p>
      <w:pPr>
        <w:ind w:left="1020" w:right="120" w:hanging="432"/>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Partnered with major public and private institutions, including the BIG 10 athletic conference, Purdue University, Colorado State University and the State of Colorado to support COVID-19 testing.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360" w:firstLine="589"/>
        <w:spacing w:after="0" w:line="259"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lung diagnostics testing and (ii) COVID-19 testing.</w:t>
      </w:r>
    </w:p>
    <w:p>
      <w:pPr>
        <w:spacing w:after="0" w:line="143"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ind w:right="100" w:firstLine="589"/>
        <w:spacing w:after="0" w:line="287" w:lineRule="auto"/>
        <w:rPr>
          <w:sz w:val="20"/>
          <w:szCs w:val="20"/>
          <w:color w:val="auto"/>
        </w:rPr>
      </w:pPr>
      <w:r>
        <w:rPr>
          <w:rFonts w:ascii="Arial" w:cs="Arial" w:eastAsia="Arial" w:hAnsi="Arial"/>
          <w:sz w:val="16"/>
          <w:szCs w:val="16"/>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145" w:lineRule="exact"/>
        <w:rPr>
          <w:sz w:val="20"/>
          <w:szCs w:val="20"/>
          <w:color w:val="auto"/>
        </w:rPr>
      </w:pPr>
    </w:p>
    <w:p>
      <w:pPr>
        <w:ind w:right="300" w:firstLine="589"/>
        <w:spacing w:after="0" w:line="342" w:lineRule="auto"/>
        <w:rPr>
          <w:sz w:val="20"/>
          <w:szCs w:val="20"/>
          <w:color w:val="auto"/>
        </w:rPr>
      </w:pPr>
      <w:r>
        <w:rPr>
          <w:rFonts w:ascii="Arial" w:cs="Arial" w:eastAsia="Arial" w:hAnsi="Arial"/>
          <w:sz w:val="16"/>
          <w:szCs w:val="16"/>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ind w:right="240" w:firstLine="589"/>
        <w:spacing w:after="0" w:line="277" w:lineRule="auto"/>
        <w:rPr>
          <w:sz w:val="20"/>
          <w:szCs w:val="20"/>
          <w:color w:val="auto"/>
        </w:rPr>
      </w:pPr>
      <w:r>
        <w:rPr>
          <w:rFonts w:ascii="Arial" w:cs="Arial" w:eastAsia="Arial" w:hAnsi="Arial"/>
          <w:sz w:val="18"/>
          <w:szCs w:val="18"/>
          <w:color w:val="auto"/>
        </w:rPr>
        <w:t>Cost of services includes costs incurred for the performance of development services requested by our customers. Costs of development services will vary depending on the nature, timing and scope of customer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161"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13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143"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57"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13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connection with the purchase transaction of Integrated Diagnostics, Inc. (Indi), we recorded contingent consideration pertaining to the amounts potentially payable to Indi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a product gross margin target, the estimated timing in which the gross margin target is achieved, and discount rates. The estimated fair value could materially differ from actual values or fair values determined using different assumptions.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7"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Interest expense consists of cash and non-cash interest from our term loan, payroll protection program loan, and convertible debt. Our convertible debt, along with the related accrued interest, was automatically converted to 1,848,280 shares of our common stock upon completion of our initial public offering in October 2020. Principal payments for our term loan are scheduled to begin in March 2021. Interest income consists of income earned on our cash and cash equivalents. Our interest income has increased primarily as a result of investment of the net proceeds from our recent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the significant components of our results of operations for the periods presented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Year Ended December,</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45,557</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24,552</w:t>
            </w:r>
          </w:p>
        </w:tc>
        <w:tc>
          <w:tcPr>
            <w:tcW w:w="1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21,005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Direct costs and expenses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21,998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15,924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262</w:t>
            </w: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Sales, marketing, general and administrative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34,857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30,637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68,491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51,293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17,198</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(22,934)</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153</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1,104</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Change in fair value of put option liability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Other income, net</w:t>
            </w:r>
          </w:p>
        </w:tc>
        <w:tc>
          <w:tcPr>
            <w:tcW w:w="1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other expense</w:t>
            </w:r>
          </w:p>
        </w:tc>
        <w:tc>
          <w:tcPr>
            <w:tcW w:w="1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63"/>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(31,350)</w:t>
            </w:r>
          </w:p>
        </w:tc>
        <w:tc>
          <w:tcPr>
            <w:tcW w:w="14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(30,726)</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We generate revenue from our diagnostic tests and services that we provide. Our revenues for the periods indicated were as follows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Year Ended December,</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0"/>
                <w:szCs w:val="20"/>
                <w:color w:val="auto"/>
              </w:rPr>
            </w:pPr>
          </w:p>
        </w:tc>
      </w:tr>
      <w:tr>
        <w:trPr>
          <w:trHeight w:val="223"/>
        </w:trPr>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2"/>
        </w:trPr>
        <w:tc>
          <w:tcPr>
            <w:tcW w:w="3440" w:type="dxa"/>
            <w:vAlign w:val="bottom"/>
          </w:tcPr>
          <w:p>
            <w:pPr>
              <w:jc w:val="right"/>
              <w:ind w:right="1950"/>
              <w:spacing w:after="0"/>
              <w:rPr>
                <w:sz w:val="20"/>
                <w:szCs w:val="20"/>
                <w:color w:val="auto"/>
              </w:rPr>
            </w:pPr>
            <w:r>
              <w:rPr>
                <w:rFonts w:ascii="Arial" w:cs="Arial" w:eastAsia="Arial" w:hAnsi="Arial"/>
                <w:sz w:val="18"/>
                <w:szCs w:val="18"/>
                <w:color w:val="auto"/>
                <w:w w:val="89"/>
              </w:rPr>
              <w:t>Diagnostic revenue</w:t>
            </w:r>
          </w:p>
        </w:tc>
        <w:tc>
          <w:tcPr>
            <w:tcW w:w="2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40,919</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17,315</w:t>
            </w:r>
          </w:p>
        </w:tc>
        <w:tc>
          <w:tcPr>
            <w:tcW w:w="1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23,604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3440" w:type="dxa"/>
            <w:vAlign w:val="bottom"/>
          </w:tcPr>
          <w:p>
            <w:pPr>
              <w:jc w:val="right"/>
              <w:ind w:right="2110"/>
              <w:spacing w:after="0"/>
              <w:rPr>
                <w:sz w:val="20"/>
                <w:szCs w:val="20"/>
                <w:color w:val="auto"/>
              </w:rPr>
            </w:pPr>
            <w:r>
              <w:rPr>
                <w:rFonts w:ascii="Arial" w:cs="Arial" w:eastAsia="Arial" w:hAnsi="Arial"/>
                <w:sz w:val="18"/>
                <w:szCs w:val="18"/>
                <w:color w:val="auto"/>
                <w:w w:val="87"/>
              </w:rPr>
              <w:t>Services revenue</w:t>
            </w:r>
          </w:p>
        </w:tc>
        <w:tc>
          <w:tcPr>
            <w:tcW w:w="2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3440" w:type="dxa"/>
            <w:vAlign w:val="bottom"/>
          </w:tcPr>
          <w:p>
            <w:pPr>
              <w:jc w:val="right"/>
              <w:ind w:right="2110"/>
              <w:spacing w:after="0"/>
              <w:rPr>
                <w:sz w:val="20"/>
                <w:szCs w:val="20"/>
                <w:color w:val="auto"/>
              </w:rPr>
            </w:pPr>
            <w:r>
              <w:rPr>
                <w:rFonts w:ascii="Arial" w:cs="Arial" w:eastAsia="Arial" w:hAnsi="Arial"/>
                <w:sz w:val="18"/>
                <w:szCs w:val="18"/>
                <w:color w:val="auto"/>
              </w:rPr>
              <w:t>Total revenue</w:t>
            </w:r>
          </w:p>
        </w:tc>
        <w:tc>
          <w:tcPr>
            <w:tcW w:w="2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45,557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24,552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21,005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29"/>
        </w:trPr>
        <w:tc>
          <w:tcPr>
            <w:tcW w:w="3440" w:type="dxa"/>
            <w:vAlign w:val="bottom"/>
          </w:tcPr>
          <w:p>
            <w:pPr>
              <w:spacing w:after="0"/>
              <w:rPr>
                <w:sz w:val="24"/>
                <w:szCs w:val="24"/>
                <w:color w:val="auto"/>
              </w:rPr>
            </w:pPr>
          </w:p>
        </w:tc>
        <w:tc>
          <w:tcPr>
            <w:tcW w:w="2540" w:type="dxa"/>
            <w:vAlign w:val="bottom"/>
            <w:gridSpan w:val="2"/>
          </w:tcPr>
          <w:p>
            <w:pPr>
              <w:jc w:val="right"/>
              <w:ind w:right="130"/>
              <w:spacing w:after="0"/>
              <w:rPr>
                <w:sz w:val="20"/>
                <w:szCs w:val="20"/>
                <w:color w:val="auto"/>
              </w:rPr>
            </w:pPr>
            <w:r>
              <w:rPr>
                <w:rFonts w:ascii="Arial" w:cs="Arial" w:eastAsia="Arial" w:hAnsi="Arial"/>
                <w:sz w:val="18"/>
                <w:szCs w:val="18"/>
                <w:color w:val="auto"/>
              </w:rPr>
              <w:t>109</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1" w:name="page112"/>
    <w:bookmarkEnd w:id="111"/>
    <w:p>
      <w:pPr>
        <w:ind w:right="300" w:firstLine="589"/>
        <w:spacing w:after="0" w:line="277" w:lineRule="auto"/>
        <w:rPr>
          <w:sz w:val="20"/>
          <w:szCs w:val="20"/>
          <w:color w:val="auto"/>
        </w:rPr>
      </w:pPr>
      <w:r>
        <w:rPr>
          <w:rFonts w:ascii="Arial" w:cs="Arial" w:eastAsia="Arial" w:hAnsi="Arial"/>
          <w:sz w:val="18"/>
          <w:szCs w:val="18"/>
          <w:color w:val="auto"/>
        </w:rPr>
        <w:t>Total revenue was $45.6 million for the year ended December 31, 2020 as compared to $24.6 million for the year ended December 31, 2019, an increase of $21.0 million, or 86%.</w:t>
      </w:r>
    </w:p>
    <w:p>
      <w:pPr>
        <w:spacing w:after="0" w:line="130"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Diagnostic test revenue increased to $40.9 million for the year ended December 31, 2020, as compared to $17.3 million for year ended December 31, 2019, an increase of $23.6 million or 136%. This increase was primarily attributable to the deployment of COVID-19 testing which generated $28.3 million of revenue and was partially offset by a decline in our lung diagnostic test volumes, which declined by $4.7 million or 27% as health care practitioners, including pulmonologists, were increasingly diverted to pandemic-related care. In addition, the Company sales efforts continued to be impacted by the reduction in travel and other COVID-19 pandemic related restrictions.</w:t>
      </w:r>
    </w:p>
    <w:p>
      <w:pPr>
        <w:spacing w:after="0" w:line="161"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Services revenue decreased to $4.6 million for the year ended December 31, 2020 compared to $7.2 million for the prior year ended December 31, 2019, a decrease of $2.6 million or 36%, due primarily to a reduction in business development activities which was negatively impacted by the COVID-19 pandemic similar to the reduction we experienced in our lung diagnostic testing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Expenses</w:t>
      </w:r>
    </w:p>
    <w:p>
      <w:pPr>
        <w:spacing w:after="0" w:line="121"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Direct costs and expenses related to revenue were $22.0 million for the year ended December 31, 2020 compared to $6.1 million for the prior year ended December 31, 2019, an increase of $16.0 million or 262%. The increase in direct costs and expenses were primarily driven by costs associated with the delivery of our COVID-19 tests as well as the release of our Nodify CDT test, offset in part by decreases costs related to our remaining lung diagnostic test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Research and development expenses were relatively consistent year over year with $10.8 million for the year ended December 31, 2020 as compared to $10.5 million for the prior year ended December 31, 2019, an increase of $0.3 million, or 3%. The overall increase in cost was attributable to an increase in internal costs primarily associated with variable compensation tied to fiscal 2020 performance measures slightly offset by a decrease in external costs.</w:t>
      </w:r>
    </w:p>
    <w:p>
      <w:pPr>
        <w:spacing w:after="0" w:line="146" w:lineRule="exact"/>
        <w:rPr>
          <w:sz w:val="20"/>
          <w:szCs w:val="20"/>
          <w:color w:val="auto"/>
        </w:rPr>
      </w:pPr>
    </w:p>
    <w:p>
      <w:pPr>
        <w:ind w:right="960" w:firstLine="589"/>
        <w:spacing w:after="0" w:line="277" w:lineRule="auto"/>
        <w:rPr>
          <w:sz w:val="20"/>
          <w:szCs w:val="20"/>
          <w:color w:val="auto"/>
        </w:rPr>
      </w:pPr>
      <w:r>
        <w:rPr>
          <w:rFonts w:ascii="Arial" w:cs="Arial" w:eastAsia="Arial" w:hAnsi="Arial"/>
          <w:sz w:val="18"/>
          <w:szCs w:val="18"/>
          <w:color w:val="auto"/>
        </w:rPr>
        <w:t>The following table summarizes our external and internal costs for the years ended December 31, 2020 and 2019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Year Ended December,</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External expenses: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Clinical trials and associated costs</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2,487</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2,141</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Other external costs</w:t>
            </w:r>
          </w:p>
        </w:tc>
        <w:tc>
          <w:tcPr>
            <w:tcW w:w="1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3,784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Total external costs</w:t>
            </w: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5,925</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Internal expenses</w:t>
            </w: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5,508</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10,818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10,468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General and Administrative</w:t>
      </w:r>
    </w:p>
    <w:p>
      <w:pPr>
        <w:spacing w:after="0" w:line="12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Sales, marketing, general and administrative expenses were $34.9 million for the year ended December 31, 2020 compared to $30.6 million for the prior year ended December 31, 2019, an increase of $4.2 million, or 14%, as a result of variable compensation tied to fiscal 2020 performance measures, including the Company’s bonus to equity program for senior executives offset by reductions in employee related costs associated with COVID-19 pandemic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Contingent Consideration</w:t>
      </w:r>
    </w:p>
    <w:p>
      <w:pPr>
        <w:spacing w:after="0" w:line="121" w:lineRule="exact"/>
        <w:rPr>
          <w:sz w:val="20"/>
          <w:szCs w:val="20"/>
          <w:color w:val="auto"/>
        </w:rPr>
      </w:pPr>
    </w:p>
    <w:p>
      <w:pPr>
        <w:jc w:val="both"/>
        <w:ind w:right="380" w:firstLine="589"/>
        <w:spacing w:after="0" w:line="311" w:lineRule="auto"/>
        <w:rPr>
          <w:sz w:val="20"/>
          <w:szCs w:val="20"/>
          <w:color w:val="auto"/>
        </w:rPr>
      </w:pPr>
      <w:r>
        <w:rPr>
          <w:rFonts w:ascii="Arial" w:cs="Arial" w:eastAsia="Arial" w:hAnsi="Arial"/>
          <w:sz w:val="16"/>
          <w:szCs w:val="16"/>
          <w:color w:val="auto"/>
        </w:rPr>
        <w:t>Change in fair value of contingent consideration was $0.8 million for the year ended December 31, 2020 compared to $4.1 million for the year ended December 31, 2019, a net decrease of $3.3 million or 80%. The amounts recorded for change in fair value reflect the passage of time, as well as estimates regarding the period in which targets that trigger the payment of contingent consideration will be achieved and subsequently paid.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Interest expense was $7.6 million for the year ended December 31, 2020 compared to $3.0 million for the year ended December 31, 2019, an increase of $4.6 million, or 153%. This increase was due to the addition of interest expense related to convertible notes issued to certain shareholders from August 2019 through March 2020, including the non-cash interest expense of $4.4 million associated with the full amortization of debt discount resulting from the conversion discounts included in the convertible note terms, interest on our existing term loan, and interest on our payroll protection plan loan. Cash and non-cash interest expense for the twelve-month period ended December 31, 2020 was $1.8 million and $5.8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Liability</w:t>
      </w:r>
    </w:p>
    <w:p>
      <w:pPr>
        <w:spacing w:after="0" w:line="121"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During the twelve-month period ended December 31, 2020, we recognized a charge for the change in estimated fair value of our warrant liability related to warrants issued in connection with our Series G preferred stock of $1.3 million, compared to a charge of $0.1 million during fiscal year 2019, a change of $1.2 million. Effective with the closing of our initial public offering in October 2020, the warrants to purchase Series G preferred stock were automatically converted to warrants to acquire common stock and the carrying value of the warrants of $1.6 million were reclassified to additional paid-in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Put Option Liability</w:t>
      </w:r>
    </w:p>
    <w:p>
      <w:pPr>
        <w:spacing w:after="0" w:line="121" w:lineRule="exact"/>
        <w:rPr>
          <w:sz w:val="20"/>
          <w:szCs w:val="20"/>
          <w:color w:val="auto"/>
        </w:rPr>
      </w:pPr>
    </w:p>
    <w:p>
      <w:pPr>
        <w:ind w:right="340" w:firstLine="589"/>
        <w:spacing w:after="0" w:line="286" w:lineRule="auto"/>
        <w:rPr>
          <w:sz w:val="20"/>
          <w:szCs w:val="20"/>
          <w:color w:val="auto"/>
        </w:rPr>
      </w:pPr>
      <w:r>
        <w:rPr>
          <w:rFonts w:ascii="Arial" w:cs="Arial" w:eastAsia="Arial" w:hAnsi="Arial"/>
          <w:sz w:val="16"/>
          <w:szCs w:val="16"/>
          <w:color w:val="auto"/>
        </w:rPr>
        <w:t>During 2019, we issued $13.0 million in convertible debt with terms that provided conversion rate discounts to the note holders in certain situations, including upon the completion of an initial public offering. The conversion discounts created a put option liability that was accounted for separately from the convertible debt instrument and reflected as a liability in our balance sheet. Subsequent to the initial measurement of the put option liability, changes in the estimated fair value will be reflected as other income or expense in the statement of operations. During 2019, we recorded a</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 million increase in the fair value of the put option liability as other expense due to the increase in the conversion discount rate provided to note holders resulting from an amendment to terms of the convertible debt issued in August and September 2019. There were no changes to the fair value of the put option liability that was recorded during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income, net, during fiscal 2020 and fiscal 2019 was income of $0.4 million and $1.1 million, respectively, a decrease of $0.7 million or 61%.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due primarily to proceeds from a non-recurring legal settlement received in fiscal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are an emerging growth company and, as such, have yet to generate positive cash flow from operations. We have funded our operating activities primarily through financing activities, such as debt and equity offerings. In October 2020, we completed an initial public offering, resulting in net proceeds of approximately $63.8 million after deducting offering costs, underwriting discounts and commissions. As of December 31, 2020 we held cash and cash equivalents of $62.1 million. We believe that our existing cash, cash equivalents, and cash generated from sales of our products and services will be sufficient to meet our anticipated needs for at least the next 12 months from the date of our most recent audited financial statements, including amounts due under our PPP loan. The Company currently intends to repay the PPP loan in accordance with the underlying terms and conditions.</w:t>
      </w:r>
    </w:p>
    <w:p>
      <w:pPr>
        <w:spacing w:after="0" w:line="124"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600"/>
              <w:spacing w:after="0"/>
              <w:rPr>
                <w:sz w:val="20"/>
                <w:szCs w:val="20"/>
                <w:color w:val="auto"/>
              </w:rPr>
            </w:pPr>
            <w:r>
              <w:rPr>
                <w:rFonts w:ascii="Arial" w:cs="Arial" w:eastAsia="Arial" w:hAnsi="Arial"/>
                <w:sz w:val="18"/>
                <w:szCs w:val="18"/>
                <w:color w:val="auto"/>
              </w:rPr>
              <w:t>The following summarizes our cash flows for the periods indicated (in thousands):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6"/>
        </w:trPr>
        <w:tc>
          <w:tcPr>
            <w:tcW w:w="77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23"/>
        </w:trPr>
        <w:tc>
          <w:tcPr>
            <w:tcW w:w="7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9"/>
                <w:szCs w:val="19"/>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Net cash flows (used in) provided by:</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(21,366)</w:t>
            </w:r>
          </w:p>
        </w:tc>
        <w:tc>
          <w:tcPr>
            <w:tcW w:w="16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(21,726)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Investing activities</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81,131</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22,972</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56,838</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225"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Our cash flows resulted in a net increase in cash of $56.8 million during the year ended December 31, 2020. The net cash used in operating activities decreased by approximately $0.4 million, primarily due to a year-over-year increase in non-cash charges of: (i) $4.1 million associated with the increased amortization of convertible notes debt discount resulting from our initial public offering; (ii) $3.5 million associated with the increased share-based compensation expense from achieving performance thresholds for our 2020 bonus to equity program; (iii) $1.1 million associated with an increase in the expense recorded as a change in estimated fair value of warrant liability partially offset by; (iv) a $3.3 million reduction in the year-over-year change in the estimated fair value of contingent consideration; and (v) a $3.2 million net reduction in operating assets and liabilities</w:t>
      </w:r>
    </w:p>
    <w:p>
      <w:pPr>
        <w:spacing w:after="0" w:line="178"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2020 totaled $2.9 million, an increase of $1.1 million compared to the same period in 2019. The increase in net cash used in investing activities was primarily due to an increase of $0.8 million in the purchases of research equipment and patent costs, and payments made for Oncimmune assets acquired of $0.3 million.</w:t>
      </w:r>
    </w:p>
    <w:p>
      <w:pPr>
        <w:spacing w:after="0" w:line="143"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Net cash provided by financing activities during the year ended December 31, 2020 totaled $81.1 million, an increase of $58.2 million compared to the same period in 2019. The net cash provided by financing activities for the year ended December 31, 2020 primarily resulted from $72.0 million gross proceeds from our initial public offering, $13.0 million in proceeds from the issuance of convertible notes payable, $1.3 million proceeds from stock option exercises, and $3.1 from proceeds from our paycheck protection program note payable, offset in part by equity issuance costs associated with our initial public offering of $8.2 million. The net cash provided by financing activities for the year ended December 31, 2019 primarily resulted from $10.0 million in proceeds from the issuance of our Series H Preferred Stock and $13.0 million in proceeds from the issuance of convertible notes payable.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our non-cancelable contractual obligations and commitments as of December 31, 2020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358"/>
              <w:spacing w:after="0"/>
              <w:rPr>
                <w:sz w:val="20"/>
                <w:szCs w:val="20"/>
                <w:color w:val="auto"/>
              </w:rPr>
            </w:pPr>
            <w:r>
              <w:rPr>
                <w:rFonts w:ascii="Arial" w:cs="Arial" w:eastAsia="Arial" w:hAnsi="Arial"/>
                <w:sz w:val="18"/>
                <w:szCs w:val="18"/>
                <w:b w:val="1"/>
                <w:bCs w:val="1"/>
                <w:color w:val="auto"/>
              </w:rPr>
              <w:t xml:space="preserve">Payments due by period </w:t>
            </w:r>
            <w:r>
              <w:rPr>
                <w:rFonts w:ascii="Arial" w:cs="Arial" w:eastAsia="Arial" w:hAnsi="Arial"/>
                <w:sz w:val="15"/>
                <w:szCs w:val="15"/>
                <w:b w:val="1"/>
                <w:bCs w:val="1"/>
                <w:color w:val="auto"/>
              </w:rPr>
              <w:t>(1)</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05"/>
        </w:trPr>
        <w:tc>
          <w:tcPr>
            <w:tcW w:w="3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5"/>
              </w:rPr>
              <w:t>Less than</w:t>
            </w:r>
          </w:p>
        </w:tc>
        <w:tc>
          <w:tcPr>
            <w:tcW w:w="200" w:type="dxa"/>
            <w:vAlign w:val="bottom"/>
          </w:tcPr>
          <w:p>
            <w:pPr>
              <w:spacing w:after="0"/>
              <w:rPr>
                <w:sz w:val="17"/>
                <w:szCs w:val="17"/>
                <w:color w:val="auto"/>
              </w:rPr>
            </w:pPr>
          </w:p>
        </w:tc>
        <w:tc>
          <w:tcPr>
            <w:tcW w:w="920" w:type="dxa"/>
            <w:vAlign w:val="bottom"/>
          </w:tcPr>
          <w:p>
            <w:pPr>
              <w:jc w:val="right"/>
              <w:ind w:right="310"/>
              <w:spacing w:after="0" w:line="205" w:lineRule="exact"/>
              <w:rPr>
                <w:sz w:val="20"/>
                <w:szCs w:val="20"/>
                <w:color w:val="auto"/>
              </w:rPr>
            </w:pPr>
            <w:r>
              <w:rPr>
                <w:rFonts w:ascii="Arial" w:cs="Arial" w:eastAsia="Arial" w:hAnsi="Arial"/>
                <w:sz w:val="18"/>
                <w:szCs w:val="18"/>
                <w:b w:val="1"/>
                <w:bCs w:val="1"/>
                <w:color w:val="auto"/>
              </w:rPr>
              <w:t>1 to 3</w:t>
            </w:r>
          </w:p>
        </w:tc>
        <w:tc>
          <w:tcPr>
            <w:tcW w:w="120" w:type="dxa"/>
            <w:vAlign w:val="bottom"/>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4 to 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30"/>
              <w:spacing w:after="0" w:line="205" w:lineRule="exact"/>
              <w:rPr>
                <w:sz w:val="20"/>
                <w:szCs w:val="20"/>
                <w:color w:val="auto"/>
              </w:rPr>
            </w:pPr>
            <w:r>
              <w:rPr>
                <w:rFonts w:ascii="Arial" w:cs="Arial" w:eastAsia="Arial" w:hAnsi="Arial"/>
                <w:sz w:val="18"/>
                <w:szCs w:val="18"/>
                <w:b w:val="1"/>
                <w:bCs w:val="1"/>
                <w:color w:val="auto"/>
                <w:w w:val="95"/>
              </w:rPr>
              <w:t>More than</w:t>
            </w:r>
          </w:p>
        </w:tc>
      </w:tr>
      <w:tr>
        <w:trPr>
          <w:trHeight w:val="234"/>
        </w:trPr>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2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5 years</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ind w:right="59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15"/>
                <w:szCs w:val="15"/>
                <w:color w:val="auto"/>
              </w:rPr>
              <w:t>(3)</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31,517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13,921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17,596</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18,432</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Royalty payments that we may owe are not included as the timing of such payments is uncertain.</w:t>
      </w:r>
    </w:p>
    <w:p>
      <w:pPr>
        <w:spacing w:after="0" w:line="22" w:lineRule="exact"/>
        <w:rPr>
          <w:rFonts w:ascii="Arial" w:cs="Arial" w:eastAsia="Arial" w:hAnsi="Arial"/>
          <w:sz w:val="16"/>
          <w:szCs w:val="16"/>
          <w:color w:val="auto"/>
        </w:rPr>
      </w:pPr>
    </w:p>
    <w:p>
      <w:pPr>
        <w:ind w:left="440" w:right="280" w:hanging="432"/>
        <w:spacing w:after="0" w:line="264" w:lineRule="auto"/>
        <w:tabs>
          <w:tab w:leader="none" w:pos="4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are obligated under non-cancellable operating leases for all of our facilities. Lease terms for our facilities range from less than one to three years and generally require us to pay real estate taxes, certain insurance and operating costs.</w:t>
      </w:r>
    </w:p>
    <w:p>
      <w:pPr>
        <w:ind w:left="440" w:right="140" w:hanging="432"/>
        <w:spacing w:after="0" w:line="288" w:lineRule="auto"/>
        <w:tabs>
          <w:tab w:leader="none" w:pos="4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a 2% back-end term loan facility fee of $0.5 million due at maturity. The term loan is also subject to a 3% prepayment penalty which is not included above. In addition, includes principal and accrued interest payable under the Company’s payroll protection plan loan.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4" w:name="page115"/>
    <w:bookmarkEnd w:id="114"/>
    <w:p>
      <w:pPr>
        <w:ind w:right="120" w:firstLine="589"/>
        <w:spacing w:after="0" w:line="272" w:lineRule="auto"/>
        <w:rPr>
          <w:sz w:val="20"/>
          <w:szCs w:val="20"/>
          <w:color w:val="auto"/>
        </w:rPr>
      </w:pPr>
      <w:r>
        <w:rPr>
          <w:rFonts w:ascii="Arial" w:cs="Arial" w:eastAsia="Arial" w:hAnsi="Arial"/>
          <w:sz w:val="17"/>
          <w:szCs w:val="17"/>
          <w:color w:val="auto"/>
        </w:rPr>
        <w:t>In connection with the purchase transaction of Integrated Diagnostics, Inc., we recorded contingent consideration pertaining to the amounts potentially payable to Integrated Diagnostics’ shareholder pursuant to the terms of the asset purchase agreement. The estimated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December 31, 2020, the amount that would be due in cash at the option of the seller at the time the Milestone is met would be approximately $37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 Part 8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w:t>
      </w:r>
    </w:p>
    <w:p>
      <w:pPr>
        <w:spacing w:after="0" w:line="161"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Diagnostic service revenues are recognized upon completion of our performance obligation to the deliver test results to our customer, either the prescribing physician or third-party to which we contracted for services to be performed. Testing services revenues are recognized upon completion of our performance obligation to deliver testing results for assay development and testing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500" w:firstLine="589"/>
        <w:spacing w:after="0" w:line="311" w:lineRule="auto"/>
        <w:rPr>
          <w:sz w:val="20"/>
          <w:szCs w:val="20"/>
          <w:color w:val="auto"/>
        </w:rPr>
      </w:pPr>
      <w:r>
        <w:rPr>
          <w:rFonts w:ascii="Arial" w:cs="Arial" w:eastAsia="Arial" w:hAnsi="Arial"/>
          <w:sz w:val="16"/>
          <w:szCs w:val="16"/>
          <w:color w:val="auto"/>
        </w:rPr>
        <w:t>In connection with the purchase transaction with Integrated Diagnostics, Inc. (Indi), we recorded contingent consideration pertaining to the amounts potentially payable to Indi’s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08"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product gross margin targets, the estimated timing in which achievement of the product gross margin target is expected, and discount rates. The estimated fair value could materially differ from actual values or fair values determined using different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 option awards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15" w:name="page116"/>
    <w:bookmarkEnd w:id="115"/>
    <w:p>
      <w:pPr>
        <w:ind w:right="20" w:firstLine="589"/>
        <w:spacing w:after="0" w:line="259" w:lineRule="auto"/>
        <w:rPr>
          <w:sz w:val="20"/>
          <w:szCs w:val="20"/>
          <w:color w:val="auto"/>
        </w:rPr>
      </w:pPr>
      <w:r>
        <w:rPr>
          <w:rFonts w:ascii="Arial" w:cs="Arial" w:eastAsia="Arial" w:hAnsi="Arial"/>
          <w:sz w:val="18"/>
          <w:szCs w:val="18"/>
          <w:color w:val="auto"/>
        </w:rPr>
        <w:t>We use the Black-Scholes option-pricing model to estimate the fair value of our share-based option awards, which requires assumptions to be made related to expected term of an award, expected volatility, the risk-free rate and expected dividend yield. Following the completion of our initial public offering, our Board of Directors has determined the fair value of our common stock is based on our closing price as reported on the date of grant on the primary stock exchange on which our common stock is traded.</w:t>
      </w:r>
    </w:p>
    <w:p>
      <w:pPr>
        <w:spacing w:after="0" w:line="160"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Prior to our initial public offering in October 2020, the fair value of our common stock was determined by our Board of Directors in accordance with the methodologies outlined in the American Institute of Certified Public Accountants Practice Aid, Valuation of Privately-Held-Company Equity Securities Issued as Compensation Practice Aid (Practice Aid). In doing so, our Board of Directors determined the best estimate of fair value of our common stock, exercising reasonable judgment and considering numerous objective and subjective factors, by first determining the enterprise value of our business, and then allocating the value among the various classes of our equity securities to derive a per share value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 xml:space="preserve">In February 2016, the FASB issued Accounting Standards Update (ASU) No. 2016-2,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lessees to recognize a right-of-use asset and corresponding lease liability on the balance sheet for substantially all leases. The ASU is effective for us for beginning January 1, 2022. We expect to recognize right-of-use assets and lease obligations in our balance sheets upon adoption using the modified retrospective method as permitted by 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We do not currently expect adoption of this standard will have a significant effect on our results of operations or cash flows.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ASU requires measurement and recognition of expected credit losses for financial assets. This guidance will become effective for us beginning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January 1, 2022 with early adoption permitted. We have not yet begun evaluating the potential effect of this standard on our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an Emerging Growth Company and Smaller Reporting Company</w:t>
      </w:r>
    </w:p>
    <w:p>
      <w:pPr>
        <w:spacing w:after="0" w:line="11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5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6"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160"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143"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Periodically throughout the year, we have maintained balances in various operating accounts in excess of federally insured limits. Included in cash and cash equivalents are funds held in a bank savings account of $58.8 million and $4.7 million at December 31, 2020 and 2019, respectively. As of December 31, 2020, a hypothetical 100 basis point increase in interest rates would not have a material impact on our investment portfolio,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supplementary data are as set forth in the index to the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5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06"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40" w:firstLine="540"/>
        <w:spacing w:after="0" w:line="279" w:lineRule="auto"/>
        <w:rPr>
          <w:sz w:val="20"/>
          <w:szCs w:val="20"/>
          <w:color w:val="auto"/>
        </w:rPr>
      </w:pPr>
      <w:r>
        <w:rPr>
          <w:rFonts w:ascii="Arial" w:cs="Arial" w:eastAsia="Arial" w:hAnsi="Arial"/>
          <w:sz w:val="17"/>
          <w:szCs w:val="17"/>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2020 Annual Meeting of Stockholders to be held on May 26, 2021. Certain information required by this item concerning executive officers is set forth in Part I of this Report under the caption "Executive Officers of the Registrant" and is incorporated herein by reference.</w:t>
      </w:r>
    </w:p>
    <w:p>
      <w:pPr>
        <w:spacing w:after="0" w:line="13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This disclosure is contained in the section entitled "Section 16(a) Beneficial Ownership Reporting Compliance" in the Proxy Statement and is incorporated herein by reference.</w:t>
      </w:r>
    </w:p>
    <w:p>
      <w:pPr>
        <w:spacing w:after="0" w:line="157" w:lineRule="exact"/>
        <w:rPr>
          <w:sz w:val="20"/>
          <w:szCs w:val="20"/>
          <w:color w:val="auto"/>
        </w:rPr>
      </w:pPr>
    </w:p>
    <w:p>
      <w:pPr>
        <w:ind w:right="320" w:firstLine="589"/>
        <w:spacing w:after="0" w:line="301" w:lineRule="auto"/>
        <w:rPr>
          <w:sz w:val="20"/>
          <w:szCs w:val="20"/>
          <w:color w:val="auto"/>
        </w:rPr>
      </w:pPr>
      <w:r>
        <w:rPr>
          <w:rFonts w:ascii="Arial" w:cs="Arial" w:eastAsia="Arial" w:hAnsi="Arial"/>
          <w:sz w:val="16"/>
          <w:szCs w:val="16"/>
          <w:color w:val="auto"/>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Stockholders may request a free copy of our Code of Business Conduct and Ethics by contacting Biodesix, Inc., Attention: Chief Financial Officer, 2970 Wilderness Place, Suite 100, Boulder, Colorado 80301.</w:t>
      </w:r>
    </w:p>
    <w:p>
      <w:pPr>
        <w:spacing w:after="0" w:line="117" w:lineRule="exact"/>
        <w:rPr>
          <w:sz w:val="20"/>
          <w:szCs w:val="20"/>
          <w:color w:val="auto"/>
        </w:rPr>
      </w:pPr>
    </w:p>
    <w:p>
      <w:pPr>
        <w:ind w:right="760" w:firstLine="589"/>
        <w:spacing w:after="0" w:line="286" w:lineRule="auto"/>
        <w:rPr>
          <w:sz w:val="20"/>
          <w:szCs w:val="20"/>
          <w:color w:val="auto"/>
        </w:rPr>
      </w:pPr>
      <w:r>
        <w:rPr>
          <w:rFonts w:ascii="Arial" w:cs="Arial" w:eastAsia="Arial" w:hAnsi="Arial"/>
          <w:sz w:val="17"/>
          <w:szCs w:val="17"/>
          <w:color w:val="auto"/>
        </w:rPr>
        <w:t>To date, there have been no waivers under our Code of Business Conduct and Ethics. We intend to disclose future amendments to certain provisions of our Code of Business Conduct and Ethics or waivers of such Codes granted to executive officers and directors on our website at http://www.biodesix.com within four business days following the date of such amendment or waiver.</w:t>
      </w:r>
    </w:p>
    <w:p>
      <w:pPr>
        <w:spacing w:after="0" w:line="125"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Our Board of Directors has appointed an Audit Committee, comprised of Ms. Jean Franchi, as Chairwoman, Mr. Hany Massarany and Dr. Matthew Strobeck. The Board of Directors has determined that Ms. Franchi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firstLine="656"/>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"Election of Directors—Director Compensation" and "Executive Compensation" contained in the Company’s definitive Proxy Statement for the 2021 Annual Meeting of Stockholders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400" w:firstLine="656"/>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"Security Ownership of Certain Beneficial Owners and Management" and "Executive Compensation—Equity Compensation Plan Information" contained in the Company’s definitive Proxy Statement for the 2021 Annual Meeting of Stockholders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40" w:firstLine="656"/>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"Election of Directors—Certain Relationships and Related Transactions" and "—Director Independence" contained in the Company’s definitive Proxy Statement for the 2021 Annual Meeting of Stockholders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0" w:firstLine="656"/>
        <w:spacing w:after="0" w:line="263"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the Appointment of Independent Registered Public Accounting Firm—Principal Accountant Fees and Services" contained in the Company’s definitive Proxy Statement for the 2021 Annual Meeting of Stockholders and is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8" w:name="page119"/>
    <w:bookmarkEnd w:id="118"/>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880" w:hanging="440"/>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Documents filed as a part of the report.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Reference is made to the Index to Financial Statements of Biodesix, Inc. included in Item 8 of Part II hereof</w:t>
      </w:r>
    </w:p>
    <w:p>
      <w:pPr>
        <w:spacing w:after="0" w:line="117" w:lineRule="exact"/>
        <w:rPr>
          <w:sz w:val="20"/>
          <w:szCs w:val="20"/>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300" w:hanging="381"/>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62" w:lineRule="exact"/>
        <w:rPr>
          <w:sz w:val="20"/>
          <w:szCs w:val="20"/>
          <w:color w:val="auto"/>
        </w:rPr>
      </w:pPr>
    </w:p>
    <w:p>
      <w:pPr>
        <w:ind w:left="1300" w:hanging="442"/>
        <w:spacing w:after="0"/>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See Item 15(b) below. Each management contract or compensating plan or arrangement required to be filed has been identified.</w:t>
      </w:r>
    </w:p>
    <w:p>
      <w:pPr>
        <w:spacing w:after="0" w:line="140" w:lineRule="exact"/>
        <w:rPr>
          <w:sz w:val="20"/>
          <w:szCs w:val="20"/>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ind w:right="8180"/>
        <w:spacing w:after="0"/>
        <w:rPr>
          <w:sz w:val="20"/>
          <w:szCs w:val="20"/>
          <w:color w:val="auto"/>
        </w:rPr>
      </w:pPr>
      <w:r>
        <w:rPr>
          <w:rFonts w:ascii="Arial" w:cs="Arial" w:eastAsia="Arial" w:hAnsi="Arial"/>
          <w:sz w:val="16"/>
          <w:szCs w:val="16"/>
          <w:b w:val="1"/>
          <w:bCs w:val="1"/>
          <w:color w:val="auto"/>
        </w:rPr>
        <w:t>Item 16. Form 10-K Summary</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337" w:right="10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gridSpan w:val="22"/>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20" w:type="dxa"/>
            <w:vAlign w:val="bottom"/>
            <w:gridSpan w:val="21"/>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52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700" w:type="dxa"/>
            <w:vAlign w:val="bottom"/>
            <w:tcBorders>
              <w:top w:val="single" w:sz="8" w:color="auto"/>
            </w:tcBorders>
            <w:gridSpan w:val="27"/>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Form of Underwriting Agreement (incorporated by reference to Exhibit 1.1 to the Company’s Registration Statement on Form S-1/A</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filed with the SEC on October 21, 2020).</w:t>
              </w:r>
            </w:hyperlink>
          </w:p>
        </w:tc>
        <w:tc>
          <w:tcPr>
            <w:tcW w:w="6580" w:type="dxa"/>
            <w:vAlign w:val="bottom"/>
            <w:tcBorders>
              <w:top w:val="single" w:sz="8" w:color="0000EE"/>
            </w:tcBorders>
            <w:gridSpan w:val="19"/>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40" w:type="dxa"/>
            <w:vAlign w:val="bottom"/>
            <w:tcBorders>
              <w:bottom w:val="single" w:sz="8" w:color="0000EE"/>
            </w:tcBorders>
            <w:gridSpan w:val="25"/>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Amended and Restated Certificate of Incorporation of Biodesix, Inc., dated October 30, 2020 (incorporated by reference to Exhibit 3.2</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2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to the Company’s Quarterly Report on Form 10-Q filed with the SEC on October 12,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Amended and Restated Bylaws of Biodesix, Inc. (incorporated by reference to Exhibit 3.2 to the Company’s Quarterly Report on Form</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10-Q filed with the SEC on October 12,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00" w:type="dxa"/>
            <w:vAlign w:val="bottom"/>
            <w:tcBorders>
              <w:bottom w:val="single" w:sz="8" w:color="0000EE"/>
            </w:tcBorders>
            <w:gridSpan w:val="14"/>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Specimen stock certificate evidencing shares of Common Stock (incorporated by reference to Exhibit 4.1 to the Company’s</w:t>
              </w:r>
            </w:hyperlink>
          </w:p>
        </w:tc>
        <w:tc>
          <w:tcPr>
            <w:tcW w:w="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Registration Statement on Form S-1/A filed with the SEC on October 21, 2020).</w:t>
              </w:r>
            </w:hyperlink>
          </w:p>
        </w:tc>
        <w:tc>
          <w:tcPr>
            <w:tcW w:w="39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20" w:type="dxa"/>
            <w:vAlign w:val="bottom"/>
            <w:tcBorders>
              <w:bottom w:val="single" w:sz="8" w:color="0000EE"/>
            </w:tcBorders>
            <w:gridSpan w:val="16"/>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Eleventh Amended and Restated Investor Rights Agreement, by and among Biodesix, Inc. and the investors listed on Exhibit A</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27"/>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thereto, dated October 10, 2018 (incorporated by reference to Exhibit 4.2 to the Company’s Registration Statement on Form S-1 filed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with the SEC on October 2, 2020).</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60" w:type="dxa"/>
            <w:vAlign w:val="bottom"/>
            <w:tcBorders>
              <w:bottom w:val="single" w:sz="8" w:color="0000EE"/>
            </w:tcBorders>
            <w:gridSpan w:val="11"/>
          </w:tcPr>
          <w:p>
            <w:pPr>
              <w:spacing w:after="0"/>
              <w:rPr>
                <w:rFonts w:ascii="Arial" w:cs="Arial" w:eastAsia="Arial" w:hAnsi="Arial"/>
                <w:sz w:val="18"/>
                <w:szCs w:val="18"/>
                <w:color w:val="0000EE"/>
                <w:w w:val="87"/>
              </w:rPr>
            </w:pPr>
            <w:hyperlink r:id="rId153">
              <w:r>
                <w:rPr>
                  <w:rFonts w:ascii="Arial" w:cs="Arial" w:eastAsia="Arial" w:hAnsi="Arial"/>
                  <w:sz w:val="18"/>
                  <w:szCs w:val="18"/>
                  <w:color w:val="0000EE"/>
                  <w:w w:val="87"/>
                </w:rPr>
                <w:t>Warrant held by Innovatus Life Sciences Lending Fund I, LP, to Purchase Series G Preferred Stock, dated February 23, 3018</w:t>
              </w:r>
            </w:hyperlink>
          </w:p>
        </w:tc>
        <w:tc>
          <w:tcPr>
            <w:tcW w:w="9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(incorporated by reference to Exhibit 4.3 to the Company’s Registration Statement on Form S-1 filed with the SEC on October 2,</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2020).</w:t>
              </w:r>
            </w:hyperlink>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0" w:type="dxa"/>
            <w:vAlign w:val="bottom"/>
            <w:tcBorders>
              <w:bottom w:val="single" w:sz="8" w:color="0000EE"/>
            </w:tcBorders>
            <w:gridSpan w:val="24"/>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 xml:space="preserve">Secured Promissory Note held by Innovatus Life Sciences Lending Fund I, LP, in Biodesix, Inc., dated February </w:t>
              </w:r>
              <w:r>
                <w:rPr>
                  <w:rFonts w:ascii="Arial" w:cs="Arial" w:eastAsia="Arial" w:hAnsi="Arial"/>
                  <w:sz w:val="18"/>
                  <w:szCs w:val="18"/>
                  <w:u w:val="single" w:color="auto"/>
                  <w:color w:val="0000EE"/>
                  <w:w w:val="89"/>
                </w:rPr>
                <w:t>23,</w:t>
              </w:r>
              <w:r>
                <w:rPr>
                  <w:rFonts w:ascii="Arial" w:cs="Arial" w:eastAsia="Arial" w:hAnsi="Arial"/>
                  <w:sz w:val="18"/>
                  <w:szCs w:val="18"/>
                  <w:color w:val="0000EE"/>
                  <w:w w:val="89"/>
                </w:rPr>
                <w:t xml:space="preserve"> 2018 (incorporated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by reference to Exhibit 4.3 to the Company’s Registration Statement on Form S-1 filed with the SEC on October 2, 2020).</w:t>
              </w:r>
            </w:hyperlink>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Description of Securities Registered Under Section 12 of the Securities Exchange Act of 1934.</w:t>
              </w:r>
            </w:hyperlink>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60" w:type="dxa"/>
            <w:vAlign w:val="bottom"/>
            <w:tcBorders>
              <w:bottom w:val="single" w:sz="8" w:color="0000EE"/>
            </w:tcBorders>
            <w:gridSpan w:val="18"/>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Biodesix, Inc. Amended and Restated 2006 Employee, Director and Consultant Stock Plan, as amended to date (incorporated by</w:t>
              </w:r>
            </w:hyperlink>
          </w:p>
        </w:tc>
        <w:tc>
          <w:tcPr>
            <w:tcW w:w="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reference to Exhibit 10.1 to the Company’s Registration Statement on Form S-1/A filed with the SEC on October 9, 2020).</w:t>
              </w:r>
            </w:hyperlink>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w w:val="99"/>
              </w:rPr>
            </w:pPr>
            <w:hyperlink r:id="rId156">
              <w:r>
                <w:rPr>
                  <w:rFonts w:ascii="Arial" w:cs="Arial" w:eastAsia="Arial" w:hAnsi="Arial"/>
                  <w:sz w:val="18"/>
                  <w:szCs w:val="18"/>
                  <w:color w:val="0000EE"/>
                  <w:w w:val="99"/>
                </w:rPr>
                <w:t>Form of Stock Option Grant Notice under the Amended and Restated 2006 Employee, Director and Consultant Stock Plan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(incorporated by reference to Exhibit 10.2.1 to the Company’s Registration Statement on Form S-1/A filed with the SEC on October</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9, 2020).</w:t>
              </w:r>
            </w:hyperlink>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Form of Option Agreement under the Amended and Restated 2006 Employee, Director and Consultant Stock Plan (incorporated by</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gridSpan w:val="27"/>
          </w:tcPr>
          <w:p>
            <w:pPr>
              <w:spacing w:after="0"/>
              <w:rPr>
                <w:rFonts w:ascii="Arial" w:cs="Arial" w:eastAsia="Arial" w:hAnsi="Arial"/>
                <w:sz w:val="18"/>
                <w:szCs w:val="18"/>
                <w:u w:val="single" w:color="auto"/>
                <w:color w:val="0000EE"/>
                <w:w w:val="98"/>
              </w:rPr>
            </w:pPr>
            <w:hyperlink r:id="rId157">
              <w:r>
                <w:rPr>
                  <w:rFonts w:ascii="Arial" w:cs="Arial" w:eastAsia="Arial" w:hAnsi="Arial"/>
                  <w:sz w:val="18"/>
                  <w:szCs w:val="18"/>
                  <w:u w:val="single" w:color="auto"/>
                  <w:color w:val="0000EE"/>
                  <w:w w:val="98"/>
                </w:rPr>
                <w:t>reference to Exhibit 10.2.2 to the Company’s Registration Statement on Form S-1/A filed with the SEC on October 9, 2020).</w:t>
              </w:r>
            </w:hyperlink>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27"/>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Form of Notice of Exercise under the Amended and Restated 2006 Employee, Director and Consultant Stock Plan (incorporated by</w:t>
              </w:r>
            </w:hyperlink>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60" w:type="dxa"/>
            <w:vAlign w:val="bottom"/>
            <w:tcBorders>
              <w:top w:val="single" w:sz="8" w:color="0000EE"/>
            </w:tcBorders>
            <w:gridSpan w:val="20"/>
          </w:tcPr>
          <w:p>
            <w:pPr>
              <w:spacing w:after="0"/>
              <w:rPr>
                <w:rFonts w:ascii="Arial" w:cs="Arial" w:eastAsia="Arial" w:hAnsi="Arial"/>
                <w:sz w:val="18"/>
                <w:szCs w:val="18"/>
                <w:u w:val="single" w:color="auto"/>
                <w:color w:val="0000EE"/>
                <w:w w:val="96"/>
              </w:rPr>
            </w:pPr>
            <w:hyperlink r:id="rId158">
              <w:r>
                <w:rPr>
                  <w:rFonts w:ascii="Arial" w:cs="Arial" w:eastAsia="Arial" w:hAnsi="Arial"/>
                  <w:sz w:val="18"/>
                  <w:szCs w:val="18"/>
                  <w:u w:val="single" w:color="auto"/>
                  <w:color w:val="0000EE"/>
                  <w:w w:val="96"/>
                </w:rPr>
                <w:t>reference to Exhibit 10.2.3 to the Company’s Registration Statement on Form S-1/A filed with the SEC on October 9, 2020).</w:t>
              </w:r>
            </w:hyperlink>
          </w:p>
        </w:tc>
        <w:tc>
          <w:tcPr>
            <w:tcW w:w="2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80" w:type="dxa"/>
            <w:vAlign w:val="bottom"/>
            <w:tcBorders>
              <w:bottom w:val="single" w:sz="8" w:color="0000EE"/>
            </w:tcBorders>
            <w:gridSpan w:val="13"/>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Biodesix, Inc. 2016 Equity Incentive Plan, as amended to date (incorporated by reference to Exhibit 10.3 to the Company’s</w:t>
              </w:r>
            </w:hyperlink>
          </w:p>
        </w:tc>
        <w:tc>
          <w:tcPr>
            <w:tcW w:w="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27"/>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Registration Statement on Form S-1 filed with the SEC on October 2,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60" w:type="dxa"/>
            <w:vAlign w:val="bottom"/>
            <w:tcBorders>
              <w:bottom w:val="single" w:sz="8" w:color="0000EE"/>
            </w:tcBorders>
            <w:gridSpan w:val="15"/>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Stock Option Grant Notice under the 2016 Equity Incentive Plan (incorporated by reference to Exhibit 10.4.1 to the</w:t>
              </w:r>
            </w:hyperlink>
          </w:p>
        </w:tc>
        <w:tc>
          <w:tcPr>
            <w:tcW w:w="7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27"/>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Company’s Registration Statement on Form S-1/A filed with the SEC on October 9,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00" w:type="dxa"/>
            <w:vAlign w:val="bottom"/>
            <w:gridSpan w:val="8"/>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40" w:type="dxa"/>
            <w:vAlign w:val="bottom"/>
            <w:tcBorders>
              <w:bottom w:val="single" w:sz="8" w:color="0000EE"/>
            </w:tcBorders>
            <w:gridSpan w:val="17"/>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Form of Option Agreement under the 2016 Equity Incentive Plan (incorporated by reference to Exhibit 10.4.2 to the Company’s</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27"/>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Registration Statement on Form S-1/A filed with the SEC on October 9, 2020).</w:t>
              </w:r>
            </w:hyperlink>
          </w:p>
        </w:tc>
        <w:tc>
          <w:tcPr>
            <w:tcW w:w="0" w:type="dxa"/>
            <w:vAlign w:val="bottom"/>
          </w:tcPr>
          <w:p>
            <w:pPr>
              <w:spacing w:after="0"/>
              <w:rPr>
                <w:sz w:val="1"/>
                <w:szCs w:val="1"/>
                <w:color w:val="auto"/>
              </w:rPr>
            </w:pPr>
          </w:p>
        </w:tc>
      </w:tr>
      <w:tr>
        <w:trPr>
          <w:trHeight w:val="561"/>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Borders>
              <w:top w:val="single" w:sz="8" w:color="0000EE"/>
            </w:tcBorders>
            <w:gridSpan w:val="7"/>
          </w:tcPr>
          <w:p>
            <w:pPr>
              <w:ind w:left="3960"/>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10.4.3+**</w:t>
            </w:r>
          </w:p>
        </w:tc>
        <w:tc>
          <w:tcPr>
            <w:tcW w:w="9700" w:type="dxa"/>
            <w:vAlign w:val="bottom"/>
            <w:gridSpan w:val="20"/>
          </w:tcPr>
          <w:p>
            <w:pPr>
              <w:spacing w:after="0"/>
              <w:rPr>
                <w:rFonts w:ascii="Arial" w:cs="Arial" w:eastAsia="Arial" w:hAnsi="Arial"/>
                <w:sz w:val="18"/>
                <w:szCs w:val="18"/>
                <w:color w:val="0000EE"/>
                <w:w w:val="96"/>
              </w:rPr>
            </w:pPr>
            <w:hyperlink r:id="rId164">
              <w:r>
                <w:rPr>
                  <w:rFonts w:ascii="Arial" w:cs="Arial" w:eastAsia="Arial" w:hAnsi="Arial"/>
                  <w:sz w:val="18"/>
                  <w:szCs w:val="18"/>
                  <w:color w:val="0000EE"/>
                  <w:w w:val="96"/>
                </w:rPr>
                <w:t>Form of Notice of Exercise under the 2016 Equity Incentive Plan (incorporated by reference to Exhibit 10.4.3 to the Company’s</w:t>
              </w:r>
            </w:hyperlink>
          </w:p>
        </w:tc>
      </w:tr>
      <w:tr>
        <w:trPr>
          <w:trHeight w:val="196"/>
        </w:trPr>
        <w:tc>
          <w:tcPr>
            <w:tcW w:w="1540" w:type="dxa"/>
            <w:vAlign w:val="bottom"/>
          </w:tcPr>
          <w:p>
            <w:pPr>
              <w:spacing w:after="0"/>
              <w:rPr>
                <w:sz w:val="17"/>
                <w:szCs w:val="17"/>
                <w:color w:val="auto"/>
              </w:rPr>
            </w:pPr>
          </w:p>
        </w:tc>
        <w:tc>
          <w:tcPr>
            <w:tcW w:w="9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Registration Statement on Form S-1/A filed with the SEC on October 9, 2020).</w:t>
              </w:r>
            </w:hyperlink>
          </w:p>
        </w:tc>
        <w:tc>
          <w:tcPr>
            <w:tcW w:w="480" w:type="dxa"/>
            <w:vAlign w:val="bottom"/>
            <w:gridSpan w:val="11"/>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10.5+**</w:t>
            </w:r>
          </w:p>
        </w:tc>
        <w:tc>
          <w:tcPr>
            <w:tcW w:w="9340" w:type="dxa"/>
            <w:vAlign w:val="bottom"/>
            <w:tcBorders>
              <w:bottom w:val="single" w:sz="8" w:color="0000EE"/>
            </w:tcBorders>
            <w:gridSpan w:val="11"/>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Biodesix, Inc. 2020 Equity Incentive Plan (incorporated by reference to Exhibit 10.5 to the Company’s Registration Statement on</w:t>
              </w:r>
            </w:hyperlink>
          </w:p>
        </w:tc>
        <w:tc>
          <w:tcPr>
            <w:tcW w:w="360" w:type="dxa"/>
            <w:vAlign w:val="bottom"/>
            <w:gridSpan w:val="9"/>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Form S-1/A filed with the SEC on October 26, 2020).</w:t>
              </w:r>
            </w:hyperlink>
          </w:p>
        </w:tc>
      </w:tr>
      <w:tr>
        <w:trPr>
          <w:trHeight w:val="20"/>
        </w:trPr>
        <w:tc>
          <w:tcPr>
            <w:tcW w:w="154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540" w:type="dxa"/>
            <w:vAlign w:val="bottom"/>
          </w:tcPr>
          <w:p>
            <w:pPr>
              <w:spacing w:after="0"/>
              <w:rPr>
                <w:sz w:val="20"/>
                <w:szCs w:val="20"/>
                <w:color w:val="auto"/>
              </w:rPr>
            </w:pPr>
            <w:r>
              <w:rPr>
                <w:rFonts w:ascii="Arial" w:cs="Arial" w:eastAsia="Arial" w:hAnsi="Arial"/>
                <w:sz w:val="18"/>
                <w:szCs w:val="18"/>
                <w:color w:val="auto"/>
              </w:rPr>
              <w:t>10.5.1+*</w:t>
            </w:r>
          </w:p>
        </w:tc>
        <w:tc>
          <w:tcPr>
            <w:tcW w:w="9700" w:type="dxa"/>
            <w:vAlign w:val="bottom"/>
            <w:gridSpan w:val="20"/>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Forms of Stock Option Grant Notice, Option Agreement and Notice of Exercise under the 2020 Equity Incentive Plan.</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10.6+**</w:t>
            </w:r>
          </w:p>
        </w:tc>
        <w:tc>
          <w:tcPr>
            <w:tcW w:w="9020" w:type="dxa"/>
            <w:vAlign w:val="bottom"/>
            <w:tcBorders>
              <w:bottom w:val="single" w:sz="8" w:color="0000EE"/>
            </w:tcBorders>
            <w:gridSpan w:val="8"/>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Biodesix, Inc. 2020 Employee Stock Purchase Plan (incorporated by reference to Exhibit 10.6 to the Company’s Registration</w:t>
              </w:r>
            </w:hyperlink>
          </w:p>
        </w:tc>
        <w:tc>
          <w:tcPr>
            <w:tcW w:w="680" w:type="dxa"/>
            <w:vAlign w:val="bottom"/>
            <w:gridSpan w:val="12"/>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Statement on Form S-1/A filed with the SEC on October 26, 2020).</w:t>
              </w:r>
            </w:hyperlink>
          </w:p>
        </w:tc>
      </w:tr>
      <w:tr>
        <w:trPr>
          <w:trHeight w:val="20"/>
        </w:trPr>
        <w:tc>
          <w:tcPr>
            <w:tcW w:w="1540" w:type="dxa"/>
            <w:vAlign w:val="bottom"/>
          </w:tcPr>
          <w:p>
            <w:pPr>
              <w:spacing w:after="0" w:line="20" w:lineRule="exact"/>
              <w:rPr>
                <w:sz w:val="1"/>
                <w:szCs w:val="1"/>
                <w:color w:val="auto"/>
              </w:rPr>
            </w:pPr>
          </w:p>
        </w:tc>
        <w:tc>
          <w:tcPr>
            <w:tcW w:w="48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10.7.1+**</w:t>
            </w:r>
          </w:p>
        </w:tc>
        <w:tc>
          <w:tcPr>
            <w:tcW w:w="9500" w:type="dxa"/>
            <w:vAlign w:val="bottom"/>
            <w:tcBorders>
              <w:bottom w:val="single" w:sz="8" w:color="0000EE"/>
            </w:tcBorders>
            <w:gridSpan w:val="16"/>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Biodesix, Inc., First Amended Bonus-to-Options Program, adopted by the Board of Directors on October 15, 2010 (incorporated by</w:t>
              </w:r>
            </w:hyperlink>
          </w:p>
        </w:tc>
        <w:tc>
          <w:tcPr>
            <w:tcW w:w="200" w:type="dxa"/>
            <w:vAlign w:val="bottom"/>
            <w:gridSpan w:val="4"/>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9700" w:type="dxa"/>
            <w:vAlign w:val="bottom"/>
            <w:gridSpan w:val="20"/>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reference to Exhibit 10.5.1 to the Company’s Registration Statement on Form S-1 filed with the SEC on October 2,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10.7.2+**</w:t>
            </w:r>
          </w:p>
        </w:tc>
        <w:tc>
          <w:tcPr>
            <w:tcW w:w="9700" w:type="dxa"/>
            <w:vAlign w:val="bottom"/>
            <w:gridSpan w:val="20"/>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Biodesix, Inc., Second Amended Bonus-to-Options Program, adopted by the Board of Directors on June 21, 2011 (incorporated by</w:t>
              </w:r>
            </w:hyperlink>
          </w:p>
        </w:tc>
      </w:tr>
      <w:tr>
        <w:trPr>
          <w:trHeight w:val="237"/>
        </w:trPr>
        <w:tc>
          <w:tcPr>
            <w:tcW w:w="1540" w:type="dxa"/>
            <w:vAlign w:val="bottom"/>
          </w:tcPr>
          <w:p>
            <w:pPr>
              <w:spacing w:after="0"/>
              <w:rPr>
                <w:sz w:val="20"/>
                <w:szCs w:val="20"/>
                <w:color w:val="auto"/>
              </w:rPr>
            </w:pPr>
          </w:p>
        </w:tc>
        <w:tc>
          <w:tcPr>
            <w:tcW w:w="9420" w:type="dxa"/>
            <w:vAlign w:val="bottom"/>
            <w:tcBorders>
              <w:top w:val="single" w:sz="8" w:color="0000EE"/>
            </w:tcBorders>
            <w:gridSpan w:val="13"/>
          </w:tcPr>
          <w:p>
            <w:pPr>
              <w:spacing w:after="0"/>
              <w:rPr>
                <w:rFonts w:ascii="Arial" w:cs="Arial" w:eastAsia="Arial" w:hAnsi="Arial"/>
                <w:sz w:val="18"/>
                <w:szCs w:val="18"/>
                <w:u w:val="single" w:color="auto"/>
                <w:color w:val="0000EE"/>
                <w:w w:val="97"/>
              </w:rPr>
            </w:pPr>
            <w:hyperlink r:id="rId168">
              <w:r>
                <w:rPr>
                  <w:rFonts w:ascii="Arial" w:cs="Arial" w:eastAsia="Arial" w:hAnsi="Arial"/>
                  <w:sz w:val="18"/>
                  <w:szCs w:val="18"/>
                  <w:u w:val="single" w:color="auto"/>
                  <w:color w:val="0000EE"/>
                  <w:w w:val="97"/>
                </w:rPr>
                <w:t>reference to Exhibit 10.5.2 to the Company’s Registration Statement on Form S-1 filed with the SEC on October 2, 2020).</w:t>
              </w:r>
            </w:hyperlink>
          </w:p>
        </w:tc>
        <w:tc>
          <w:tcPr>
            <w:tcW w:w="280" w:type="dxa"/>
            <w:vAlign w:val="bottom"/>
            <w:gridSpan w:val="7"/>
          </w:tcPr>
          <w:p>
            <w:pPr>
              <w:spacing w:after="0"/>
              <w:rPr>
                <w:sz w:val="20"/>
                <w:szCs w:val="20"/>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10.7.3+**</w:t>
            </w:r>
          </w:p>
        </w:tc>
        <w:tc>
          <w:tcPr>
            <w:tcW w:w="9500" w:type="dxa"/>
            <w:vAlign w:val="bottom"/>
            <w:tcBorders>
              <w:bottom w:val="single" w:sz="8" w:color="0000EE"/>
            </w:tcBorders>
            <w:gridSpan w:val="16"/>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Biodesix, Inc., Third Amended Bonus-to-Options Program, adopted by the Board of Directors on December 31, 2015 (incorporated</w:t>
              </w:r>
            </w:hyperlink>
          </w:p>
        </w:tc>
        <w:tc>
          <w:tcPr>
            <w:tcW w:w="200" w:type="dxa"/>
            <w:vAlign w:val="bottom"/>
            <w:gridSpan w:val="4"/>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9700" w:type="dxa"/>
            <w:vAlign w:val="bottom"/>
            <w:gridSpan w:val="20"/>
          </w:tcPr>
          <w:p>
            <w:pPr>
              <w:spacing w:after="0"/>
              <w:rPr>
                <w:rFonts w:ascii="Arial" w:cs="Arial" w:eastAsia="Arial" w:hAnsi="Arial"/>
                <w:sz w:val="18"/>
                <w:szCs w:val="18"/>
                <w:u w:val="single" w:color="auto"/>
                <w:color w:val="0000EE"/>
                <w:w w:val="97"/>
              </w:rPr>
            </w:pPr>
            <w:hyperlink r:id="rId169">
              <w:r>
                <w:rPr>
                  <w:rFonts w:ascii="Arial" w:cs="Arial" w:eastAsia="Arial" w:hAnsi="Arial"/>
                  <w:sz w:val="18"/>
                  <w:szCs w:val="18"/>
                  <w:u w:val="single" w:color="auto"/>
                  <w:color w:val="0000EE"/>
                  <w:w w:val="97"/>
                </w:rPr>
                <w:t>by reference to Exhibit 10.5.3 to the Company’s Registration Statement on Form S-1 filed with the SEC on October 2,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10.8.1+**</w:t>
            </w:r>
          </w:p>
        </w:tc>
        <w:tc>
          <w:tcPr>
            <w:tcW w:w="9600" w:type="dxa"/>
            <w:vAlign w:val="bottom"/>
            <w:tcBorders>
              <w:bottom w:val="single" w:sz="8" w:color="0000EE"/>
            </w:tcBorders>
            <w:gridSpan w:val="18"/>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Form of Stock Option Grant Notice under the Biodesix, Inc. Bonus-To-Options Program (incorporated by reference to Exhibit 10.6.1</w:t>
              </w:r>
            </w:hyperlink>
          </w:p>
        </w:tc>
        <w:tc>
          <w:tcPr>
            <w:tcW w:w="100" w:type="dxa"/>
            <w:vAlign w:val="bottom"/>
            <w:gridSpan w:val="2"/>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7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to the Company’s Registration Statement on Form S-1/A filed with the SEC on October 9, 2020).</w:t>
              </w:r>
            </w:hyperlink>
          </w:p>
        </w:tc>
        <w:tc>
          <w:tcPr>
            <w:tcW w:w="2680" w:type="dxa"/>
            <w:vAlign w:val="bottom"/>
            <w:gridSpan w:val="15"/>
          </w:tcPr>
          <w:p>
            <w:pPr>
              <w:spacing w:after="0"/>
              <w:rPr>
                <w:sz w:val="17"/>
                <w:szCs w:val="17"/>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10.8.2+**</w:t>
            </w:r>
          </w:p>
        </w:tc>
        <w:tc>
          <w:tcPr>
            <w:tcW w:w="9460" w:type="dxa"/>
            <w:vAlign w:val="bottom"/>
            <w:tcBorders>
              <w:bottom w:val="single" w:sz="8" w:color="0000EE"/>
            </w:tcBorders>
            <w:gridSpan w:val="14"/>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Form of Option Agreement under the Biodesix, Inc. Bonus-To-Options Program (incorporated by reference to Exhibit 10.6.2 to the</w:t>
              </w:r>
            </w:hyperlink>
          </w:p>
        </w:tc>
        <w:tc>
          <w:tcPr>
            <w:tcW w:w="240" w:type="dxa"/>
            <w:vAlign w:val="bottom"/>
            <w:gridSpan w:val="6"/>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Company’s Registration Statement on Form S-1/A filed with the SEC on October 9, 2020).</w:t>
              </w:r>
            </w:hyperlink>
          </w:p>
        </w:tc>
      </w:tr>
      <w:tr>
        <w:trPr>
          <w:trHeight w:val="20"/>
        </w:trPr>
        <w:tc>
          <w:tcPr>
            <w:tcW w:w="1540" w:type="dxa"/>
            <w:vAlign w:val="bottom"/>
          </w:tcPr>
          <w:p>
            <w:pPr>
              <w:spacing w:after="0" w:line="20" w:lineRule="exact"/>
              <w:rPr>
                <w:sz w:val="1"/>
                <w:szCs w:val="1"/>
                <w:color w:val="auto"/>
              </w:rPr>
            </w:pPr>
          </w:p>
        </w:tc>
        <w:tc>
          <w:tcPr>
            <w:tcW w:w="656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10.9+**</w:t>
            </w:r>
          </w:p>
        </w:tc>
        <w:tc>
          <w:tcPr>
            <w:tcW w:w="9540" w:type="dxa"/>
            <w:vAlign w:val="bottom"/>
            <w:tcBorders>
              <w:bottom w:val="single" w:sz="8" w:color="0000EE"/>
            </w:tcBorders>
            <w:gridSpan w:val="17"/>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Indemnification Agreement, by and between Biodesix, Inc. and each of its directors and executive officers (incorporated by</w:t>
              </w:r>
            </w:hyperlink>
          </w:p>
        </w:tc>
        <w:tc>
          <w:tcPr>
            <w:tcW w:w="160" w:type="dxa"/>
            <w:vAlign w:val="bottom"/>
            <w:gridSpan w:val="3"/>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9700" w:type="dxa"/>
            <w:vAlign w:val="bottom"/>
            <w:gridSpan w:val="20"/>
          </w:tcPr>
          <w:p>
            <w:pPr>
              <w:spacing w:after="0"/>
              <w:rPr>
                <w:rFonts w:ascii="Arial" w:cs="Arial" w:eastAsia="Arial" w:hAnsi="Arial"/>
                <w:sz w:val="18"/>
                <w:szCs w:val="18"/>
                <w:u w:val="single" w:color="auto"/>
                <w:color w:val="0000EE"/>
                <w:w w:val="99"/>
              </w:rPr>
            </w:pPr>
            <w:hyperlink r:id="rId172">
              <w:r>
                <w:rPr>
                  <w:rFonts w:ascii="Arial" w:cs="Arial" w:eastAsia="Arial" w:hAnsi="Arial"/>
                  <w:sz w:val="18"/>
                  <w:szCs w:val="18"/>
                  <w:u w:val="single" w:color="auto"/>
                  <w:color w:val="0000EE"/>
                  <w:w w:val="99"/>
                </w:rPr>
                <w:t>reference to Exhibit 10.7 to the Company’s Registration Statement on Form S-1/A filed with the SEC on October 14,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10.10.1†+**</w:t>
            </w:r>
          </w:p>
        </w:tc>
        <w:tc>
          <w:tcPr>
            <w:tcW w:w="9700" w:type="dxa"/>
            <w:vAlign w:val="bottom"/>
            <w:gridSpan w:val="20"/>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Executive Employment Letter, by and between Biodesix, Inc. and Scott Hutton, dated February 16, 2018 (incorporated by reference to</w:t>
              </w:r>
            </w:hyperlink>
          </w:p>
        </w:tc>
      </w:tr>
      <w:tr>
        <w:trPr>
          <w:trHeight w:val="196"/>
        </w:trPr>
        <w:tc>
          <w:tcPr>
            <w:tcW w:w="154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Exhibit 10.9.1 to the Company’s Registration Statement on Form S-1 filed with the SEC on October 2, 2020).</w:t>
              </w:r>
            </w:hyperlink>
          </w:p>
        </w:tc>
        <w:tc>
          <w:tcPr>
            <w:tcW w:w="2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746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10.10.2†+**</w:t>
            </w:r>
          </w:p>
        </w:tc>
        <w:tc>
          <w:tcPr>
            <w:tcW w:w="9700" w:type="dxa"/>
            <w:vAlign w:val="bottom"/>
            <w:gridSpan w:val="20"/>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Executive Employment Letter, by and between Biodesix, Inc. and Scott Hutton, dated February 23, 2020 (incorporated by reference to</w:t>
              </w:r>
            </w:hyperlink>
          </w:p>
        </w:tc>
      </w:tr>
      <w:tr>
        <w:trPr>
          <w:trHeight w:val="196"/>
        </w:trPr>
        <w:tc>
          <w:tcPr>
            <w:tcW w:w="154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Exhibit 10.9.2 to the Company’s Registration Statement on Form S-1 filed with the SEC on October 2, 2020).</w:t>
              </w:r>
            </w:hyperlink>
          </w:p>
        </w:tc>
        <w:tc>
          <w:tcPr>
            <w:tcW w:w="2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746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10.11.1†+**</w:t>
            </w:r>
          </w:p>
        </w:tc>
        <w:tc>
          <w:tcPr>
            <w:tcW w:w="9320" w:type="dxa"/>
            <w:vAlign w:val="bottom"/>
            <w:tcBorders>
              <w:bottom w:val="single" w:sz="8" w:color="0000EE"/>
            </w:tcBorders>
            <w:gridSpan w:val="10"/>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Employment Letter, by and between Biodesix, Inc. and Robin Harper Cowie, dated March 11, 2011 (incorporated by reference to</w:t>
              </w:r>
            </w:hyperlink>
          </w:p>
        </w:tc>
        <w:tc>
          <w:tcPr>
            <w:tcW w:w="380" w:type="dxa"/>
            <w:vAlign w:val="bottom"/>
            <w:gridSpan w:val="10"/>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9700" w:type="dxa"/>
            <w:vAlign w:val="bottom"/>
            <w:gridSpan w:val="20"/>
          </w:tcPr>
          <w:p>
            <w:pPr>
              <w:spacing w:after="0"/>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Exhibit 10.10.1 to the Company’s Registration Statement on Form S-1 filed with the SEC on October 2,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10.11.2†+**</w:t>
            </w:r>
          </w:p>
        </w:tc>
        <w:tc>
          <w:tcPr>
            <w:tcW w:w="9380" w:type="dxa"/>
            <w:vAlign w:val="bottom"/>
            <w:tcBorders>
              <w:bottom w:val="single" w:sz="8" w:color="0000EE"/>
            </w:tcBorders>
            <w:gridSpan w:val="12"/>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Executive Employment Letter, by and between Biodesix, Inc. and Robin Harper Cowie, dated February 23, 2020 (incorporated by</w:t>
              </w:r>
            </w:hyperlink>
          </w:p>
        </w:tc>
        <w:tc>
          <w:tcPr>
            <w:tcW w:w="320" w:type="dxa"/>
            <w:vAlign w:val="bottom"/>
            <w:gridSpan w:val="8"/>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9700" w:type="dxa"/>
            <w:vAlign w:val="bottom"/>
            <w:gridSpan w:val="20"/>
          </w:tcPr>
          <w:p>
            <w:pPr>
              <w:spacing w:after="0"/>
              <w:rPr>
                <w:rFonts w:ascii="Arial" w:cs="Arial" w:eastAsia="Arial" w:hAnsi="Arial"/>
                <w:sz w:val="18"/>
                <w:szCs w:val="18"/>
                <w:u w:val="single" w:color="auto"/>
                <w:color w:val="0000EE"/>
                <w:w w:val="99"/>
              </w:rPr>
            </w:pPr>
            <w:hyperlink r:id="rId176">
              <w:r>
                <w:rPr>
                  <w:rFonts w:ascii="Arial" w:cs="Arial" w:eastAsia="Arial" w:hAnsi="Arial"/>
                  <w:sz w:val="18"/>
                  <w:szCs w:val="18"/>
                  <w:u w:val="single" w:color="auto"/>
                  <w:color w:val="0000EE"/>
                  <w:w w:val="99"/>
                </w:rPr>
                <w:t>reference to Exhibit 10.10.2 to the Company’s Registration Statement on Form S-1 filed with the SEC on October 2,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10.12+**</w:t>
            </w:r>
          </w:p>
        </w:tc>
        <w:tc>
          <w:tcPr>
            <w:tcW w:w="9700" w:type="dxa"/>
            <w:vAlign w:val="bottom"/>
            <w:gridSpan w:val="20"/>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Consulting Agreement, by and between David Brunel and Biodesix, Inc., dated September 19, 2020 (incorporated by reference to</w:t>
              </w:r>
            </w:hyperlink>
          </w:p>
        </w:tc>
      </w:tr>
      <w:tr>
        <w:trPr>
          <w:trHeight w:val="237"/>
        </w:trPr>
        <w:tc>
          <w:tcPr>
            <w:tcW w:w="1540" w:type="dxa"/>
            <w:vAlign w:val="bottom"/>
          </w:tcPr>
          <w:p>
            <w:pPr>
              <w:spacing w:after="0"/>
              <w:rPr>
                <w:sz w:val="20"/>
                <w:szCs w:val="20"/>
                <w:color w:val="auto"/>
              </w:rPr>
            </w:pPr>
          </w:p>
        </w:tc>
        <w:tc>
          <w:tcPr>
            <w:tcW w:w="934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Exhibit 10.11 to the Company’s Registration Statement on Form S-1 filed with the SEC on October 2, 2020).</w:t>
              </w:r>
            </w:hyperlink>
          </w:p>
        </w:tc>
        <w:tc>
          <w:tcPr>
            <w:tcW w:w="360" w:type="dxa"/>
            <w:vAlign w:val="bottom"/>
            <w:gridSpan w:val="9"/>
          </w:tcPr>
          <w:p>
            <w:pPr>
              <w:spacing w:after="0"/>
              <w:rPr>
                <w:sz w:val="20"/>
                <w:szCs w:val="20"/>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10.13†**</w:t>
            </w:r>
          </w:p>
        </w:tc>
        <w:tc>
          <w:tcPr>
            <w:tcW w:w="9480" w:type="dxa"/>
            <w:vAlign w:val="bottom"/>
            <w:tcBorders>
              <w:bottom w:val="single" w:sz="8" w:color="0000EE"/>
            </w:tcBorders>
            <w:gridSpan w:val="15"/>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Office Lease between Aero-Tech Investments, LLC and Biodesix, Inc., dated October 5, 2011 (incorporated by reference to Exhibit</w:t>
              </w:r>
            </w:hyperlink>
          </w:p>
        </w:tc>
        <w:tc>
          <w:tcPr>
            <w:tcW w:w="220" w:type="dxa"/>
            <w:vAlign w:val="bottom"/>
            <w:gridSpan w:val="5"/>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0"/>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the Company’s Registration Statement on Form S-1/A filed with the SEC on October 9, 2020).</w:t>
              </w:r>
            </w:hyperlink>
          </w:p>
        </w:tc>
      </w:tr>
      <w:tr>
        <w:trPr>
          <w:trHeight w:val="560"/>
        </w:trPr>
        <w:tc>
          <w:tcPr>
            <w:tcW w:w="1540" w:type="dxa"/>
            <w:vAlign w:val="bottom"/>
          </w:tcPr>
          <w:p>
            <w:pPr>
              <w:spacing w:after="0"/>
              <w:rPr>
                <w:sz w:val="24"/>
                <w:szCs w:val="24"/>
                <w:color w:val="auto"/>
              </w:rPr>
            </w:pPr>
          </w:p>
        </w:tc>
        <w:tc>
          <w:tcPr>
            <w:tcW w:w="4860" w:type="dxa"/>
            <w:vAlign w:val="bottom"/>
            <w:tcBorders>
              <w:top w:val="single" w:sz="8" w:color="0000EE"/>
            </w:tcBorders>
            <w:gridSpan w:val="2"/>
          </w:tcPr>
          <w:p>
            <w:pPr>
              <w:ind w:left="3960"/>
              <w:spacing w:after="0"/>
              <w:rPr>
                <w:sz w:val="20"/>
                <w:szCs w:val="20"/>
                <w:color w:val="auto"/>
              </w:rPr>
            </w:pPr>
            <w:r>
              <w:rPr>
                <w:rFonts w:ascii="Arial" w:cs="Arial" w:eastAsia="Arial" w:hAnsi="Arial"/>
                <w:sz w:val="18"/>
                <w:szCs w:val="18"/>
                <w:color w:val="auto"/>
              </w:rPr>
              <w:t>119</w:t>
            </w:r>
          </w:p>
        </w:tc>
        <w:tc>
          <w:tcPr>
            <w:tcW w:w="8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10.14†**</w:t>
            </w:r>
          </w:p>
        </w:tc>
        <w:tc>
          <w:tcPr>
            <w:tcW w:w="9700" w:type="dxa"/>
            <w:vAlign w:val="bottom"/>
            <w:gridSpan w:val="22"/>
          </w:tcPr>
          <w:p>
            <w:pPr>
              <w:spacing w:after="0"/>
              <w:rPr>
                <w:rFonts w:ascii="Arial" w:cs="Arial" w:eastAsia="Arial" w:hAnsi="Arial"/>
                <w:sz w:val="18"/>
                <w:szCs w:val="18"/>
                <w:color w:val="0000EE"/>
                <w:w w:val="97"/>
              </w:rPr>
            </w:pPr>
            <w:hyperlink r:id="rId181">
              <w:r>
                <w:rPr>
                  <w:rFonts w:ascii="Arial" w:cs="Arial" w:eastAsia="Arial" w:hAnsi="Arial"/>
                  <w:sz w:val="18"/>
                  <w:szCs w:val="18"/>
                  <w:color w:val="0000EE"/>
                  <w:w w:val="97"/>
                </w:rPr>
                <w:t>Lease Assignment of De Soto Facility, dated November 1, 2019 (incorporated by reference to Exhibit 10.13 to the Company’s</w:t>
              </w:r>
            </w:hyperlink>
          </w:p>
        </w:tc>
      </w:tr>
      <w:tr>
        <w:trPr>
          <w:trHeight w:val="196"/>
        </w:trPr>
        <w:tc>
          <w:tcPr>
            <w:tcW w:w="1540" w:type="dxa"/>
            <w:vAlign w:val="bottom"/>
          </w:tcPr>
          <w:p>
            <w:pPr>
              <w:spacing w:after="0"/>
              <w:rPr>
                <w:sz w:val="17"/>
                <w:szCs w:val="17"/>
                <w:color w:val="auto"/>
              </w:rPr>
            </w:pPr>
          </w:p>
        </w:tc>
        <w:tc>
          <w:tcPr>
            <w:tcW w:w="9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Registration Statement on Form S-1 filed with the SEC on October 2, 2020).</w:t>
              </w:r>
            </w:hyperlink>
          </w:p>
        </w:tc>
        <w:tc>
          <w:tcPr>
            <w:tcW w:w="620" w:type="dxa"/>
            <w:vAlign w:val="bottom"/>
            <w:gridSpan w:val="13"/>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10.15.1†**</w:t>
            </w:r>
          </w:p>
        </w:tc>
        <w:tc>
          <w:tcPr>
            <w:tcW w:w="9700" w:type="dxa"/>
            <w:vAlign w:val="bottom"/>
            <w:gridSpan w:val="22"/>
          </w:tcPr>
          <w:p>
            <w:pPr>
              <w:spacing w:after="0"/>
              <w:rPr>
                <w:rFonts w:ascii="Arial" w:cs="Arial" w:eastAsia="Arial" w:hAnsi="Arial"/>
                <w:sz w:val="18"/>
                <w:szCs w:val="18"/>
                <w:color w:val="0000EE"/>
                <w:w w:val="92"/>
              </w:rPr>
            </w:pPr>
            <w:hyperlink r:id="rId182">
              <w:r>
                <w:rPr>
                  <w:rFonts w:ascii="Arial" w:cs="Arial" w:eastAsia="Arial" w:hAnsi="Arial"/>
                  <w:sz w:val="18"/>
                  <w:szCs w:val="18"/>
                  <w:color w:val="0000EE"/>
                  <w:w w:val="92"/>
                </w:rPr>
                <w:t>Loan and Security Agreement, by and among Innovatus Life Sciences Lending Fund I, LP, the Lenders listed therein, and Biodesix,</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Inc., dated February 23, 2018 (incorporated by reference to Exhibit 10.13.1 to the Company’s Registration Statement on Form S-1/A</w:t>
              </w:r>
            </w:hyperlink>
          </w:p>
        </w:tc>
        <w:tc>
          <w:tcPr>
            <w:tcW w:w="180" w:type="dxa"/>
            <w:vAlign w:val="bottom"/>
            <w:gridSpan w:val="7"/>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filed with the SEC on October 9, 2020).</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10.15.2†**</w:t>
            </w:r>
          </w:p>
        </w:tc>
        <w:tc>
          <w:tcPr>
            <w:tcW w:w="9700" w:type="dxa"/>
            <w:vAlign w:val="bottom"/>
            <w:gridSpan w:val="22"/>
          </w:tcPr>
          <w:p>
            <w:pPr>
              <w:spacing w:after="0"/>
              <w:rPr>
                <w:rFonts w:ascii="Arial" w:cs="Arial" w:eastAsia="Arial" w:hAnsi="Arial"/>
                <w:sz w:val="18"/>
                <w:szCs w:val="18"/>
                <w:color w:val="0000EE"/>
                <w:w w:val="95"/>
              </w:rPr>
            </w:pPr>
            <w:hyperlink r:id="rId183">
              <w:r>
                <w:rPr>
                  <w:rFonts w:ascii="Arial" w:cs="Arial" w:eastAsia="Arial" w:hAnsi="Arial"/>
                  <w:sz w:val="18"/>
                  <w:szCs w:val="18"/>
                  <w:color w:val="0000EE"/>
                  <w:w w:val="95"/>
                </w:rPr>
                <w:t>Limited Consent Agreement and Second Amendment to Loan and Security Agreement, by and among Innovatus Life Sciences</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6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Lending Fund I, LP, the Lenders listed therein, and Biodesix, Inc., dated June 30, 2018, as amended to date (incorporated by reference</w:t>
              </w:r>
            </w:hyperlink>
          </w:p>
        </w:tc>
        <w:tc>
          <w:tcPr>
            <w:tcW w:w="20" w:type="dxa"/>
            <w:vAlign w:val="bottom"/>
          </w:tcPr>
          <w:p>
            <w:pPr>
              <w:spacing w:after="0"/>
              <w:rPr>
                <w:sz w:val="17"/>
                <w:szCs w:val="17"/>
                <w:color w:val="auto"/>
              </w:rPr>
            </w:pPr>
          </w:p>
        </w:tc>
      </w:tr>
      <w:tr>
        <w:trPr>
          <w:trHeight w:val="237"/>
        </w:trPr>
        <w:tc>
          <w:tcPr>
            <w:tcW w:w="1540" w:type="dxa"/>
            <w:vAlign w:val="bottom"/>
          </w:tcPr>
          <w:p>
            <w:pPr>
              <w:spacing w:after="0"/>
              <w:rPr>
                <w:sz w:val="20"/>
                <w:szCs w:val="20"/>
                <w:color w:val="auto"/>
              </w:rPr>
            </w:pPr>
          </w:p>
        </w:tc>
        <w:tc>
          <w:tcPr>
            <w:tcW w:w="9700" w:type="dxa"/>
            <w:vAlign w:val="bottom"/>
            <w:gridSpan w:val="22"/>
          </w:tcPr>
          <w:p>
            <w:pPr>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to Exhibit 10.14.2 to the Company’s Registration Statement on Form S-1 filed with the SEC on October 2,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10.16**</w:t>
            </w:r>
          </w:p>
        </w:tc>
        <w:tc>
          <w:tcPr>
            <w:tcW w:w="9700" w:type="dxa"/>
            <w:vAlign w:val="bottom"/>
            <w:gridSpan w:val="22"/>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Patent Assignment between Biodesix, Inc., and Integrated Diagnostics, Inc., dated June 30, 2018 (incorporated by reference to Exhibit</w:t>
              </w:r>
            </w:hyperlink>
          </w:p>
        </w:tc>
      </w:tr>
      <w:tr>
        <w:trPr>
          <w:trHeight w:val="196"/>
        </w:trPr>
        <w:tc>
          <w:tcPr>
            <w:tcW w:w="1540" w:type="dxa"/>
            <w:vAlign w:val="bottom"/>
          </w:tcPr>
          <w:p>
            <w:pPr>
              <w:spacing w:after="0"/>
              <w:rPr>
                <w:sz w:val="17"/>
                <w:szCs w:val="17"/>
                <w:color w:val="auto"/>
              </w:rPr>
            </w:pPr>
          </w:p>
        </w:tc>
        <w:tc>
          <w:tcPr>
            <w:tcW w:w="9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10.</w:t>
              </w:r>
              <w:r>
                <w:rPr>
                  <w:rFonts w:ascii="Arial" w:cs="Arial" w:eastAsia="Arial" w:hAnsi="Arial"/>
                  <w:sz w:val="18"/>
                  <w:szCs w:val="18"/>
                  <w:u w:val="single" w:color="auto"/>
                  <w:color w:val="0000EE"/>
                </w:rPr>
                <w:t>15</w:t>
              </w:r>
              <w:r>
                <w:rPr>
                  <w:rFonts w:ascii="Arial" w:cs="Arial" w:eastAsia="Arial" w:hAnsi="Arial"/>
                  <w:sz w:val="18"/>
                  <w:szCs w:val="18"/>
                  <w:color w:val="0000EE"/>
                </w:rPr>
                <w:t xml:space="preserve"> to the Company’s Registration Statement on Form S-1 filed with the SEC on October 2, 2020).</w:t>
              </w:r>
            </w:hyperlink>
          </w:p>
        </w:tc>
        <w:tc>
          <w:tcPr>
            <w:tcW w:w="2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10.17†**</w:t>
            </w:r>
          </w:p>
        </w:tc>
        <w:tc>
          <w:tcPr>
            <w:tcW w:w="9700" w:type="dxa"/>
            <w:vAlign w:val="bottom"/>
            <w:gridSpan w:val="22"/>
          </w:tcPr>
          <w:p>
            <w:pP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IP Assignment Agreement between Oncimmune Limited, and Biodesix, Inc., dated October 31, 2019 (incorporated by reference to</w:t>
              </w:r>
            </w:hyperlink>
          </w:p>
        </w:tc>
      </w:tr>
      <w:tr>
        <w:trPr>
          <w:trHeight w:val="237"/>
        </w:trPr>
        <w:tc>
          <w:tcPr>
            <w:tcW w:w="1540" w:type="dxa"/>
            <w:vAlign w:val="bottom"/>
          </w:tcPr>
          <w:p>
            <w:pPr>
              <w:spacing w:after="0"/>
              <w:rPr>
                <w:sz w:val="20"/>
                <w:szCs w:val="20"/>
                <w:color w:val="auto"/>
              </w:rPr>
            </w:pPr>
          </w:p>
        </w:tc>
        <w:tc>
          <w:tcPr>
            <w:tcW w:w="922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Exhibit 10.15 to the Company’s Registration Statement on Form S-1/A filed with the SEC on October 9, 2020).</w:t>
              </w:r>
            </w:hyperlink>
          </w:p>
        </w:tc>
        <w:tc>
          <w:tcPr>
            <w:tcW w:w="480" w:type="dxa"/>
            <w:vAlign w:val="bottom"/>
            <w:gridSpan w:val="11"/>
          </w:tcPr>
          <w:p>
            <w:pPr>
              <w:spacing w:after="0"/>
              <w:rPr>
                <w:sz w:val="20"/>
                <w:szCs w:val="20"/>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10.18†**</w:t>
            </w:r>
          </w:p>
        </w:tc>
        <w:tc>
          <w:tcPr>
            <w:tcW w:w="9560" w:type="dxa"/>
            <w:vAlign w:val="bottom"/>
            <w:tcBorders>
              <w:bottom w:val="single" w:sz="8" w:color="0000EE"/>
            </w:tcBorders>
            <w:gridSpan w:val="16"/>
          </w:tcPr>
          <w:p>
            <w:pPr>
              <w:spacing w:after="0"/>
              <w:rPr>
                <w:rFonts w:ascii="Arial" w:cs="Arial" w:eastAsia="Arial" w:hAnsi="Arial"/>
                <w:sz w:val="18"/>
                <w:szCs w:val="18"/>
                <w:color w:val="0000EE"/>
                <w:w w:val="89"/>
              </w:rPr>
            </w:pPr>
            <w:hyperlink r:id="rId186">
              <w:r>
                <w:rPr>
                  <w:rFonts w:ascii="Arial" w:cs="Arial" w:eastAsia="Arial" w:hAnsi="Arial"/>
                  <w:sz w:val="18"/>
                  <w:szCs w:val="18"/>
                  <w:color w:val="0000EE"/>
                  <w:w w:val="89"/>
                </w:rPr>
                <w:t>IP License Agreement between Oncimmune Limited, and Biodesix, Inc., dated October 31, 2019 (incorporated by reference to Exhibit</w:t>
              </w:r>
            </w:hyperlink>
          </w:p>
        </w:tc>
        <w:tc>
          <w:tcPr>
            <w:tcW w:w="140" w:type="dxa"/>
            <w:vAlign w:val="bottom"/>
            <w:gridSpan w:val="6"/>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10.</w:t>
              </w:r>
              <w:r>
                <w:rPr>
                  <w:rFonts w:ascii="Arial" w:cs="Arial" w:eastAsia="Arial" w:hAnsi="Arial"/>
                  <w:sz w:val="18"/>
                  <w:szCs w:val="18"/>
                  <w:u w:val="single" w:color="auto"/>
                  <w:color w:val="0000EE"/>
                </w:rPr>
                <w:t>16</w:t>
              </w:r>
              <w:r>
                <w:rPr>
                  <w:rFonts w:ascii="Arial" w:cs="Arial" w:eastAsia="Arial" w:hAnsi="Arial"/>
                  <w:sz w:val="18"/>
                  <w:szCs w:val="18"/>
                  <w:color w:val="0000EE"/>
                </w:rPr>
                <w:t xml:space="preserve"> to the Company’s Registration Statement on Form S-1/A filed with the SEC on October 9, 2020).</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10.19†**</w:t>
            </w:r>
          </w:p>
        </w:tc>
        <w:tc>
          <w:tcPr>
            <w:tcW w:w="9320" w:type="dxa"/>
            <w:vAlign w:val="bottom"/>
            <w:tcBorders>
              <w:bottom w:val="single" w:sz="8" w:color="0000EE"/>
            </w:tcBorders>
            <w:gridSpan w:val="12"/>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Non-Exclusive License Agreement between Bio-Rad Laboratories, Inc., and Biodesix, Inc., dated August 1, 2019 (incorporated by</w:t>
              </w:r>
            </w:hyperlink>
          </w:p>
        </w:tc>
        <w:tc>
          <w:tcPr>
            <w:tcW w:w="380" w:type="dxa"/>
            <w:vAlign w:val="bottom"/>
            <w:gridSpan w:val="10"/>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9700" w:type="dxa"/>
            <w:vAlign w:val="bottom"/>
            <w:gridSpan w:val="22"/>
          </w:tcPr>
          <w:p>
            <w:pPr>
              <w:spacing w:after="0"/>
              <w:rPr>
                <w:rFonts w:ascii="Arial" w:cs="Arial" w:eastAsia="Arial" w:hAnsi="Arial"/>
                <w:sz w:val="18"/>
                <w:szCs w:val="18"/>
                <w:u w:val="single" w:color="auto"/>
                <w:color w:val="0000EE"/>
                <w:w w:val="99"/>
              </w:rPr>
            </w:pPr>
            <w:hyperlink r:id="rId187">
              <w:r>
                <w:rPr>
                  <w:rFonts w:ascii="Arial" w:cs="Arial" w:eastAsia="Arial" w:hAnsi="Arial"/>
                  <w:sz w:val="18"/>
                  <w:szCs w:val="18"/>
                  <w:u w:val="single" w:color="auto"/>
                  <w:color w:val="0000EE"/>
                  <w:w w:val="99"/>
                </w:rPr>
                <w:t>reference to Exhibit 10.17 to the Company’s Registration Statement on Form S-1/A filed with the SEC on October 9,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10.20†**</w:t>
            </w:r>
          </w:p>
        </w:tc>
        <w:tc>
          <w:tcPr>
            <w:tcW w:w="9700" w:type="dxa"/>
            <w:vAlign w:val="bottom"/>
            <w:gridSpan w:val="22"/>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Supply Agreement between Biodesix, Inc., and Oncimmune, dated October 31, 2019 (incorporated by reference to Exhibit 10.18 to the</w:t>
              </w:r>
            </w:hyperlink>
          </w:p>
        </w:tc>
      </w:tr>
      <w:tr>
        <w:trPr>
          <w:trHeight w:val="196"/>
        </w:trPr>
        <w:tc>
          <w:tcPr>
            <w:tcW w:w="1540" w:type="dxa"/>
            <w:vAlign w:val="bottom"/>
          </w:tcPr>
          <w:p>
            <w:pPr>
              <w:spacing w:after="0"/>
              <w:rPr>
                <w:sz w:val="17"/>
                <w:szCs w:val="17"/>
                <w:color w:val="auto"/>
              </w:rPr>
            </w:pPr>
          </w:p>
        </w:tc>
        <w:tc>
          <w:tcPr>
            <w:tcW w:w="9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Company’s Registration Statement on Form S-1/A filed with the SEC on October 9, 2020).</w:t>
              </w:r>
            </w:hyperlink>
          </w:p>
        </w:tc>
        <w:tc>
          <w:tcPr>
            <w:tcW w:w="2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10.21†**</w:t>
            </w:r>
          </w:p>
        </w:tc>
        <w:tc>
          <w:tcPr>
            <w:tcW w:w="9700" w:type="dxa"/>
            <w:vAlign w:val="bottom"/>
            <w:gridSpan w:val="22"/>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Supply Agreement between Bio-Rad Laboratories, Inc., and Biodesix, Inc., dated August 1, 2019 (incorporated by reference to Exhibit</w:t>
              </w:r>
            </w:hyperlink>
          </w:p>
        </w:tc>
      </w:tr>
      <w:tr>
        <w:trPr>
          <w:trHeight w:val="196"/>
        </w:trPr>
        <w:tc>
          <w:tcPr>
            <w:tcW w:w="1540" w:type="dxa"/>
            <w:vAlign w:val="bottom"/>
          </w:tcPr>
          <w:p>
            <w:pPr>
              <w:spacing w:after="0"/>
              <w:rPr>
                <w:sz w:val="17"/>
                <w:szCs w:val="17"/>
                <w:color w:val="auto"/>
              </w:rPr>
            </w:pPr>
          </w:p>
        </w:tc>
        <w:tc>
          <w:tcPr>
            <w:tcW w:w="9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10.</w:t>
              </w:r>
              <w:r>
                <w:rPr>
                  <w:rFonts w:ascii="Arial" w:cs="Arial" w:eastAsia="Arial" w:hAnsi="Arial"/>
                  <w:sz w:val="18"/>
                  <w:szCs w:val="18"/>
                  <w:u w:val="single" w:color="auto"/>
                  <w:color w:val="0000EE"/>
                </w:rPr>
                <w:t>19</w:t>
              </w:r>
              <w:r>
                <w:rPr>
                  <w:rFonts w:ascii="Arial" w:cs="Arial" w:eastAsia="Arial" w:hAnsi="Arial"/>
                  <w:sz w:val="18"/>
                  <w:szCs w:val="18"/>
                  <w:color w:val="0000EE"/>
                </w:rPr>
                <w:t xml:space="preserve"> to the Company’s Registration Statement on Form S-1/A filed with the SEC on October 9, 2020).</w:t>
              </w:r>
            </w:hyperlink>
          </w:p>
        </w:tc>
        <w:tc>
          <w:tcPr>
            <w:tcW w:w="60" w:type="dxa"/>
            <w:vAlign w:val="bottom"/>
            <w:gridSpan w:val="3"/>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10.22†**</w:t>
            </w:r>
          </w:p>
        </w:tc>
        <w:tc>
          <w:tcPr>
            <w:tcW w:w="9060" w:type="dxa"/>
            <w:vAlign w:val="bottom"/>
            <w:tcBorders>
              <w:bottom w:val="single" w:sz="8" w:color="0000EE"/>
            </w:tcBorders>
            <w:gridSpan w:val="8"/>
          </w:tcPr>
          <w:p>
            <w:pPr>
              <w:spacing w:after="0"/>
              <w:rPr>
                <w:rFonts w:ascii="Arial" w:cs="Arial" w:eastAsia="Arial" w:hAnsi="Arial"/>
                <w:sz w:val="18"/>
                <w:szCs w:val="18"/>
                <w:color w:val="0000EE"/>
                <w:w w:val="88"/>
              </w:rPr>
            </w:pPr>
            <w:hyperlink r:id="rId190">
              <w:r>
                <w:rPr>
                  <w:rFonts w:ascii="Arial" w:cs="Arial" w:eastAsia="Arial" w:hAnsi="Arial"/>
                  <w:sz w:val="18"/>
                  <w:szCs w:val="18"/>
                  <w:color w:val="0000EE"/>
                  <w:w w:val="88"/>
                </w:rPr>
                <w:t>Co-Development and Collaboration Agreement between AVEO Pharmaceuticals, Inc., and Biodesix, Inc., dated April 9, 2014, as</w:t>
              </w:r>
            </w:hyperlink>
          </w:p>
        </w:tc>
        <w:tc>
          <w:tcPr>
            <w:tcW w:w="640" w:type="dxa"/>
            <w:vAlign w:val="bottom"/>
            <w:gridSpan w:val="14"/>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6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amended October 14, 2016 (incorporated by reference to Exhibit 10.20 to the Company’s Registration Statement on Form S-1/A filed</w:t>
              </w:r>
            </w:hyperlink>
          </w:p>
        </w:tc>
        <w:tc>
          <w:tcPr>
            <w:tcW w:w="80" w:type="dxa"/>
            <w:vAlign w:val="bottom"/>
            <w:gridSpan w:val="4"/>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with the SEC on October 9, 2020).</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10.23†**</w:t>
            </w:r>
          </w:p>
        </w:tc>
        <w:tc>
          <w:tcPr>
            <w:tcW w:w="9320" w:type="dxa"/>
            <w:vAlign w:val="bottom"/>
            <w:tcBorders>
              <w:bottom w:val="single" w:sz="8" w:color="0000EE"/>
            </w:tcBorders>
            <w:gridSpan w:val="12"/>
          </w:tcPr>
          <w:p>
            <w:pPr>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Contingent Value Rights Agreement between Biodesix, Inc. and Holders on Schedule A mentioned within, dated February 22, 2016</w:t>
              </w:r>
            </w:hyperlink>
          </w:p>
        </w:tc>
        <w:tc>
          <w:tcPr>
            <w:tcW w:w="380" w:type="dxa"/>
            <w:vAlign w:val="bottom"/>
            <w:gridSpan w:val="10"/>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(incorporated by reference to Exhibit 10.22 to the Company’s Registration Statement on Form S-1 filed with the SEC on October 2,</w:t>
              </w:r>
            </w:hyperlink>
          </w:p>
        </w:tc>
      </w:tr>
      <w:tr>
        <w:trPr>
          <w:trHeight w:val="196"/>
        </w:trPr>
        <w:tc>
          <w:tcPr>
            <w:tcW w:w="15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2020).</w:t>
              </w:r>
            </w:hyperlink>
          </w:p>
        </w:tc>
        <w:tc>
          <w:tcPr>
            <w:tcW w:w="20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10.24†**</w:t>
            </w:r>
          </w:p>
        </w:tc>
        <w:tc>
          <w:tcPr>
            <w:tcW w:w="9700" w:type="dxa"/>
            <w:vAlign w:val="bottom"/>
            <w:gridSpan w:val="22"/>
          </w:tcPr>
          <w:p>
            <w:pPr>
              <w:spacing w:after="0"/>
              <w:rPr>
                <w:rFonts w:ascii="Arial" w:cs="Arial" w:eastAsia="Arial" w:hAnsi="Arial"/>
                <w:sz w:val="18"/>
                <w:szCs w:val="18"/>
                <w:color w:val="0000EE"/>
                <w:w w:val="92"/>
              </w:rPr>
            </w:pPr>
            <w:hyperlink r:id="rId192">
              <w:r>
                <w:rPr>
                  <w:rFonts w:ascii="Arial" w:cs="Arial" w:eastAsia="Arial" w:hAnsi="Arial"/>
                  <w:sz w:val="18"/>
                  <w:szCs w:val="18"/>
                  <w:color w:val="0000EE"/>
                  <w:w w:val="92"/>
                </w:rPr>
                <w:t>Asset Purchase Agreement among Biodesix, Inc., Integrated Diagnostics, Inc., and the stockholders of Integrated Diagnostics, Inc.,</w:t>
              </w:r>
            </w:hyperlink>
          </w:p>
        </w:tc>
      </w:tr>
      <w:tr>
        <w:trPr>
          <w:trHeight w:val="20"/>
        </w:trPr>
        <w:tc>
          <w:tcPr>
            <w:tcW w:w="1540" w:type="dxa"/>
            <w:vAlign w:val="bottom"/>
          </w:tcPr>
          <w:p>
            <w:pPr>
              <w:spacing w:after="0" w:line="20" w:lineRule="exact"/>
              <w:rPr>
                <w:sz w:val="1"/>
                <w:szCs w:val="1"/>
                <w:color w:val="auto"/>
              </w:rPr>
            </w:pPr>
          </w:p>
        </w:tc>
        <w:tc>
          <w:tcPr>
            <w:tcW w:w="9400" w:type="dxa"/>
            <w:vAlign w:val="bottom"/>
            <w:gridSpan w:val="1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6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listed therein, dated June 30, 2018 (incorporated by reference to Exhibit 10.23 to the Company’s Registration Statement on Form S-1</w:t>
              </w:r>
            </w:hyperlink>
          </w:p>
        </w:tc>
        <w:tc>
          <w:tcPr>
            <w:tcW w:w="100" w:type="dxa"/>
            <w:vAlign w:val="bottom"/>
            <w:gridSpan w:val="5"/>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filed with the SEC on October 2, 2020).</w:t>
              </w:r>
            </w:hyperlink>
          </w:p>
        </w:tc>
      </w:tr>
      <w:tr>
        <w:trPr>
          <w:trHeight w:val="20"/>
        </w:trPr>
        <w:tc>
          <w:tcPr>
            <w:tcW w:w="154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78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10.25†**</w:t>
            </w:r>
          </w:p>
        </w:tc>
        <w:tc>
          <w:tcPr>
            <w:tcW w:w="9700" w:type="dxa"/>
            <w:vAlign w:val="bottom"/>
            <w:gridSpan w:val="22"/>
          </w:tcPr>
          <w:p>
            <w:pPr>
              <w:spacing w:after="0"/>
              <w:rPr>
                <w:rFonts w:ascii="Arial" w:cs="Arial" w:eastAsia="Arial" w:hAnsi="Arial"/>
                <w:sz w:val="18"/>
                <w:szCs w:val="18"/>
                <w:color w:val="0000EE"/>
                <w:w w:val="89"/>
              </w:rPr>
            </w:pPr>
            <w:hyperlink r:id="rId193">
              <w:r>
                <w:rPr>
                  <w:rFonts w:ascii="Arial" w:cs="Arial" w:eastAsia="Arial" w:hAnsi="Arial"/>
                  <w:sz w:val="18"/>
                  <w:szCs w:val="18"/>
                  <w:color w:val="0000EE"/>
                  <w:w w:val="89"/>
                </w:rPr>
                <w:t>Asset Purchase Agreement between Oncimmune Limited and Biodesix, Inc., dated June 27, 2019, as amended to date (incorporated by</w:t>
              </w:r>
            </w:hyperlink>
          </w:p>
        </w:tc>
      </w:tr>
      <w:tr>
        <w:trPr>
          <w:trHeight w:val="237"/>
        </w:trPr>
        <w:tc>
          <w:tcPr>
            <w:tcW w:w="1540" w:type="dxa"/>
            <w:vAlign w:val="bottom"/>
          </w:tcPr>
          <w:p>
            <w:pPr>
              <w:spacing w:after="0"/>
              <w:rPr>
                <w:sz w:val="20"/>
                <w:szCs w:val="20"/>
                <w:color w:val="auto"/>
              </w:rPr>
            </w:pPr>
          </w:p>
        </w:tc>
        <w:tc>
          <w:tcPr>
            <w:tcW w:w="966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reference to Exhibit 10.24 to the Company’s Registration Statement on Form S-1 filed with the SEC on October 2, 2020).</w:t>
              </w:r>
            </w:hyperlink>
          </w:p>
        </w:tc>
        <w:tc>
          <w:tcPr>
            <w:tcW w:w="40" w:type="dxa"/>
            <w:vAlign w:val="bottom"/>
            <w:gridSpan w:val="2"/>
          </w:tcPr>
          <w:p>
            <w:pPr>
              <w:spacing w:after="0"/>
              <w:rPr>
                <w:sz w:val="20"/>
                <w:szCs w:val="20"/>
                <w:color w:val="auto"/>
              </w:rPr>
            </w:pPr>
          </w:p>
        </w:tc>
      </w:tr>
      <w:tr>
        <w:trPr>
          <w:trHeight w:val="540"/>
        </w:trPr>
        <w:tc>
          <w:tcPr>
            <w:tcW w:w="1540" w:type="dxa"/>
            <w:vAlign w:val="bottom"/>
          </w:tcPr>
          <w:p>
            <w:pPr>
              <w:spacing w:after="0"/>
              <w:rPr>
                <w:sz w:val="24"/>
                <w:szCs w:val="24"/>
                <w:color w:val="auto"/>
              </w:rPr>
            </w:pPr>
          </w:p>
        </w:tc>
        <w:tc>
          <w:tcPr>
            <w:tcW w:w="5520" w:type="dxa"/>
            <w:vAlign w:val="bottom"/>
            <w:gridSpan w:val="4"/>
          </w:tcPr>
          <w:p>
            <w:pPr>
              <w:ind w:left="3940"/>
              <w:spacing w:after="0"/>
              <w:rPr>
                <w:sz w:val="20"/>
                <w:szCs w:val="20"/>
                <w:color w:val="auto"/>
              </w:rPr>
            </w:pPr>
            <w:r>
              <w:rPr>
                <w:rFonts w:ascii="Arial" w:cs="Arial" w:eastAsia="Arial" w:hAnsi="Arial"/>
                <w:sz w:val="18"/>
                <w:szCs w:val="18"/>
                <w:color w:val="auto"/>
              </w:rPr>
              <w:t>120</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10.26†**</w:t>
            </w:r>
          </w:p>
        </w:tc>
        <w:tc>
          <w:tcPr>
            <w:tcW w:w="9700" w:type="dxa"/>
            <w:vAlign w:val="bottom"/>
            <w:gridSpan w:val="17"/>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COVID-19 Testing Laboratory Services Agreement by and between Biodesix, Inc., and Centura Health Corporation, dated April 3, 2020</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9700" w:type="dxa"/>
            <w:vAlign w:val="bottom"/>
            <w:gridSpan w:val="17"/>
          </w:tcPr>
          <w:p>
            <w:pPr>
              <w:spacing w:after="0"/>
              <w:rPr>
                <w:rFonts w:ascii="Arial" w:cs="Arial" w:eastAsia="Arial" w:hAnsi="Arial"/>
                <w:sz w:val="18"/>
                <w:szCs w:val="18"/>
                <w:color w:val="0000EE"/>
                <w:w w:val="88"/>
              </w:rPr>
            </w:pPr>
            <w:hyperlink r:id="rId196">
              <w:r>
                <w:rPr>
                  <w:rFonts w:ascii="Arial" w:cs="Arial" w:eastAsia="Arial" w:hAnsi="Arial"/>
                  <w:sz w:val="18"/>
                  <w:szCs w:val="18"/>
                  <w:u w:val="single" w:color="auto"/>
                  <w:color w:val="0000EE"/>
                  <w:w w:val="88"/>
                </w:rPr>
                <w:t>(incorporated by reference to Exhibit 10.25 to the Company’s Registration Statement on Form S-1 filed with the SEC on October 2, 2020)</w:t>
              </w:r>
              <w:r>
                <w:rPr>
                  <w:rFonts w:ascii="Arial" w:cs="Arial" w:eastAsia="Arial" w:hAnsi="Arial"/>
                  <w:sz w:val="18"/>
                  <w:szCs w:val="18"/>
                  <w:color w:val="0000EE"/>
                  <w:w w:val="88"/>
                </w:rPr>
                <w:t>.</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10.27†**</w:t>
            </w:r>
          </w:p>
        </w:tc>
        <w:tc>
          <w:tcPr>
            <w:tcW w:w="9700" w:type="dxa"/>
            <w:vAlign w:val="bottom"/>
            <w:gridSpan w:val="17"/>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First Amendment to COVID-19 Testing Laboratory Services Agreement by and between Biodesix, Inc. and Centura Health Corporation,</w:t>
              </w:r>
            </w:hyperlink>
          </w:p>
        </w:tc>
      </w:tr>
      <w:tr>
        <w:trPr>
          <w:trHeight w:val="196"/>
        </w:trPr>
        <w:tc>
          <w:tcPr>
            <w:tcW w:w="1540" w:type="dxa"/>
            <w:vAlign w:val="bottom"/>
          </w:tcPr>
          <w:p>
            <w:pPr>
              <w:spacing w:after="0"/>
              <w:rPr>
                <w:sz w:val="17"/>
                <w:szCs w:val="17"/>
                <w:color w:val="auto"/>
              </w:rPr>
            </w:pPr>
          </w:p>
        </w:tc>
        <w:tc>
          <w:tcPr>
            <w:tcW w:w="968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dated April 23, 2020 (incorporated by reference to Exhibit 10.26 to the Company’s Registration Statement on Form S-1 filed with the</w:t>
              </w:r>
            </w:hyperlink>
          </w:p>
        </w:tc>
        <w:tc>
          <w:tcPr>
            <w:tcW w:w="2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SEC on October 2, 2020).</w:t>
              </w:r>
            </w:hyperlink>
          </w:p>
        </w:tc>
        <w:tc>
          <w:tcPr>
            <w:tcW w:w="7700" w:type="dxa"/>
            <w:vAlign w:val="bottom"/>
            <w:tcBorders>
              <w:top w:val="single" w:sz="8" w:color="0000EE"/>
            </w:tcBorders>
            <w:gridSpan w:val="12"/>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10.28†**</w:t>
            </w:r>
          </w:p>
        </w:tc>
        <w:tc>
          <w:tcPr>
            <w:tcW w:w="8940" w:type="dxa"/>
            <w:vAlign w:val="bottom"/>
            <w:tcBorders>
              <w:bottom w:val="single" w:sz="8" w:color="0000EE"/>
            </w:tcBorders>
            <w:gridSpan w:val="8"/>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Second Amendment to COVID-19 Testing Laboratory Services Agreement by and between Biodesix, Inc. and Centura Health</w:t>
              </w:r>
            </w:hyperlink>
          </w:p>
        </w:tc>
        <w:tc>
          <w:tcPr>
            <w:tcW w:w="760" w:type="dxa"/>
            <w:vAlign w:val="bottom"/>
            <w:gridSpan w:val="9"/>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Corporation, dated May 27, 2020 (incorporated by reference to Exhibit 10.27 to the Company’s Registration Statement on Form S-1</w:t>
              </w:r>
            </w:hyperlink>
          </w:p>
        </w:tc>
        <w:tc>
          <w:tcPr>
            <w:tcW w:w="180" w:type="dxa"/>
            <w:vAlign w:val="bottom"/>
            <w:gridSpan w:val="4"/>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filed with the SEC on October 2, 2020).</w:t>
              </w:r>
            </w:hyperlink>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10.29†**</w:t>
            </w:r>
          </w:p>
        </w:tc>
        <w:tc>
          <w:tcPr>
            <w:tcW w:w="8800" w:type="dxa"/>
            <w:vAlign w:val="bottom"/>
            <w:tcBorders>
              <w:bottom w:val="single" w:sz="8" w:color="0000EE"/>
            </w:tcBorders>
            <w:gridSpan w:val="6"/>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Third Amendment to COVID-19 Testing Laboratory Services Agreement by and between Biodesix, Inc. and Centura Health</w:t>
              </w:r>
            </w:hyperlink>
          </w:p>
        </w:tc>
        <w:tc>
          <w:tcPr>
            <w:tcW w:w="900" w:type="dxa"/>
            <w:vAlign w:val="bottom"/>
            <w:gridSpan w:val="11"/>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Corporation, dated August 7, 2020 (incorporated by reference to Exhibit 10.28 to the Company’s Registration Statement on Form S-1</w:t>
              </w:r>
            </w:hyperlink>
          </w:p>
        </w:tc>
      </w:tr>
      <w:tr>
        <w:trPr>
          <w:trHeight w:val="196"/>
        </w:trPr>
        <w:tc>
          <w:tcPr>
            <w:tcW w:w="154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filed with the SEC on October 2, 2020).</w:t>
              </w:r>
            </w:hyperlink>
          </w:p>
        </w:tc>
        <w:tc>
          <w:tcPr>
            <w:tcW w:w="100" w:type="dxa"/>
            <w:vAlign w:val="bottom"/>
            <w:gridSpan w:val="2"/>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10.30†**</w:t>
            </w:r>
          </w:p>
        </w:tc>
        <w:tc>
          <w:tcPr>
            <w:tcW w:w="9700" w:type="dxa"/>
            <w:vAlign w:val="bottom"/>
            <w:gridSpan w:val="17"/>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Contract Agreement between Biodesix, Inc. and the Colorado Department of Public Health and Environment, dated September 11, 2020</w:t>
              </w:r>
            </w:hyperlink>
          </w:p>
        </w:tc>
      </w:tr>
      <w:tr>
        <w:trPr>
          <w:trHeight w:val="196"/>
        </w:trPr>
        <w:tc>
          <w:tcPr>
            <w:tcW w:w="1540" w:type="dxa"/>
            <w:vAlign w:val="bottom"/>
          </w:tcPr>
          <w:p>
            <w:pPr>
              <w:spacing w:after="0"/>
              <w:rPr>
                <w:sz w:val="17"/>
                <w:szCs w:val="17"/>
                <w:color w:val="auto"/>
              </w:rPr>
            </w:pPr>
          </w:p>
        </w:tc>
        <w:tc>
          <w:tcPr>
            <w:tcW w:w="958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(incorporated by reference to Exhibit 10.29 to the Company’s Registration Statement on Form S-1 filed with the SEC on October 2,</w:t>
              </w:r>
            </w:hyperlink>
          </w:p>
        </w:tc>
        <w:tc>
          <w:tcPr>
            <w:tcW w:w="120" w:type="dxa"/>
            <w:vAlign w:val="bottom"/>
            <w:gridSpan w:val="3"/>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2020).</w:t>
              </w:r>
            </w:hyperlink>
          </w:p>
        </w:tc>
        <w:tc>
          <w:tcPr>
            <w:tcW w:w="14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10.31†**</w:t>
            </w:r>
          </w:p>
        </w:tc>
        <w:tc>
          <w:tcPr>
            <w:tcW w:w="9700" w:type="dxa"/>
            <w:vAlign w:val="bottom"/>
            <w:gridSpan w:val="17"/>
          </w:tcPr>
          <w:p>
            <w:pPr>
              <w:spacing w:after="0"/>
              <w:rPr>
                <w:rFonts w:ascii="Arial" w:cs="Arial" w:eastAsia="Arial" w:hAnsi="Arial"/>
                <w:sz w:val="18"/>
                <w:szCs w:val="18"/>
                <w:color w:val="0000EE"/>
                <w:w w:val="92"/>
              </w:rPr>
            </w:pPr>
            <w:hyperlink r:id="rId201">
              <w:r>
                <w:rPr>
                  <w:rFonts w:ascii="Arial" w:cs="Arial" w:eastAsia="Arial" w:hAnsi="Arial"/>
                  <w:sz w:val="18"/>
                  <w:szCs w:val="18"/>
                  <w:color w:val="0000EE"/>
                  <w:w w:val="92"/>
                </w:rPr>
                <w:t>Material Transfer Agreement by and between Biodesix, Inc. and Bio-Rad Laboratories, Inc., dated March 23, 2020 (incorporated by</w:t>
              </w:r>
            </w:hyperlink>
          </w:p>
        </w:tc>
      </w:tr>
      <w:tr>
        <w:trPr>
          <w:trHeight w:val="237"/>
        </w:trPr>
        <w:tc>
          <w:tcPr>
            <w:tcW w:w="1540" w:type="dxa"/>
            <w:vAlign w:val="bottom"/>
          </w:tcPr>
          <w:p>
            <w:pPr>
              <w:spacing w:after="0"/>
              <w:rPr>
                <w:sz w:val="20"/>
                <w:szCs w:val="20"/>
                <w:color w:val="auto"/>
              </w:rPr>
            </w:pPr>
          </w:p>
        </w:tc>
        <w:tc>
          <w:tcPr>
            <w:tcW w:w="9440" w:type="dxa"/>
            <w:vAlign w:val="bottom"/>
            <w:tcBorders>
              <w:top w:val="single" w:sz="8" w:color="0000EE"/>
            </w:tcBorders>
            <w:gridSpan w:val="11"/>
          </w:tcPr>
          <w:p>
            <w:pPr>
              <w:spacing w:after="0"/>
              <w:rPr>
                <w:rFonts w:ascii="Arial" w:cs="Arial" w:eastAsia="Arial" w:hAnsi="Arial"/>
                <w:sz w:val="18"/>
                <w:szCs w:val="18"/>
                <w:u w:val="single" w:color="auto"/>
                <w:color w:val="0000EE"/>
                <w:w w:val="98"/>
              </w:rPr>
            </w:pPr>
            <w:hyperlink r:id="rId201">
              <w:r>
                <w:rPr>
                  <w:rFonts w:ascii="Arial" w:cs="Arial" w:eastAsia="Arial" w:hAnsi="Arial"/>
                  <w:sz w:val="18"/>
                  <w:szCs w:val="18"/>
                  <w:u w:val="single" w:color="auto"/>
                  <w:color w:val="0000EE"/>
                  <w:w w:val="98"/>
                </w:rPr>
                <w:t>reference to Exhibit 10.30 to the Company’s Registration Statement on Form S-1 filed with the SEC on October 2, 2020).</w:t>
              </w:r>
            </w:hyperlink>
          </w:p>
        </w:tc>
        <w:tc>
          <w:tcPr>
            <w:tcW w:w="260" w:type="dxa"/>
            <w:vAlign w:val="bottom"/>
            <w:gridSpan w:val="6"/>
          </w:tcPr>
          <w:p>
            <w:pPr>
              <w:spacing w:after="0"/>
              <w:rPr>
                <w:sz w:val="20"/>
                <w:szCs w:val="20"/>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10.32†**</w:t>
            </w:r>
          </w:p>
        </w:tc>
        <w:tc>
          <w:tcPr>
            <w:tcW w:w="9340" w:type="dxa"/>
            <w:vAlign w:val="bottom"/>
            <w:tcBorders>
              <w:bottom w:val="single" w:sz="8" w:color="0000EE"/>
            </w:tcBorders>
            <w:gridSpan w:val="10"/>
          </w:tcPr>
          <w:p>
            <w:pPr>
              <w:spacing w:after="0"/>
              <w:rPr>
                <w:rFonts w:ascii="Arial" w:cs="Arial" w:eastAsia="Arial" w:hAnsi="Arial"/>
                <w:sz w:val="18"/>
                <w:szCs w:val="18"/>
                <w:color w:val="0000EE"/>
                <w:w w:val="89"/>
              </w:rPr>
            </w:pPr>
            <w:hyperlink r:id="rId202">
              <w:r>
                <w:rPr>
                  <w:rFonts w:ascii="Arial" w:cs="Arial" w:eastAsia="Arial" w:hAnsi="Arial"/>
                  <w:sz w:val="18"/>
                  <w:szCs w:val="18"/>
                  <w:color w:val="0000EE"/>
                  <w:w w:val="89"/>
                </w:rPr>
                <w:t>First Amendment to Material Transfer Agreement by and between Biodesix, Inc. and Bio-Rad Laboratories, Inc. dated April 3, 2020</w:t>
              </w:r>
            </w:hyperlink>
          </w:p>
        </w:tc>
        <w:tc>
          <w:tcPr>
            <w:tcW w:w="360" w:type="dxa"/>
            <w:vAlign w:val="bottom"/>
            <w:gridSpan w:val="7"/>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w w:val="93"/>
              </w:rPr>
            </w:pPr>
            <w:hyperlink r:id="rId202">
              <w:r>
                <w:rPr>
                  <w:rFonts w:ascii="Arial" w:cs="Arial" w:eastAsia="Arial" w:hAnsi="Arial"/>
                  <w:sz w:val="18"/>
                  <w:szCs w:val="18"/>
                  <w:color w:val="0000EE"/>
                  <w:w w:val="93"/>
                </w:rPr>
                <w:t>(incorporated by reference to Exhibit 10.31 to the Company’s Registration Statement on Form S-1 filed with the SEC on October 2,</w:t>
              </w:r>
            </w:hyperlink>
          </w:p>
        </w:tc>
      </w:tr>
      <w:tr>
        <w:trPr>
          <w:trHeight w:val="196"/>
        </w:trPr>
        <w:tc>
          <w:tcPr>
            <w:tcW w:w="15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2020).</w:t>
              </w:r>
            </w:hyperlink>
          </w:p>
        </w:tc>
        <w:tc>
          <w:tcPr>
            <w:tcW w:w="14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10.33†**</w:t>
            </w:r>
          </w:p>
        </w:tc>
        <w:tc>
          <w:tcPr>
            <w:tcW w:w="9340" w:type="dxa"/>
            <w:vAlign w:val="bottom"/>
            <w:tcBorders>
              <w:bottom w:val="single" w:sz="8" w:color="0000EE"/>
            </w:tcBorders>
            <w:gridSpan w:val="10"/>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 xml:space="preserve">Material Transfer Agreement </w:t>
              </w:r>
              <w:r>
                <w:rPr>
                  <w:rFonts w:ascii="Arial" w:cs="Arial" w:eastAsia="Arial" w:hAnsi="Arial"/>
                  <w:sz w:val="18"/>
                  <w:szCs w:val="18"/>
                  <w:u w:val="single" w:color="auto"/>
                  <w:color w:val="0000EE"/>
                  <w:w w:val="90"/>
                </w:rPr>
                <w:t>by</w:t>
              </w:r>
              <w:r>
                <w:rPr>
                  <w:rFonts w:ascii="Arial" w:cs="Arial" w:eastAsia="Arial" w:hAnsi="Arial"/>
                  <w:sz w:val="18"/>
                  <w:szCs w:val="18"/>
                  <w:color w:val="0000EE"/>
                  <w:w w:val="90"/>
                </w:rPr>
                <w:t xml:space="preserve"> and between Biodesix, Inc. and Bio-Rad Laboratories, Inc., dated April </w:t>
              </w:r>
              <w:r>
                <w:rPr>
                  <w:rFonts w:ascii="Arial" w:cs="Arial" w:eastAsia="Arial" w:hAnsi="Arial"/>
                  <w:sz w:val="18"/>
                  <w:szCs w:val="18"/>
                  <w:u w:val="single" w:color="auto"/>
                  <w:color w:val="0000EE"/>
                  <w:w w:val="90"/>
                </w:rPr>
                <w:t>17,</w:t>
              </w:r>
              <w:r>
                <w:rPr>
                  <w:rFonts w:ascii="Arial" w:cs="Arial" w:eastAsia="Arial" w:hAnsi="Arial"/>
                  <w:sz w:val="18"/>
                  <w:szCs w:val="18"/>
                  <w:color w:val="0000EE"/>
                  <w:w w:val="90"/>
                </w:rPr>
                <w:t xml:space="preserve"> 2020 (incorporated by</w:t>
              </w:r>
            </w:hyperlink>
          </w:p>
        </w:tc>
        <w:tc>
          <w:tcPr>
            <w:tcW w:w="360" w:type="dxa"/>
            <w:vAlign w:val="bottom"/>
            <w:gridSpan w:val="7"/>
          </w:tcPr>
          <w:p>
            <w:pPr>
              <w:spacing w:after="0"/>
              <w:rPr>
                <w:sz w:val="24"/>
                <w:szCs w:val="24"/>
                <w:color w:val="auto"/>
              </w:rPr>
            </w:pPr>
          </w:p>
        </w:tc>
      </w:tr>
      <w:tr>
        <w:trPr>
          <w:trHeight w:val="237"/>
        </w:trPr>
        <w:tc>
          <w:tcPr>
            <w:tcW w:w="1540" w:type="dxa"/>
            <w:vAlign w:val="bottom"/>
          </w:tcPr>
          <w:p>
            <w:pPr>
              <w:spacing w:after="0"/>
              <w:rPr>
                <w:sz w:val="20"/>
                <w:szCs w:val="20"/>
                <w:color w:val="auto"/>
              </w:rPr>
            </w:pPr>
          </w:p>
        </w:tc>
        <w:tc>
          <w:tcPr>
            <w:tcW w:w="9700" w:type="dxa"/>
            <w:vAlign w:val="bottom"/>
            <w:gridSpan w:val="17"/>
          </w:tcPr>
          <w:p>
            <w:pPr>
              <w:spacing w:after="0"/>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reference to Exhibit 10.32 to the Company’s Registration Statement on Form S-1 filed with the SEC on October 2, 2020).</w:t>
              </w:r>
            </w:hyperlink>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10.34†**</w:t>
            </w:r>
          </w:p>
        </w:tc>
        <w:tc>
          <w:tcPr>
            <w:tcW w:w="9700" w:type="dxa"/>
            <w:vAlign w:val="bottom"/>
            <w:gridSpan w:val="17"/>
          </w:tcPr>
          <w:p>
            <w:pPr>
              <w:spacing w:after="0"/>
              <w:rPr>
                <w:rFonts w:ascii="Arial" w:cs="Arial" w:eastAsia="Arial" w:hAnsi="Arial"/>
                <w:sz w:val="18"/>
                <w:szCs w:val="18"/>
                <w:color w:val="0000EE"/>
                <w:w w:val="93"/>
              </w:rPr>
            </w:pPr>
            <w:hyperlink r:id="rId204">
              <w:r>
                <w:rPr>
                  <w:rFonts w:ascii="Arial" w:cs="Arial" w:eastAsia="Arial" w:hAnsi="Arial"/>
                  <w:sz w:val="18"/>
                  <w:szCs w:val="18"/>
                  <w:color w:val="0000EE"/>
                  <w:w w:val="93"/>
                </w:rPr>
                <w:t>Price Agreement by and between Biodesix, Inc. and Bio-Rad Laboratories, Inc., dated May 12, 2020 (incorporated by reference to</w:t>
              </w:r>
            </w:hyperlink>
          </w:p>
        </w:tc>
      </w:tr>
      <w:tr>
        <w:trPr>
          <w:trHeight w:val="237"/>
        </w:trPr>
        <w:tc>
          <w:tcPr>
            <w:tcW w:w="1540" w:type="dxa"/>
            <w:vAlign w:val="bottom"/>
          </w:tcPr>
          <w:p>
            <w:pPr>
              <w:spacing w:after="0"/>
              <w:rPr>
                <w:sz w:val="20"/>
                <w:szCs w:val="20"/>
                <w:color w:val="auto"/>
              </w:rPr>
            </w:pPr>
          </w:p>
        </w:tc>
        <w:tc>
          <w:tcPr>
            <w:tcW w:w="922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Exhibit 10.33 to the Company’s Registration Statement on Form S-1 filed with the SEC on October 2, 2020).</w:t>
              </w:r>
            </w:hyperlink>
          </w:p>
        </w:tc>
        <w:tc>
          <w:tcPr>
            <w:tcW w:w="480" w:type="dxa"/>
            <w:vAlign w:val="bottom"/>
            <w:gridSpan w:val="8"/>
          </w:tcPr>
          <w:p>
            <w:pPr>
              <w:spacing w:after="0"/>
              <w:rPr>
                <w:sz w:val="20"/>
                <w:szCs w:val="20"/>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10.35**</w:t>
            </w:r>
          </w:p>
        </w:tc>
        <w:tc>
          <w:tcPr>
            <w:tcW w:w="8880" w:type="dxa"/>
            <w:vAlign w:val="bottom"/>
            <w:tcBorders>
              <w:bottom w:val="single" w:sz="8" w:color="0000EE"/>
            </w:tcBorders>
            <w:gridSpan w:val="7"/>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Letter from Bio-Rad Laboratories, Inc. dated August 7, 2020 (incorporated by reference to Exhibit 10.33 to the Company’s</w:t>
              </w:r>
            </w:hyperlink>
          </w:p>
        </w:tc>
        <w:tc>
          <w:tcPr>
            <w:tcW w:w="820" w:type="dxa"/>
            <w:vAlign w:val="bottom"/>
            <w:gridSpan w:val="10"/>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58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Registration Statement on Form S-1/A filed with the SEC on October 21, 2020).</w:t>
              </w:r>
            </w:hyperlink>
          </w:p>
        </w:tc>
        <w:tc>
          <w:tcPr>
            <w:tcW w:w="3880" w:type="dxa"/>
            <w:vAlign w:val="bottom"/>
            <w:gridSpan w:val="12"/>
          </w:tcPr>
          <w:p>
            <w:pPr>
              <w:spacing w:after="0"/>
              <w:rPr>
                <w:sz w:val="17"/>
                <w:szCs w:val="17"/>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10.36**</w:t>
            </w:r>
          </w:p>
        </w:tc>
        <w:tc>
          <w:tcPr>
            <w:tcW w:w="8940" w:type="dxa"/>
            <w:vAlign w:val="bottom"/>
            <w:tcBorders>
              <w:bottom w:val="single" w:sz="8" w:color="0000EE"/>
            </w:tcBorders>
            <w:gridSpan w:val="8"/>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Letter from Bio-Rad Laboratories, Inc. dated August 14, 2020 (incorporated by reference to Exhibit 10.34 to the Company’s</w:t>
              </w:r>
            </w:hyperlink>
          </w:p>
        </w:tc>
        <w:tc>
          <w:tcPr>
            <w:tcW w:w="760" w:type="dxa"/>
            <w:vAlign w:val="bottom"/>
            <w:gridSpan w:val="9"/>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58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Registration Statement on Form S-1/A filed with the SEC on October 21, 2020).</w:t>
              </w:r>
            </w:hyperlink>
          </w:p>
        </w:tc>
        <w:tc>
          <w:tcPr>
            <w:tcW w:w="3900" w:type="dxa"/>
            <w:vAlign w:val="bottom"/>
            <w:gridSpan w:val="13"/>
          </w:tcPr>
          <w:p>
            <w:pPr>
              <w:spacing w:after="0"/>
              <w:rPr>
                <w:sz w:val="17"/>
                <w:szCs w:val="17"/>
                <w:color w:val="auto"/>
              </w:rPr>
            </w:pPr>
          </w:p>
        </w:tc>
      </w:tr>
      <w:tr>
        <w:trPr>
          <w:trHeight w:val="345"/>
        </w:trPr>
        <w:tc>
          <w:tcPr>
            <w:tcW w:w="1540" w:type="dxa"/>
            <w:vAlign w:val="bottom"/>
          </w:tcPr>
          <w:p>
            <w:pPr>
              <w:spacing w:after="0"/>
              <w:rPr>
                <w:sz w:val="20"/>
                <w:szCs w:val="20"/>
                <w:color w:val="auto"/>
              </w:rPr>
            </w:pPr>
            <w:r>
              <w:rPr>
                <w:rFonts w:ascii="Arial" w:cs="Arial" w:eastAsia="Arial" w:hAnsi="Arial"/>
                <w:sz w:val="18"/>
                <w:szCs w:val="18"/>
                <w:color w:val="auto"/>
              </w:rPr>
              <w:t>23.1</w:t>
            </w:r>
          </w:p>
        </w:tc>
        <w:tc>
          <w:tcPr>
            <w:tcW w:w="9700" w:type="dxa"/>
            <w:vAlign w:val="bottom"/>
            <w:gridSpan w:val="17"/>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Consent of independent registered public accounting firm.</w:t>
              </w:r>
            </w:hyperlink>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24.1</w:t>
            </w:r>
          </w:p>
        </w:tc>
        <w:tc>
          <w:tcPr>
            <w:tcW w:w="9700" w:type="dxa"/>
            <w:vAlign w:val="bottom"/>
            <w:gridSpan w:val="17"/>
          </w:tcPr>
          <w:p>
            <w:pPr>
              <w:spacing w:after="0"/>
              <w:rPr>
                <w:rFonts w:ascii="Arial" w:cs="Arial" w:eastAsia="Arial" w:hAnsi="Arial"/>
                <w:sz w:val="18"/>
                <w:szCs w:val="18"/>
                <w:color w:val="0000EE"/>
              </w:rPr>
            </w:pPr>
            <w:hyperlink w:anchor="page125">
              <w:r>
                <w:rPr>
                  <w:rFonts w:ascii="Arial" w:cs="Arial" w:eastAsia="Arial" w:hAnsi="Arial"/>
                  <w:sz w:val="18"/>
                  <w:szCs w:val="18"/>
                  <w:u w:val="single" w:color="auto"/>
                  <w:color w:val="0000EE"/>
                </w:rPr>
                <w:t>Power of Attorney (included on the signature page of this Form 10-K)</w:t>
              </w:r>
              <w:r>
                <w:rPr>
                  <w:rFonts w:ascii="Arial" w:cs="Arial" w:eastAsia="Arial" w:hAnsi="Arial"/>
                  <w:sz w:val="18"/>
                  <w:szCs w:val="18"/>
                  <w:color w:val="0000EE"/>
                </w:rPr>
                <w:t>.</w:t>
              </w:r>
            </w:hyperlink>
          </w:p>
        </w:tc>
      </w:tr>
      <w:tr>
        <w:trPr>
          <w:trHeight w:val="540"/>
        </w:trPr>
        <w:tc>
          <w:tcPr>
            <w:tcW w:w="1540" w:type="dxa"/>
            <w:vAlign w:val="bottom"/>
          </w:tcPr>
          <w:p>
            <w:pPr>
              <w:spacing w:after="0"/>
              <w:rPr>
                <w:sz w:val="24"/>
                <w:szCs w:val="24"/>
                <w:color w:val="auto"/>
              </w:rPr>
            </w:pPr>
          </w:p>
        </w:tc>
        <w:tc>
          <w:tcPr>
            <w:tcW w:w="5800" w:type="dxa"/>
            <w:vAlign w:val="bottom"/>
            <w:gridSpan w:val="4"/>
          </w:tcPr>
          <w:p>
            <w:pPr>
              <w:ind w:left="394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70">
              <w:r>
                <w:rPr>
                  <w:rFonts w:ascii="Arial" w:cs="Arial" w:eastAsia="Arial" w:hAnsi="Arial"/>
                  <w:sz w:val="18"/>
                  <w:szCs w:val="18"/>
                  <w:color w:val="0000EE"/>
                  <w:w w:val="91"/>
                </w:rPr>
                <w:t>Certification of Principal Executive Officer Pursuant to Rules 13a-14(a) and 15d-14(a) under the Securities Exchange Act of 1934, as</w:t>
              </w:r>
            </w:hyperlink>
          </w:p>
        </w:tc>
      </w:tr>
      <w:tr>
        <w:trPr>
          <w:trHeight w:val="196"/>
        </w:trPr>
        <w:tc>
          <w:tcPr>
            <w:tcW w:w="1540" w:type="dxa"/>
            <w:vAlign w:val="bottom"/>
          </w:tcPr>
          <w:p>
            <w:pPr>
              <w:spacing w:after="0"/>
              <w:rPr>
                <w:sz w:val="17"/>
                <w:szCs w:val="17"/>
                <w:color w:val="auto"/>
              </w:rPr>
            </w:pPr>
          </w:p>
        </w:tc>
        <w:tc>
          <w:tcPr>
            <w:tcW w:w="9620" w:type="dxa"/>
            <w:vAlign w:val="bottom"/>
            <w:gridSpan w:val="5"/>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Adopted Pursuant to Section 302 of the Sarbanes-Oxley Act of 2002.</w:t>
              </w:r>
            </w:hyperlink>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71">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40" w:type="dxa"/>
            <w:vAlign w:val="bottom"/>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620" w:type="dxa"/>
            <w:vAlign w:val="bottom"/>
            <w:gridSpan w:val="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Adopted Pursuant to Section 302 of the Sarbanes-Oxley Act of 2002.</w:t>
              </w:r>
            </w:hyperlink>
          </w:p>
        </w:tc>
      </w:tr>
      <w:tr>
        <w:trPr>
          <w:trHeight w:val="20"/>
        </w:trPr>
        <w:tc>
          <w:tcPr>
            <w:tcW w:w="15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72">
              <w:r>
                <w:rPr>
                  <w:rFonts w:ascii="Arial" w:cs="Arial" w:eastAsia="Arial" w:hAnsi="Arial"/>
                  <w:sz w:val="18"/>
                  <w:szCs w:val="18"/>
                  <w:color w:val="0000EE"/>
                  <w:w w:val="90"/>
                </w:rPr>
                <w:t>Certification of Principal Executive Officer Pursuant to 18 U.S.C. Section 1350, as Adopted Pursuant to Section 906 of the Sarbanes-</w:t>
              </w:r>
            </w:hyperlink>
          </w:p>
        </w:tc>
      </w:tr>
      <w:tr>
        <w:trPr>
          <w:trHeight w:val="196"/>
        </w:trPr>
        <w:tc>
          <w:tcPr>
            <w:tcW w:w="154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72">
              <w:r>
                <w:rPr>
                  <w:rFonts w:ascii="Arial" w:cs="Arial" w:eastAsia="Arial" w:hAnsi="Arial"/>
                  <w:sz w:val="18"/>
                  <w:szCs w:val="18"/>
                  <w:color w:val="0000EE"/>
                  <w:w w:val="93"/>
                </w:rPr>
                <w:t>Oxley Act of 2002.</w:t>
              </w:r>
            </w:hyperlink>
          </w:p>
        </w:tc>
        <w:tc>
          <w:tcPr>
            <w:tcW w:w="8220" w:type="dxa"/>
            <w:vAlign w:val="bottom"/>
            <w:gridSpan w:val="4"/>
          </w:tcPr>
          <w:p>
            <w:pPr>
              <w:spacing w:after="0"/>
              <w:rPr>
                <w:sz w:val="17"/>
                <w:szCs w:val="17"/>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rPr>
              <w:t>32.2*</w:t>
            </w:r>
          </w:p>
        </w:tc>
        <w:tc>
          <w:tcPr>
            <w:tcW w:w="9620" w:type="dxa"/>
            <w:vAlign w:val="bottom"/>
            <w:gridSpan w:val="5"/>
          </w:tcPr>
          <w:p>
            <w:pPr>
              <w:spacing w:after="0"/>
              <w:rPr>
                <w:rFonts w:ascii="Arial" w:cs="Arial" w:eastAsia="Arial" w:hAnsi="Arial"/>
                <w:sz w:val="18"/>
                <w:szCs w:val="18"/>
                <w:color w:val="0000EE"/>
                <w:w w:val="91"/>
              </w:rPr>
            </w:pPr>
            <w:hyperlink w:anchor="page173">
              <w:r>
                <w:rPr>
                  <w:rFonts w:ascii="Arial" w:cs="Arial" w:eastAsia="Arial" w:hAnsi="Arial"/>
                  <w:sz w:val="18"/>
                  <w:szCs w:val="18"/>
                  <w:color w:val="0000EE"/>
                  <w:w w:val="91"/>
                </w:rPr>
                <w:t>Certification of Principal Financial Officer Pursuant to 18 U.S.C. Section 1350, as Adopted Pursuant to Section 906 of the Sarbanes-</w:t>
              </w:r>
            </w:hyperlink>
          </w:p>
        </w:tc>
      </w:tr>
      <w:tr>
        <w:trPr>
          <w:trHeight w:val="196"/>
        </w:trPr>
        <w:tc>
          <w:tcPr>
            <w:tcW w:w="154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73">
              <w:r>
                <w:rPr>
                  <w:rFonts w:ascii="Arial" w:cs="Arial" w:eastAsia="Arial" w:hAnsi="Arial"/>
                  <w:sz w:val="18"/>
                  <w:szCs w:val="18"/>
                  <w:color w:val="0000EE"/>
                  <w:w w:val="93"/>
                </w:rPr>
                <w:t>Oxley Act of 2002.</w:t>
              </w:r>
            </w:hyperlink>
          </w:p>
        </w:tc>
        <w:tc>
          <w:tcPr>
            <w:tcW w:w="816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30"/>
        </w:trPr>
        <w:tc>
          <w:tcPr>
            <w:tcW w:w="1540" w:type="dxa"/>
            <w:vAlign w:val="bottom"/>
          </w:tcPr>
          <w:p>
            <w:pPr>
              <w:spacing w:after="0"/>
              <w:rPr>
                <w:sz w:val="20"/>
                <w:szCs w:val="20"/>
                <w:color w:val="auto"/>
              </w:rPr>
            </w:pPr>
            <w:r>
              <w:rPr>
                <w:rFonts w:ascii="Arial" w:cs="Arial" w:eastAsia="Arial" w:hAnsi="Arial"/>
                <w:sz w:val="18"/>
                <w:szCs w:val="18"/>
                <w:color w:val="auto"/>
              </w:rPr>
              <w:t>101.INS*</w:t>
            </w:r>
          </w:p>
        </w:tc>
        <w:tc>
          <w:tcPr>
            <w:tcW w:w="9620" w:type="dxa"/>
            <w:vAlign w:val="bottom"/>
            <w:gridSpan w:val="5"/>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XBRL tags are</w:t>
            </w:r>
          </w:p>
        </w:tc>
      </w:tr>
      <w:tr>
        <w:trPr>
          <w:trHeight w:val="230"/>
        </w:trPr>
        <w:tc>
          <w:tcPr>
            <w:tcW w:w="1540" w:type="dxa"/>
            <w:vAlign w:val="bottom"/>
          </w:tcPr>
          <w:p>
            <w:pPr>
              <w:spacing w:after="0"/>
              <w:rPr>
                <w:sz w:val="20"/>
                <w:szCs w:val="20"/>
                <w:color w:val="auto"/>
              </w:rPr>
            </w:pPr>
          </w:p>
        </w:tc>
        <w:tc>
          <w:tcPr>
            <w:tcW w:w="962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101.SCH*</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101.CAL*</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101.DEF*</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101.LAB*</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101.PRE*</w:t>
            </w:r>
          </w:p>
        </w:tc>
        <w:tc>
          <w:tcPr>
            <w:tcW w:w="96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104</w:t>
            </w:r>
          </w:p>
        </w:tc>
        <w:tc>
          <w:tcPr>
            <w:tcW w:w="962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097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0" w:lineRule="exact"/>
        <w:rPr>
          <w:sz w:val="20"/>
          <w:szCs w:val="20"/>
          <w:color w:val="auto"/>
        </w:rPr>
      </w:pPr>
    </w:p>
    <w:p>
      <w:pPr>
        <w:ind w:left="440" w:hanging="432"/>
        <w:spacing w:after="0" w:line="258" w:lineRule="auto"/>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 w:lineRule="exact"/>
        <w:rPr>
          <w:sz w:val="20"/>
          <w:szCs w:val="20"/>
          <w:color w:val="auto"/>
        </w:rPr>
      </w:pPr>
    </w:p>
    <w:p>
      <w:pPr>
        <w:ind w:right="6820" w:firstLine="8"/>
        <w:spacing w:after="0" w:line="250" w:lineRule="auto"/>
        <w:tabs>
          <w:tab w:leader="none" w:pos="4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 Filed herewith.</w:t>
      </w: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124" w:name="page125"/>
    <w:bookmarkEnd w:id="124"/>
    <w:p>
      <w:pPr>
        <w:jc w:val="center"/>
        <w:ind w:left="5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Biodesix, Inc.</w:t>
      </w:r>
    </w:p>
    <w:p>
      <w:pPr>
        <w:spacing w:after="0" w:line="252" w:lineRule="exact"/>
        <w:rPr>
          <w:sz w:val="20"/>
          <w:szCs w:val="20"/>
          <w:color w:val="auto"/>
        </w:rPr>
      </w:pPr>
    </w:p>
    <w:p>
      <w:pPr>
        <w:spacing w:after="0"/>
        <w:tabs>
          <w:tab w:leader="none" w:pos="5720" w:val="left"/>
          <w:tab w:leader="none" w:pos="7540" w:val="left"/>
        </w:tabs>
        <w:rPr>
          <w:sz w:val="20"/>
          <w:szCs w:val="20"/>
          <w:color w:val="auto"/>
        </w:rPr>
      </w:pPr>
      <w:r>
        <w:rPr>
          <w:rFonts w:ascii="Arial" w:cs="Arial" w:eastAsia="Arial" w:hAnsi="Arial"/>
          <w:sz w:val="18"/>
          <w:szCs w:val="18"/>
          <w:color w:val="auto"/>
        </w:rPr>
        <w:t>Date: March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4" w:lineRule="exact"/>
        <w:rPr>
          <w:sz w:val="20"/>
          <w:szCs w:val="20"/>
          <w:color w:val="auto"/>
        </w:rPr>
      </w:pPr>
    </w:p>
    <w:p>
      <w:pPr>
        <w:jc w:val="center"/>
        <w:ind w:left="6020"/>
        <w:spacing w:after="0"/>
        <w:rPr>
          <w:sz w:val="20"/>
          <w:szCs w:val="20"/>
          <w:color w:val="auto"/>
        </w:rPr>
      </w:pPr>
      <w:r>
        <w:rPr>
          <w:rFonts w:ascii="Arial" w:cs="Arial" w:eastAsia="Arial" w:hAnsi="Arial"/>
          <w:sz w:val="16"/>
          <w:szCs w:val="16"/>
          <w:i w:val="1"/>
          <w:iCs w:val="1"/>
          <w:color w:val="auto"/>
        </w:rPr>
        <w:t>Robin Harper Cowie</w:t>
      </w:r>
    </w:p>
    <w:p>
      <w:pPr>
        <w:spacing w:after="0" w:line="46" w:lineRule="exact"/>
        <w:rPr>
          <w:sz w:val="20"/>
          <w:szCs w:val="20"/>
          <w:color w:val="auto"/>
        </w:rPr>
      </w:pPr>
    </w:p>
    <w:p>
      <w:pPr>
        <w:jc w:val="center"/>
        <w:ind w:left="6020"/>
        <w:spacing w:after="0"/>
        <w:rPr>
          <w:sz w:val="20"/>
          <w:szCs w:val="20"/>
          <w:color w:val="auto"/>
        </w:rPr>
      </w:pPr>
      <w:r>
        <w:rPr>
          <w:rFonts w:ascii="Arial" w:cs="Arial" w:eastAsia="Arial" w:hAnsi="Arial"/>
          <w:sz w:val="16"/>
          <w:szCs w:val="16"/>
          <w:i w:val="1"/>
          <w:iCs w:val="1"/>
          <w:color w:val="auto"/>
        </w:rPr>
        <w:t>Chief Financial Officer, Secretary and Treasurer</w:t>
      </w:r>
    </w:p>
    <w:p>
      <w:pPr>
        <w:spacing w:after="0" w:line="226"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Each person whose signature appears below constitutes and appoints Scott Hutton and Robin Harper Cowie, and each of them, his or her true and lawful agent, proxy and attorney-in-fact, with full power of substitution and resubstitution,for him or her and in his or her name, place and stead, in any and all capacities, to file with the Securities and Exchange Commission this Form 10-K and any and all amendments and exhibits thereto, and all documents in connection therewith, granting unto each such attorney-in-fact and agent full power and authority to do and perform each and every act and thing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hereof.</w:t>
      </w:r>
    </w:p>
    <w:p>
      <w:pPr>
        <w:spacing w:after="0" w:line="164"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91"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SCOTT HUTTON</w:t>
            </w:r>
          </w:p>
        </w:tc>
        <w:tc>
          <w:tcPr>
            <w:tcW w:w="4880" w:type="dxa"/>
            <w:vAlign w:val="bottom"/>
          </w:tcPr>
          <w:p>
            <w:pPr>
              <w:ind w:left="120"/>
              <w:spacing w:after="0"/>
              <w:rPr>
                <w:sz w:val="20"/>
                <w:szCs w:val="20"/>
                <w:color w:val="auto"/>
              </w:rPr>
            </w:pPr>
            <w:r>
              <w:rPr>
                <w:rFonts w:ascii="Arial" w:cs="Arial" w:eastAsia="Arial" w:hAnsi="Arial"/>
                <w:sz w:val="18"/>
                <w:szCs w:val="18"/>
                <w:color w:val="auto"/>
                <w:w w:val="96"/>
              </w:rPr>
              <w:t>President, Chief Executive Officer (Principal Executive Officer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Scott Hutton</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ROBIN HARPER COWIE</w:t>
            </w:r>
          </w:p>
        </w:tc>
        <w:tc>
          <w:tcPr>
            <w:tcW w:w="4880" w:type="dxa"/>
            <w:vAlign w:val="bottom"/>
          </w:tcPr>
          <w:p>
            <w:pPr>
              <w:ind w:left="120"/>
              <w:spacing w:after="0"/>
              <w:rPr>
                <w:sz w:val="20"/>
                <w:szCs w:val="20"/>
                <w:color w:val="auto"/>
              </w:rPr>
            </w:pPr>
            <w:r>
              <w:rPr>
                <w:rFonts w:ascii="Arial" w:cs="Arial" w:eastAsia="Arial" w:hAnsi="Arial"/>
                <w:sz w:val="18"/>
                <w:szCs w:val="18"/>
                <w:color w:val="auto"/>
              </w:rPr>
              <w:t>Chief Financial Officer, Secretary and Treasurer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Robin Harper Cowie</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PATIENCE</w:t>
            </w:r>
          </w:p>
        </w:tc>
        <w:tc>
          <w:tcPr>
            <w:tcW w:w="4880" w:type="dxa"/>
            <w:vAlign w:val="bottom"/>
          </w:tcPr>
          <w:p>
            <w:pPr>
              <w:ind w:left="120"/>
              <w:spacing w:after="0"/>
              <w:rPr>
                <w:sz w:val="20"/>
                <w:szCs w:val="20"/>
                <w:color w:val="auto"/>
              </w:rPr>
            </w:pPr>
            <w:r>
              <w:rPr>
                <w:rFonts w:ascii="Arial" w:cs="Arial" w:eastAsia="Arial" w:hAnsi="Arial"/>
                <w:sz w:val="18"/>
                <w:szCs w:val="18"/>
                <w:color w:val="auto"/>
              </w:rPr>
              <w:t>Chairman and 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John Patience</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JEAN FRANCHI</w:t>
            </w:r>
          </w:p>
        </w:tc>
        <w:tc>
          <w:tcPr>
            <w:tcW w:w="4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Jean Franchi</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HANY MASSARANY</w:t>
            </w:r>
          </w:p>
        </w:tc>
        <w:tc>
          <w:tcPr>
            <w:tcW w:w="4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Hany Massarany</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JACK SCHULER</w:t>
            </w:r>
          </w:p>
        </w:tc>
        <w:tc>
          <w:tcPr>
            <w:tcW w:w="4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Jack Schuler</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MATTHEW STROBECK</w:t>
            </w:r>
          </w:p>
        </w:tc>
        <w:tc>
          <w:tcPr>
            <w:tcW w:w="4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Matthew Strobeck, Ph.D.</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CHARLES WATTS</w:t>
            </w:r>
          </w:p>
        </w:tc>
        <w:tc>
          <w:tcPr>
            <w:tcW w:w="4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60" w:type="dxa"/>
            <w:vAlign w:val="bottom"/>
          </w:tcPr>
          <w:p>
            <w:pPr>
              <w:ind w:left="220"/>
              <w:spacing w:after="0"/>
              <w:rPr>
                <w:sz w:val="20"/>
                <w:szCs w:val="20"/>
                <w:color w:val="auto"/>
              </w:rPr>
            </w:pPr>
            <w:r>
              <w:rPr>
                <w:rFonts w:ascii="Arial" w:cs="Arial" w:eastAsia="Arial" w:hAnsi="Arial"/>
                <w:sz w:val="18"/>
                <w:szCs w:val="18"/>
                <w:color w:val="auto"/>
                <w:w w:val="89"/>
              </w:rPr>
              <w:t>March 16, 2021</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Charles Watts M.D.</w:t>
            </w:r>
          </w:p>
        </w:tc>
        <w:tc>
          <w:tcPr>
            <w:tcW w:w="488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1010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0"/>
                <w:szCs w:val="20"/>
                <w:color w:val="auto"/>
              </w:rPr>
            </w:pPr>
          </w:p>
        </w:tc>
      </w:tr>
      <w:tr>
        <w:trPr>
          <w:trHeight w:val="540"/>
        </w:trPr>
        <w:tc>
          <w:tcPr>
            <w:tcW w:w="1010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BIODESIX, Inc.</w:t>
            </w:r>
          </w:p>
        </w:tc>
        <w:tc>
          <w:tcPr>
            <w:tcW w:w="1140" w:type="dxa"/>
            <w:vAlign w:val="bottom"/>
          </w:tcPr>
          <w:p>
            <w:pPr>
              <w:spacing w:after="0"/>
              <w:rPr>
                <w:sz w:val="24"/>
                <w:szCs w:val="24"/>
                <w:color w:val="auto"/>
              </w:rPr>
            </w:pPr>
          </w:p>
        </w:tc>
      </w:tr>
      <w:tr>
        <w:trPr>
          <w:trHeight w:val="432"/>
        </w:trPr>
        <w:tc>
          <w:tcPr>
            <w:tcW w:w="10100" w:type="dxa"/>
            <w:vAlign w:val="bottom"/>
          </w:tcPr>
          <w:p>
            <w:pPr>
              <w:jc w:val="center"/>
              <w:ind w:left="1050"/>
              <w:spacing w:after="0"/>
              <w:rPr>
                <w:sz w:val="20"/>
                <w:szCs w:val="20"/>
                <w:color w:val="auto"/>
              </w:rPr>
            </w:pPr>
            <w:r>
              <w:rPr>
                <w:rFonts w:ascii="Arial" w:cs="Arial" w:eastAsia="Arial" w:hAnsi="Arial"/>
                <w:sz w:val="18"/>
                <w:szCs w:val="18"/>
                <w:b w:val="1"/>
                <w:bCs w:val="1"/>
                <w:color w:val="auto"/>
              </w:rPr>
              <w:t>INDEX TO FINANCIAL STATEMENTS</w:t>
            </w:r>
          </w:p>
        </w:tc>
        <w:tc>
          <w:tcPr>
            <w:tcW w:w="1140" w:type="dxa"/>
            <w:vAlign w:val="bottom"/>
          </w:tcPr>
          <w:p>
            <w:pPr>
              <w:spacing w:after="0"/>
              <w:rPr>
                <w:sz w:val="24"/>
                <w:szCs w:val="24"/>
                <w:color w:val="auto"/>
              </w:rPr>
            </w:pPr>
          </w:p>
        </w:tc>
      </w:tr>
      <w:tr>
        <w:trPr>
          <w:trHeight w:val="486"/>
        </w:trPr>
        <w:tc>
          <w:tcPr>
            <w:tcW w:w="10100" w:type="dxa"/>
            <w:vAlign w:val="bottom"/>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Report of Independent Registered Public Accounting Firm</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F-2</w:t>
            </w:r>
          </w:p>
        </w:tc>
      </w:tr>
      <w:tr>
        <w:trPr>
          <w:trHeight w:val="365"/>
        </w:trPr>
        <w:tc>
          <w:tcPr>
            <w:tcW w:w="1010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Balance Sheets as of December 31, 2020 and 2019</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F-3</w:t>
            </w:r>
          </w:p>
        </w:tc>
      </w:tr>
      <w:tr>
        <w:trPr>
          <w:trHeight w:val="364"/>
        </w:trPr>
        <w:tc>
          <w:tcPr>
            <w:tcW w:w="1010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Statements of Operations for the Years ended December 31, 2020 and 2019</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F-4</w:t>
            </w:r>
          </w:p>
        </w:tc>
      </w:tr>
      <w:tr>
        <w:trPr>
          <w:trHeight w:val="364"/>
        </w:trPr>
        <w:tc>
          <w:tcPr>
            <w:tcW w:w="10100" w:type="dxa"/>
            <w:vAlign w:val="bottom"/>
          </w:tcPr>
          <w:p>
            <w:pPr>
              <w:spacing w:after="0"/>
              <w:rPr>
                <w:rFonts w:ascii="Arial" w:cs="Arial" w:eastAsia="Arial" w:hAnsi="Arial"/>
                <w:sz w:val="18"/>
                <w:szCs w:val="18"/>
                <w:u w:val="single" w:color="auto"/>
                <w:color w:val="0000EE"/>
                <w:w w:val="99"/>
              </w:rPr>
            </w:pPr>
            <w:hyperlink w:anchor="page130">
              <w:r>
                <w:rPr>
                  <w:rFonts w:ascii="Arial" w:cs="Arial" w:eastAsia="Arial" w:hAnsi="Arial"/>
                  <w:sz w:val="18"/>
                  <w:szCs w:val="18"/>
                  <w:u w:val="single" w:color="auto"/>
                  <w:color w:val="0000EE"/>
                  <w:w w:val="99"/>
                </w:rPr>
                <w:t>Statements of Convertible Preferred Stock and Stockholders’ Equity (Deficit) for the Years ended December 31, 2020 and 2019</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F-5</w:t>
            </w:r>
          </w:p>
        </w:tc>
      </w:tr>
      <w:tr>
        <w:trPr>
          <w:trHeight w:val="365"/>
        </w:trPr>
        <w:tc>
          <w:tcPr>
            <w:tcW w:w="10100" w:type="dxa"/>
            <w:vAlign w:val="bottom"/>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Statements of Cash Flows for the Years ended December 31, 2020 and 2019</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F-6</w:t>
            </w:r>
          </w:p>
        </w:tc>
      </w:tr>
      <w:tr>
        <w:trPr>
          <w:trHeight w:val="364"/>
        </w:trPr>
        <w:tc>
          <w:tcPr>
            <w:tcW w:w="1010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Notes to Financial Statements</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F-8</w:t>
            </w:r>
          </w:p>
        </w:tc>
      </w:tr>
      <w:tr>
        <w:trPr>
          <w:trHeight w:val="864"/>
        </w:trPr>
        <w:tc>
          <w:tcPr>
            <w:tcW w:w="10100" w:type="dxa"/>
            <w:vAlign w:val="bottom"/>
          </w:tcPr>
          <w:p>
            <w:pPr>
              <w:jc w:val="center"/>
              <w:ind w:left="1050"/>
              <w:spacing w:after="0"/>
              <w:rPr>
                <w:sz w:val="20"/>
                <w:szCs w:val="20"/>
                <w:color w:val="auto"/>
              </w:rPr>
            </w:pPr>
            <w:r>
              <w:rPr>
                <w:rFonts w:ascii="Arial" w:cs="Arial" w:eastAsia="Arial" w:hAnsi="Arial"/>
                <w:sz w:val="18"/>
                <w:szCs w:val="18"/>
                <w:color w:val="auto"/>
                <w:w w:val="88"/>
              </w:rPr>
              <w:t>F-1</w:t>
            </w:r>
          </w:p>
        </w:tc>
        <w:tc>
          <w:tcPr>
            <w:tcW w:w="1140" w:type="dxa"/>
            <w:vAlign w:val="bottom"/>
          </w:tcPr>
          <w:p>
            <w:pPr>
              <w:spacing w:after="0"/>
              <w:rPr>
                <w:sz w:val="24"/>
                <w:szCs w:val="24"/>
                <w:color w:val="auto"/>
              </w:rPr>
            </w:pPr>
          </w:p>
        </w:tc>
      </w:tr>
      <w:tr>
        <w:trPr>
          <w:trHeight w:val="115"/>
        </w:trPr>
        <w:tc>
          <w:tcPr>
            <w:tcW w:w="10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04"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We have audited the accompanying balance sheets of Biodesix, Inc. (the Company) as of December 31, 2020 and 2019, the related statements of operations, convertible preferred stock and stockholders’ equity (deficit), and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and the related notes (collectively, the financial statements). In our opinion, the financial statements present fairly, in all material respects, the financial position of the Company as of December 31, 2020 and 2019, and the results of its operations and its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BIODESIX,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As of December 31,</w:t>
            </w:r>
          </w:p>
        </w:tc>
      </w:tr>
      <w:tr>
        <w:trPr>
          <w:trHeight w:val="229"/>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2"/>
        </w:trPr>
        <w:tc>
          <w:tcPr>
            <w:tcW w:w="7720" w:type="dxa"/>
            <w:vAlign w:val="bottom"/>
          </w:tcPr>
          <w:p>
            <w:pPr>
              <w:ind w:left="53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62,126</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5,286</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15,304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5,292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8,710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2,122</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86,140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12,700</w:t>
            </w:r>
          </w:p>
        </w:tc>
      </w:tr>
      <w:tr>
        <w:trPr>
          <w:trHeight w:val="222"/>
        </w:trPr>
        <w:tc>
          <w:tcPr>
            <w:tcW w:w="772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2,120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13,260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15,092</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3,461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15,031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15,031</w:t>
            </w:r>
          </w:p>
        </w:tc>
      </w:tr>
      <w:tr>
        <w:trPr>
          <w:trHeight w:val="223"/>
        </w:trPr>
        <w:tc>
          <w:tcPr>
            <w:tcW w:w="7720" w:type="dxa"/>
            <w:vAlign w:val="bottom"/>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34,930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32,333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121,070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45,033</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39"/>
        </w:trPr>
        <w:tc>
          <w:tcPr>
            <w:tcW w:w="9560" w:type="dxa"/>
            <w:vAlign w:val="bottom"/>
            <w:gridSpan w:val="4"/>
          </w:tcPr>
          <w:p>
            <w:pPr>
              <w:ind w:left="270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8,964</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1,717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7,789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4,180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1,283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notes payable</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11,840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12,159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Put option liability</w:t>
            </w:r>
          </w:p>
        </w:tc>
        <w:tc>
          <w:tcPr>
            <w:tcW w:w="3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3,261</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32,125</w:t>
            </w: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22,600</w:t>
            </w:r>
          </w:p>
        </w:tc>
      </w:tr>
      <w:tr>
        <w:trPr>
          <w:trHeight w:val="230"/>
        </w:trPr>
        <w:tc>
          <w:tcPr>
            <w:tcW w:w="772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329</w:t>
            </w:r>
          </w:p>
        </w:tc>
      </w:tr>
      <w:tr>
        <w:trPr>
          <w:trHeight w:val="230"/>
        </w:trPr>
        <w:tc>
          <w:tcPr>
            <w:tcW w:w="7720" w:type="dxa"/>
            <w:vAlign w:val="bottom"/>
          </w:tcPr>
          <w:p>
            <w:pPr>
              <w:ind w:left="2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15,926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23,812</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29,932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29,114</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358</w:t>
            </w:r>
          </w:p>
        </w:tc>
      </w:tr>
      <w:tr>
        <w:trPr>
          <w:trHeight w:val="223"/>
        </w:trPr>
        <w:tc>
          <w:tcPr>
            <w:tcW w:w="7720" w:type="dxa"/>
            <w:vAlign w:val="bottom"/>
          </w:tcPr>
          <w:p>
            <w:pPr>
              <w:ind w:left="26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47,779</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53,613</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79,904</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76,213</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Convertible preferred stock, $0.001 par value, 0 (2020) and 174,237,067</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w w:val="94"/>
              </w:rPr>
              <w:t>(2019) authorized; 0 (2020) and 118,766,273 (2019) issued and outstanding; liquidation preference</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of $202,582 (2019)</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193,959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w w:val="97"/>
              </w:rPr>
              <w:t>Preferred stock, $0.001 par value, 5,000,000 (2020) and 0 (2019) authorized; 0 (2020 and 2019)</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issued and outstanding</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$0.001 par value, 200,000,000 (2020) and 190,000,000 (2019) authorized;</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26,561,504 (2020) and 254,918 (2019) issued and outstanding</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7720" w:type="dxa"/>
            <w:vAlign w:val="bottom"/>
          </w:tcPr>
          <w:p>
            <w:pPr>
              <w:ind w:left="26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299,953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2,324</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(258,814)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(227,464)</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41,166</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(225,139)</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121,070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45,033</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4600" w:type="dxa"/>
            <w:vAlign w:val="bottom"/>
            <w:gridSpan w:val="2"/>
          </w:tcPr>
          <w:p>
            <w:pPr>
              <w:jc w:val="center"/>
              <w:ind w:right="1450"/>
              <w:spacing w:after="0"/>
              <w:rPr>
                <w:sz w:val="20"/>
                <w:szCs w:val="20"/>
                <w:color w:val="auto"/>
              </w:rPr>
            </w:pPr>
            <w:r>
              <w:rPr>
                <w:rFonts w:ascii="Arial" w:cs="Arial" w:eastAsia="Arial" w:hAnsi="Arial"/>
                <w:sz w:val="18"/>
                <w:szCs w:val="18"/>
                <w:b w:val="1"/>
                <w:bCs w:val="1"/>
                <w:color w:val="auto"/>
              </w:rPr>
              <w:t>BIODESIX, INC.</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100" w:type="dxa"/>
            <w:vAlign w:val="bottom"/>
          </w:tcPr>
          <w:p>
            <w:pPr>
              <w:spacing w:after="0"/>
              <w:rPr>
                <w:sz w:val="24"/>
                <w:szCs w:val="24"/>
                <w:color w:val="auto"/>
              </w:rPr>
            </w:pPr>
          </w:p>
        </w:tc>
        <w:tc>
          <w:tcPr>
            <w:tcW w:w="4600" w:type="dxa"/>
            <w:vAlign w:val="bottom"/>
            <w:gridSpan w:val="2"/>
          </w:tcPr>
          <w:p>
            <w:pPr>
              <w:jc w:val="center"/>
              <w:ind w:right="1470"/>
              <w:spacing w:after="0"/>
              <w:rPr>
                <w:sz w:val="20"/>
                <w:szCs w:val="20"/>
                <w:color w:val="auto"/>
              </w:rPr>
            </w:pPr>
            <w:r>
              <w:rPr>
                <w:rFonts w:ascii="Arial" w:cs="Arial" w:eastAsia="Arial" w:hAnsi="Arial"/>
                <w:sz w:val="18"/>
                <w:szCs w:val="18"/>
                <w:b w:val="1"/>
                <w:bCs w:val="1"/>
                <w:color w:val="auto"/>
                <w:w w:val="89"/>
              </w:rPr>
              <w:t>Statements of Operations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4600" w:type="dxa"/>
            <w:vAlign w:val="bottom"/>
            <w:gridSpan w:val="2"/>
          </w:tcPr>
          <w:p>
            <w:pPr>
              <w:jc w:val="center"/>
              <w:ind w:right="14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Revenues</w:t>
            </w:r>
          </w:p>
        </w:tc>
        <w:tc>
          <w:tcPr>
            <w:tcW w:w="362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45,557</w:t>
            </w:r>
          </w:p>
        </w:tc>
        <w:tc>
          <w:tcPr>
            <w:tcW w:w="16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24,552</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Direct costs and expenses</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21,998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10,818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10,468</w:t>
            </w: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Sales, marketing, general and administrative</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34,857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30,637</w:t>
            </w: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6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68,491</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51,293</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Loss from operations</w:t>
            </w:r>
          </w:p>
        </w:tc>
        <w:tc>
          <w:tcPr>
            <w:tcW w:w="36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(22,934)</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(26,741)</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Change in fair value of put option liability</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4"/>
        </w:trPr>
        <w:tc>
          <w:tcPr>
            <w:tcW w:w="4100" w:type="dxa"/>
            <w:vAlign w:val="bottom"/>
          </w:tcPr>
          <w:p>
            <w:pPr>
              <w:spacing w:after="0"/>
              <w:rPr>
                <w:sz w:val="20"/>
                <w:szCs w:val="20"/>
                <w:color w:val="auto"/>
              </w:rPr>
            </w:pPr>
            <w:r>
              <w:rPr>
                <w:rFonts w:ascii="Arial" w:cs="Arial" w:eastAsia="Arial" w:hAnsi="Arial"/>
                <w:sz w:val="18"/>
                <w:szCs w:val="18"/>
                <w:color w:val="auto"/>
              </w:rPr>
              <w:t>Total other expense</w:t>
            </w:r>
          </w:p>
        </w:tc>
        <w:tc>
          <w:tcPr>
            <w:tcW w:w="3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(8,416)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29"/>
        </w:trPr>
        <w:tc>
          <w:tcPr>
            <w:tcW w:w="41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60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36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(31,350)</w:t>
            </w: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(30,726)</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(126.97)</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w w:val="90"/>
              </w:rPr>
              <w:t>Weighted-average shares outstanding, basic and diluted</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4,838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9" w:name="page130"/>
    <w:bookmarkEnd w:id="129"/>
    <w:p>
      <w:pPr>
        <w:ind w:left="4960"/>
        <w:spacing w:after="0"/>
        <w:rPr>
          <w:sz w:val="20"/>
          <w:szCs w:val="20"/>
          <w:color w:val="auto"/>
        </w:rPr>
      </w:pPr>
      <w:r>
        <w:rPr>
          <w:rFonts w:ascii="Arial" w:cs="Arial" w:eastAsia="Arial" w:hAnsi="Arial"/>
          <w:sz w:val="18"/>
          <w:szCs w:val="18"/>
          <w:b w:val="1"/>
          <w:bCs w:val="1"/>
          <w:color w:val="auto"/>
        </w:rPr>
        <w:t>BIODESIX, INC.</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Statements of Convertible Preferred Stock and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January 1, 2019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Common stock issued upon exercise of stock options</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Issuance of Series H convertible preferred stock, in February and March 2019 at $1.15 per share, net of issuance costs of $3</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Net loss and comprehensive loss</w:t>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2019</w:t>
      </w:r>
    </w:p>
    <w:p>
      <w:pPr>
        <w:spacing w:after="0" w:line="6" w:lineRule="exact"/>
        <w:rPr>
          <w:sz w:val="20"/>
          <w:szCs w:val="20"/>
          <w:color w:val="auto"/>
        </w:rPr>
      </w:pPr>
    </w:p>
    <w:p>
      <w:pPr>
        <w:ind w:right="1120"/>
        <w:spacing w:after="0" w:line="162" w:lineRule="exact"/>
        <w:rPr>
          <w:sz w:val="20"/>
          <w:szCs w:val="20"/>
          <w:color w:val="auto"/>
        </w:rPr>
      </w:pPr>
      <w:r>
        <w:rPr>
          <w:rFonts w:ascii="Arial" w:cs="Arial" w:eastAsia="Arial" w:hAnsi="Arial"/>
          <w:sz w:val="14"/>
          <w:szCs w:val="14"/>
          <w:color w:val="auto"/>
        </w:rPr>
        <w:t>Common stock issued upon exercise of stock options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Issuance of common stock in initial public offering, net of discounts and commission of $5,040 and direct offering costs of $3,203 Conversion of preferred stock into common stock upon initial public offering</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Conversion of convertible debt into common stock upon initial public offering</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Reclassification of preferred stock warrant liability and put option into additional paid-in capital upon initial public offering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Net loss and comprehensive loss</w:t>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2020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5"/>
          </w:tcPr>
          <w:p>
            <w:pPr>
              <w:ind w:left="180"/>
              <w:spacing w:after="0"/>
              <w:rPr>
                <w:sz w:val="20"/>
                <w:szCs w:val="20"/>
                <w:color w:val="auto"/>
              </w:rPr>
            </w:pPr>
            <w:r>
              <w:rPr>
                <w:rFonts w:ascii="Arial" w:cs="Arial" w:eastAsia="Arial" w:hAnsi="Arial"/>
                <w:sz w:val="14"/>
                <w:szCs w:val="14"/>
                <w:b w:val="1"/>
                <w:bCs w:val="1"/>
                <w:color w:val="auto"/>
              </w:rPr>
              <w:t>Convertible Preferred</w:t>
            </w:r>
          </w:p>
        </w:tc>
        <w:tc>
          <w:tcPr>
            <w:tcW w:w="184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88"/>
              <w:spacing w:after="0" w:line="161" w:lineRule="exact"/>
              <w:rPr>
                <w:sz w:val="20"/>
                <w:szCs w:val="20"/>
                <w:color w:val="auto"/>
              </w:rPr>
            </w:pPr>
            <w:r>
              <w:rPr>
                <w:rFonts w:ascii="Arial" w:cs="Arial" w:eastAsia="Arial" w:hAnsi="Arial"/>
                <w:sz w:val="14"/>
                <w:szCs w:val="14"/>
                <w:b w:val="1"/>
                <w:bCs w:val="1"/>
                <w:color w:val="auto"/>
              </w:rPr>
              <w:t>Paid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86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86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0"/>
        </w:trPr>
        <w:tc>
          <w:tcPr>
            <w:tcW w:w="8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110,071</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183,962</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215</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2,107</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(196,738)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(194,630)</w:t>
            </w:r>
          </w:p>
        </w:tc>
        <w:tc>
          <w:tcPr>
            <w:tcW w:w="0" w:type="dxa"/>
            <w:vAlign w:val="bottom"/>
          </w:tcPr>
          <w:p>
            <w:pPr>
              <w:spacing w:after="0"/>
              <w:rPr>
                <w:sz w:val="1"/>
                <w:szCs w:val="1"/>
                <w:color w:val="auto"/>
              </w:rPr>
            </w:pPr>
          </w:p>
        </w:tc>
      </w:tr>
      <w:tr>
        <w:trPr>
          <w:trHeight w:val="182"/>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30"/>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8,695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9,997</w:t>
            </w:r>
          </w:p>
        </w:tc>
        <w:tc>
          <w:tcPr>
            <w:tcW w:w="10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7"/>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(30,726)</w:t>
            </w:r>
          </w:p>
        </w:tc>
        <w:tc>
          <w:tcPr>
            <w:tcW w:w="0" w:type="dxa"/>
            <w:vAlign w:val="bottom"/>
          </w:tcPr>
          <w:p>
            <w:pPr>
              <w:spacing w:after="0"/>
              <w:rPr>
                <w:sz w:val="1"/>
                <w:szCs w:val="1"/>
                <w:color w:val="auto"/>
              </w:rPr>
            </w:pPr>
          </w:p>
        </w:tc>
      </w:tr>
      <w:tr>
        <w:trPr>
          <w:trHeight w:val="150"/>
        </w:trPr>
        <w:tc>
          <w:tcPr>
            <w:tcW w:w="8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118,766</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193,959</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255</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2,324</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(227,464)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(225,139)</w:t>
            </w:r>
          </w:p>
        </w:tc>
        <w:tc>
          <w:tcPr>
            <w:tcW w:w="0" w:type="dxa"/>
            <w:vAlign w:val="bottom"/>
          </w:tcPr>
          <w:p>
            <w:pPr>
              <w:spacing w:after="0"/>
              <w:rPr>
                <w:sz w:val="1"/>
                <w:szCs w:val="1"/>
                <w:color w:val="auto"/>
              </w:rPr>
            </w:pPr>
          </w:p>
        </w:tc>
      </w:tr>
      <w:tr>
        <w:trPr>
          <w:trHeight w:val="162"/>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182"/>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3,709</w:t>
            </w:r>
          </w:p>
        </w:tc>
        <w:tc>
          <w:tcPr>
            <w:tcW w:w="0" w:type="dxa"/>
            <w:vAlign w:val="bottom"/>
          </w:tcPr>
          <w:p>
            <w:pPr>
              <w:spacing w:after="0"/>
              <w:rPr>
                <w:sz w:val="1"/>
                <w:szCs w:val="1"/>
                <w:color w:val="auto"/>
              </w:rPr>
            </w:pPr>
          </w:p>
        </w:tc>
      </w:tr>
      <w:tr>
        <w:trPr>
          <w:trHeight w:val="229"/>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63,757</w:t>
            </w:r>
          </w:p>
        </w:tc>
        <w:tc>
          <w:tcPr>
            <w:tcW w:w="0" w:type="dxa"/>
            <w:vAlign w:val="bottom"/>
          </w:tcPr>
          <w:p>
            <w:pPr>
              <w:spacing w:after="0"/>
              <w:rPr>
                <w:sz w:val="1"/>
                <w:szCs w:val="1"/>
                <w:color w:val="auto"/>
              </w:rPr>
            </w:pPr>
          </w:p>
        </w:tc>
      </w:tr>
      <w:tr>
        <w:trPr>
          <w:trHeight w:val="311"/>
        </w:trPr>
        <w:tc>
          <w:tcPr>
            <w:tcW w:w="860" w:type="dxa"/>
            <w:vAlign w:val="bottom"/>
          </w:tcPr>
          <w:p>
            <w:pPr>
              <w:jc w:val="right"/>
              <w:spacing w:after="0"/>
              <w:rPr>
                <w:sz w:val="20"/>
                <w:szCs w:val="20"/>
                <w:color w:val="auto"/>
              </w:rPr>
            </w:pPr>
            <w:r>
              <w:rPr>
                <w:rFonts w:ascii="Arial" w:cs="Arial" w:eastAsia="Arial" w:hAnsi="Arial"/>
                <w:sz w:val="14"/>
                <w:szCs w:val="14"/>
                <w:color w:val="auto"/>
              </w:rPr>
              <w:t>(118,766)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(193,959)</w:t>
            </w:r>
          </w:p>
        </w:tc>
        <w:tc>
          <w:tcPr>
            <w:tcW w:w="1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20,091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193,939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193,959</w:t>
            </w:r>
          </w:p>
        </w:tc>
        <w:tc>
          <w:tcPr>
            <w:tcW w:w="0" w:type="dxa"/>
            <w:vAlign w:val="bottom"/>
          </w:tcPr>
          <w:p>
            <w:pPr>
              <w:spacing w:after="0"/>
              <w:rPr>
                <w:sz w:val="1"/>
                <w:szCs w:val="1"/>
                <w:color w:val="auto"/>
              </w:rPr>
            </w:pPr>
          </w:p>
        </w:tc>
      </w:tr>
      <w:tr>
        <w:trPr>
          <w:trHeight w:val="311"/>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26,614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26,616</w:t>
            </w:r>
          </w:p>
        </w:tc>
        <w:tc>
          <w:tcPr>
            <w:tcW w:w="0" w:type="dxa"/>
            <w:vAlign w:val="bottom"/>
          </w:tcPr>
          <w:p>
            <w:pPr>
              <w:spacing w:after="0"/>
              <w:rPr>
                <w:sz w:val="1"/>
                <w:szCs w:val="1"/>
                <w:color w:val="auto"/>
              </w:rPr>
            </w:pPr>
          </w:p>
        </w:tc>
      </w:tr>
      <w:tr>
        <w:trPr>
          <w:trHeight w:val="310"/>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8,274</w:t>
            </w:r>
          </w:p>
        </w:tc>
        <w:tc>
          <w:tcPr>
            <w:tcW w:w="0" w:type="dxa"/>
            <w:vAlign w:val="bottom"/>
          </w:tcPr>
          <w:p>
            <w:pPr>
              <w:spacing w:after="0"/>
              <w:rPr>
                <w:sz w:val="1"/>
                <w:szCs w:val="1"/>
                <w:color w:val="auto"/>
              </w:rPr>
            </w:pPr>
          </w:p>
        </w:tc>
      </w:tr>
      <w:tr>
        <w:trPr>
          <w:trHeight w:val="228"/>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(31,350)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(31,350)</w:t>
            </w:r>
          </w:p>
        </w:tc>
        <w:tc>
          <w:tcPr>
            <w:tcW w:w="0" w:type="dxa"/>
            <w:vAlign w:val="bottom"/>
          </w:tcPr>
          <w:p>
            <w:pPr>
              <w:spacing w:after="0"/>
              <w:rPr>
                <w:sz w:val="1"/>
                <w:szCs w:val="1"/>
                <w:color w:val="auto"/>
              </w:rPr>
            </w:pPr>
          </w:p>
        </w:tc>
      </w:tr>
      <w:tr>
        <w:trPr>
          <w:trHeight w:val="156"/>
        </w:trPr>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26,562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299,953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(258,814)</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41,166</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80" w:space="160"/>
            <w:col w:w="6900"/>
          </w:cols>
          <w:pgMar w:left="320" w:top="337"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rPr>
              <w:t>BIODESIX, INC.</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3"/>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Statements of Cash Flows</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(in thousands)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5"/>
        </w:trPr>
        <w:tc>
          <w:tcPr>
            <w:tcW w:w="77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23"/>
        </w:trPr>
        <w:tc>
          <w:tcPr>
            <w:tcW w:w="7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9"/>
                <w:szCs w:val="19"/>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(31,350)</w:t>
            </w:r>
          </w:p>
        </w:tc>
        <w:tc>
          <w:tcPr>
            <w:tcW w:w="16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(30,726)</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Adjustments to reconcile net loss to net cash, cash equivalents, and</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restricted cash used in operating activities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2,903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2,793</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Amortization of convertible notes debt discount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4,389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262</w:t>
            </w:r>
          </w:p>
        </w:tc>
      </w:tr>
      <w:tr>
        <w:trPr>
          <w:trHeight w:val="230"/>
        </w:trPr>
        <w:tc>
          <w:tcPr>
            <w:tcW w:w="7720" w:type="dxa"/>
            <w:vAlign w:val="bottom"/>
          </w:tcPr>
          <w:p>
            <w:pPr>
              <w:ind w:left="50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3,709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170</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104</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Change in contingent consideration</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4,114</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 in fair value of put option</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2,000</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interest on notes payable and convertible notes payable</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1,226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799</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144</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246</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disposals of assets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assets acquired and</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rPr>
              <w:t>liabilities assumed in acquisitions: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(10,308)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(3,646)</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long-term assets and liabilities</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 and other accrued liabilities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11,654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1,193</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2,249</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791</w:t>
            </w:r>
          </w:p>
        </w:tc>
      </w:tr>
      <w:tr>
        <w:trPr>
          <w:trHeight w:val="224"/>
        </w:trPr>
        <w:tc>
          <w:tcPr>
            <w:tcW w:w="772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(21,366)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(21,726)</w:t>
            </w:r>
          </w:p>
        </w:tc>
      </w:tr>
      <w:tr>
        <w:trPr>
          <w:trHeight w:val="457"/>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Patent costs and intangible asset acquisition, net</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to acquire Oncimmune assets</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24"/>
        </w:trPr>
        <w:tc>
          <w:tcPr>
            <w:tcW w:w="772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457"/>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initial public offering</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72,000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series H preferred stock</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10,000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issuances of convertible notes payable</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12,955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13,044</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paycheck protection program note payable</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3,085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Equity financing costs</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81,131</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22,972</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56,838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7720" w:type="dxa"/>
            <w:vAlign w:val="bottom"/>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5,468</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6,094</w:t>
            </w:r>
          </w:p>
        </w:tc>
      </w:tr>
      <w:tr>
        <w:trPr>
          <w:trHeight w:val="223"/>
        </w:trPr>
        <w:tc>
          <w:tcPr>
            <w:tcW w:w="7720" w:type="dxa"/>
            <w:vAlign w:val="bottom"/>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62,306</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5,468</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rPr>
              <w:t>BIODESIX, INC.</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73"/>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Statements of Cash Flows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color w:val="auto"/>
              </w:rPr>
              <w:t>(Continued from the previous page)</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45"/>
        </w:trPr>
        <w:tc>
          <w:tcPr>
            <w:tcW w:w="772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r>
      <w:tr>
        <w:trPr>
          <w:trHeight w:val="223"/>
        </w:trPr>
        <w:tc>
          <w:tcPr>
            <w:tcW w:w="77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Conversion of preferred stock into common stock</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193,959</w:t>
            </w:r>
          </w:p>
        </w:tc>
        <w:tc>
          <w:tcPr>
            <w:tcW w:w="16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Conversion of convertible notes and accrued interest into common stock</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26,616</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Reclassification of put option liability to additional paid-in capital</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6,650</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Value of put option recorded at issuance of convertible debt payable</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3,389</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1,261</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1,844</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1,800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Reclassification of warrant liability to additional paid-in capital</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1,624</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business combination payments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750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u w:val="single" w:color="auto"/>
          <w:color w:val="auto"/>
        </w:rPr>
        <w:t>BIODESIX,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2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Biodesix, Inc. (the “Company”, “Biodesix”, “we”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65"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Company performs its blood-based diagnostic tests for lung cancer in its laboratory facilities, which are located in Boulder, Colorado and De Soto, Kansas. In May 2020, the Federal Drug Administration (FDA) authorized performance of Bio-Rad SARS-CoV-2 Droplet Digital™ polymerase chain reaction (ddPCR) test to detect Coronavirus Disease 2019 (COVID-19) infection. In April 2020, the FDA authorized our Platelia SARS-CoV-2 Total Ab test to detect COVID-19 antibodies. Medical products that are granted an Emergency Use Authorization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17" w:lineRule="exact"/>
        <w:rPr>
          <w:sz w:val="20"/>
          <w:szCs w:val="20"/>
          <w:color w:val="auto"/>
        </w:rPr>
      </w:pPr>
    </w:p>
    <w:p>
      <w:pPr>
        <w:jc w:val="both"/>
        <w:ind w:left="880" w:right="60" w:hanging="440"/>
        <w:spacing w:after="0" w:line="263"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 </w:t>
      </w:r>
      <w:r>
        <w:rPr>
          <w:rFonts w:ascii="Arial" w:cs="Arial" w:eastAsia="Arial" w:hAnsi="Arial"/>
          <w:sz w:val="18"/>
          <w:szCs w:val="18"/>
          <w:color w:val="auto"/>
        </w:rPr>
        <w:t>tests, marketed as part of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75" w:lineRule="exact"/>
        <w:rPr>
          <w:rFonts w:ascii="Arial" w:cs="Arial" w:eastAsia="Arial" w:hAnsi="Arial"/>
          <w:sz w:val="18"/>
          <w:szCs w:val="18"/>
          <w:color w:val="auto"/>
        </w:rPr>
      </w:pPr>
    </w:p>
    <w:p>
      <w:pPr>
        <w:ind w:left="880" w:hanging="440"/>
        <w:spacing w:after="0" w:line="259"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GeneStrat®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Biodesix Lung Reflex</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strategy, are used following diagnosis of lung cancer</w:t>
      </w:r>
      <w:r>
        <w:rPr>
          <w:rFonts w:ascii="Arial" w:cs="Arial" w:eastAsia="Arial" w:hAnsi="Arial"/>
          <w:sz w:val="18"/>
          <w:szCs w:val="18"/>
          <w:i w:val="1"/>
          <w:iCs w:val="1"/>
          <w:color w:val="auto"/>
        </w:rPr>
        <w:t xml:space="preserve"> </w:t>
      </w:r>
      <w:r>
        <w:rPr>
          <w:rFonts w:ascii="Arial" w:cs="Arial" w:eastAsia="Arial" w:hAnsi="Arial"/>
          <w:sz w:val="18"/>
          <w:szCs w:val="18"/>
          <w:color w:val="auto"/>
        </w:rPr>
        <w:t>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Tests</w:t>
      </w:r>
    </w:p>
    <w:p>
      <w:pPr>
        <w:spacing w:after="0" w:line="202"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Using the Bio-Rad SARS-CoV-2 ddPCR test and the Platelia SARS-CoV-2 Total Ab tests, we operate and have commercialized the Biodesix WorkSafe testing program. The Company offers two SARS-CoV-2 tests:</w:t>
      </w:r>
    </w:p>
    <w:p>
      <w:pPr>
        <w:spacing w:after="0" w:line="62" w:lineRule="exact"/>
        <w:rPr>
          <w:sz w:val="20"/>
          <w:szCs w:val="20"/>
          <w:color w:val="auto"/>
        </w:rPr>
      </w:pPr>
    </w:p>
    <w:p>
      <w:pPr>
        <w:ind w:left="880" w:right="100" w:hanging="440"/>
        <w:spacing w:after="0" w:line="263"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75"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130"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These tests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30" w:lineRule="exact"/>
        <w:rPr>
          <w:sz w:val="20"/>
          <w:szCs w:val="20"/>
          <w:color w:val="auto"/>
        </w:rPr>
      </w:pPr>
    </w:p>
    <w:p>
      <w:pPr>
        <w:ind w:right="540" w:firstLine="589"/>
        <w:spacing w:after="0" w:line="263"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that it believes are important to the development of new targeted therapies, determining clinical trial eligibility and guiding treatment selection.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3" w:name="page134"/>
    <w:bookmarkEnd w:id="133"/>
    <w:p>
      <w:pPr>
        <w:ind w:left="600"/>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Amended and Restated Certificate of Incorporation</w:t>
      </w:r>
    </w:p>
    <w:p>
      <w:pPr>
        <w:spacing w:after="0" w:line="117"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In October 2020, the Company’s Board of Directors and stockholders approved an amended and restated certificate of incorporation, which authorized 200,000,000 shares of common stock, par value $0.001 per share, and 5,000,000 shares of preferred stock, par value $0.001 per share. The amended and restated certificate of incorporation became effective on October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On October 27, 2020, the Company completed its initial public offering, in which it issued and sold 4,000,000 shares of its common stock at a public offering price of $18.00 per share. The Company received net proceeds of $63.8 million after deducting underwriting discounts and commissions and offering expenses payable by the Company. In addition, in connection with the initial public offering, all shares of the Company’s then-outstanding convertible preferred stock and convertible notes payable were automatically converted into 21,939,025 shares of common stock, and all then outstanding warrants to purchase the Company’s Series G convertible preferred stock were automatically converted into warrants to purchase 103,326 shares of the Company’s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212529"/>
        </w:rPr>
        <w:t xml:space="preserve">The Company’s financial statements have been prepared in accordance with accounting principles generally accepted in the United States (U.S. GAAP). </w:t>
      </w:r>
      <w:r>
        <w:rPr>
          <w:rFonts w:ascii="Arial" w:cs="Arial" w:eastAsia="Arial" w:hAnsi="Arial"/>
          <w:sz w:val="17"/>
          <w:szCs w:val="17"/>
          <w:color w:val="000000"/>
        </w:rPr>
        <w:t>The 2019 balance sheet has been updated to reflect an increase in goodwill and a reduction in accumulated deficit of $3.4 million related to the</w:t>
      </w:r>
      <w:r>
        <w:rPr>
          <w:rFonts w:ascii="Arial" w:cs="Arial" w:eastAsia="Arial" w:hAnsi="Arial"/>
          <w:sz w:val="17"/>
          <w:szCs w:val="17"/>
          <w:color w:val="212529"/>
        </w:rPr>
        <w:t xml:space="preserve"> </w:t>
      </w:r>
      <w:r>
        <w:rPr>
          <w:rFonts w:ascii="Arial" w:cs="Arial" w:eastAsia="Arial" w:hAnsi="Arial"/>
          <w:sz w:val="17"/>
          <w:szCs w:val="17"/>
          <w:color w:val="000000"/>
        </w:rPr>
        <w:t xml:space="preserve">correction of an immaterial error recorded as part of the acquisition of Integrated Diagnostics, Inc. in 2018. </w:t>
      </w:r>
      <w:r>
        <w:rPr>
          <w:rFonts w:ascii="Arial" w:cs="Arial" w:eastAsia="Arial" w:hAnsi="Arial"/>
          <w:sz w:val="17"/>
          <w:szCs w:val="17"/>
          <w:color w:val="212529"/>
        </w:rPr>
        <w:t>The Company determined that the reduction in</w:t>
      </w:r>
      <w:r>
        <w:rPr>
          <w:rFonts w:ascii="Arial" w:cs="Arial" w:eastAsia="Arial" w:hAnsi="Arial"/>
          <w:sz w:val="17"/>
          <w:szCs w:val="17"/>
          <w:color w:val="000000"/>
        </w:rPr>
        <w:t xml:space="preserve"> </w:t>
      </w:r>
      <w:r>
        <w:rPr>
          <w:rFonts w:ascii="Arial" w:cs="Arial" w:eastAsia="Arial" w:hAnsi="Arial"/>
          <w:sz w:val="17"/>
          <w:szCs w:val="17"/>
          <w:color w:val="212529"/>
        </w:rPr>
        <w:t>the preexisting valuation allowance resulting from the acquisition should have been reflected as an income benefit within the tax provision rather than as a reduction in goodwill. The correction of the immaterial error had no impact on our 2020 or 2019 results of operations.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chief operating decision maker for the Company is the Chief Executive Officer, who reviews financial information for purposes of allocating resources and assessing financial performance. The Company has a single operating segment focused on providing diagnostic testing services to customers. Substantially all of the Company’s revenue and all long-lived assets were derived or located in the United States for the years ended December 31,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Significant items subject to such estimates include: revenue recognition; the useful lives of property and equipment; the recoverability of long-lived assets; the estimation of the fair value of intangible assets; the valuation of contingent consideration related to a business combination;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generates revenues from (i) diagnostic tests and (ii) assay development and testing services (services revenue).</w:t>
      </w:r>
    </w:p>
    <w:p>
      <w:pPr>
        <w:spacing w:after="0" w:line="117"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Diagnostic test revenues consist of blood-based lung tests and COVID-19 tests, which are recognized in the amount expected to be received in exchange for diagnostic tests when the diagnostic tests are delivered. The Company determines the transaction price related to its blood-based lung diagnostic test contracts using a portfolio approach by considering the nature of the payer and historical price concessions granted to groups of customers. The transaction price associated with COVID-19 testing arrangements are determined on the basis of the individual contract with each customer.</w:t>
      </w:r>
    </w:p>
    <w:p>
      <w:pPr>
        <w:spacing w:after="0" w:line="117"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or achievement of contractual milestone(s) as defined in the customer agreements. Revenue for these services is recognized upon delivery of the completed test results, or upon completion of the contractual milestone(s).</w:t>
      </w:r>
    </w:p>
    <w:p>
      <w:pPr>
        <w:spacing w:after="0" w:line="14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Company recognizes revenues related to blood-based lung diagnostic billings based on estimates of the amounts ultimately expected to be collected from customers on a portfolio approach as discussed above.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152"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The Company also provides services to patients with whom the Company does not have contracts as defined in Financial Accounting Standards Board (FASB) Accounting Standards Codification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Note 13 —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Deferred revenue consists of payments received for research, development, and testing services fees received prior to the completion of performance of these tests and services. As of December 31, 2020, deferred revenue also includes $2.8 million in a Medicare advance payment on testing services which can either be paid back or earned back starting 1 year from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 and Expenses</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components of our cost of diagnostic tests and testing services consist of cost of materials, direct labor, including bonus, benefit and stock-based compensation, depreciation of laboratory equipment, rent costs, amortization of leasehold improvements and information technology costs associated with acquiring and processing test samples, including sample accessioning, test performance, quality control analyses, charges to collect and transport samples; curation of test results for physicians; and in some cases, license or royalty fees due to third parties.</w:t>
      </w:r>
    </w:p>
    <w:p>
      <w:pPr>
        <w:spacing w:after="0" w:line="144"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Costs associated with performing tests are expensed as the test is processed regardless of whether and when revenue is recognized with respect to that test.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b w:val="1"/>
          <w:bCs w:val="1"/>
          <w:i w:val="1"/>
          <w:iCs w:val="1"/>
          <w:color w:val="212529"/>
        </w:rPr>
        <w:t>Expenses</w:t>
      </w:r>
    </w:p>
    <w:p>
      <w:pPr>
        <w:spacing w:after="0" w:line="117"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Research and development expenses include external and internal costs incurred to develop our technology, collect clinical samples, and conduct clinical studies to develop and support our products. External costs consist primarily of payments to clinical trial sites, sample acquisition costs and laboratory supplies purchased in connection with the Company’s discovery and preclinical activities, process development and clinical development activities. Internal costs consist primarily of salaries and benefits, reagents and supplies used in research and development laboratory work, infrastructure expenses, including allocated facility occupancy and information technology costs.</w:t>
      </w:r>
    </w:p>
    <w:p>
      <w:pPr>
        <w:spacing w:after="0" w:line="136"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212529"/>
        </w:rPr>
        <w:t xml:space="preserve">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payments that do not match the periods over which materials or services are provided under such contracts. </w:t>
      </w:r>
      <w:r>
        <w:rPr>
          <w:rFonts w:ascii="Arial" w:cs="Arial" w:eastAsia="Arial" w:hAnsi="Arial"/>
          <w:sz w:val="16"/>
          <w:szCs w:val="16"/>
          <w:color w:val="000000"/>
        </w:rPr>
        <w:t>The Company’s estimates depend on the timeliness and accuracy</w:t>
      </w:r>
      <w:r>
        <w:rPr>
          <w:rFonts w:ascii="Arial" w:cs="Arial" w:eastAsia="Arial" w:hAnsi="Arial"/>
          <w:sz w:val="16"/>
          <w:szCs w:val="16"/>
          <w:color w:val="212529"/>
        </w:rPr>
        <w:t xml:space="preserve"> </w:t>
      </w:r>
      <w:r>
        <w:rPr>
          <w:rFonts w:ascii="Arial" w:cs="Arial" w:eastAsia="Arial" w:hAnsi="Arial"/>
          <w:sz w:val="16"/>
          <w:szCs w:val="16"/>
          <w:color w:val="000000"/>
        </w:rPr>
        <w:t>of the data provided by consultants and vendors regarding the status of each activity. The Company periodically evaluates the estimates to determine if adjustments are necessary or appropriate based on information received. Research and development costs are expensed as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General and Administrative Expenses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Selling expenses consist primarily of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w:t>
      </w:r>
    </w:p>
    <w:p>
      <w:pPr>
        <w:spacing w:after="0" w:line="79"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Sales, marketing, general and administrative expenses also include costs for our marketing and sales organizations, and other functions including finance, legal, human resources, and information technology.</w:t>
      </w:r>
    </w:p>
    <w:p>
      <w:pPr>
        <w:spacing w:after="0" w:line="6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These expenses consist principally of salaries, bonuses, employee benefits, travel, and stock-based compensation, as well as professional services fees such as consulting, audit, tax and legal fees, and general corporate costs and allocated overhead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Uncertainties</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146" w:lineRule="exact"/>
        <w:rPr>
          <w:sz w:val="20"/>
          <w:szCs w:val="20"/>
          <w:color w:val="auto"/>
        </w:rPr>
      </w:pPr>
    </w:p>
    <w:p>
      <w:pPr>
        <w:jc w:val="both"/>
        <w:ind w:right="80" w:firstLine="589"/>
        <w:spacing w:after="0" w:line="311" w:lineRule="auto"/>
        <w:rPr>
          <w:sz w:val="20"/>
          <w:szCs w:val="20"/>
          <w:color w:val="auto"/>
        </w:rPr>
      </w:pPr>
      <w:r>
        <w:rPr>
          <w:rFonts w:ascii="Arial" w:cs="Arial" w:eastAsia="Arial" w:hAnsi="Arial"/>
          <w:sz w:val="16"/>
          <w:szCs w:val="16"/>
          <w:color w:val="auto"/>
        </w:rPr>
        <w:t>Several of the components of the Company's sample collection kit and test reagents, and certain test systems and related test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customers in excess of 10% of total revenue, and their related revenue as a percentage of total revenue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37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1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7520" w:type="dxa"/>
            <w:vAlign w:val="bottom"/>
            <w:gridSpan w:val="2"/>
          </w:tcPr>
          <w:p>
            <w:pPr>
              <w:jc w:val="center"/>
              <w:ind w:left="5070"/>
              <w:spacing w:after="0"/>
              <w:rPr>
                <w:sz w:val="20"/>
                <w:szCs w:val="20"/>
                <w:color w:val="auto"/>
              </w:rPr>
            </w:pPr>
            <w:r>
              <w:rPr>
                <w:rFonts w:ascii="Arial" w:cs="Arial" w:eastAsia="Arial" w:hAnsi="Arial"/>
                <w:sz w:val="18"/>
                <w:szCs w:val="18"/>
                <w:b w:val="1"/>
                <w:bCs w:val="1"/>
                <w:color w:val="auto"/>
                <w:w w:val="89"/>
              </w:rPr>
              <w:t>2020</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The Big Ten Conference</w:t>
            </w:r>
          </w:p>
        </w:tc>
        <w:tc>
          <w:tcPr>
            <w:tcW w:w="534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Centura Healthcare</w:t>
            </w:r>
          </w:p>
        </w:tc>
        <w:tc>
          <w:tcPr>
            <w:tcW w:w="7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3720" w:type="dxa"/>
            <w:vAlign w:val="bottom"/>
          </w:tcPr>
          <w:p>
            <w:pPr>
              <w:ind w:left="260"/>
              <w:spacing w:after="0"/>
              <w:rPr>
                <w:sz w:val="20"/>
                <w:szCs w:val="20"/>
                <w:color w:val="auto"/>
              </w:rPr>
            </w:pPr>
            <w:r>
              <w:rPr>
                <w:rFonts w:ascii="Arial" w:cs="Arial" w:eastAsia="Arial" w:hAnsi="Arial"/>
                <w:sz w:val="18"/>
                <w:szCs w:val="18"/>
                <w:color w:val="auto"/>
              </w:rPr>
              <w:t>Percent of total revenue</w:t>
            </w:r>
          </w:p>
        </w:tc>
        <w:tc>
          <w:tcPr>
            <w:tcW w:w="5340" w:type="dxa"/>
            <w:vAlign w:val="bottom"/>
          </w:tcPr>
          <w:p>
            <w:pPr>
              <w:spacing w:after="0"/>
              <w:rPr>
                <w:sz w:val="19"/>
                <w:szCs w:val="19"/>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629"/>
        </w:trPr>
        <w:tc>
          <w:tcPr>
            <w:tcW w:w="3720" w:type="dxa"/>
            <w:vAlign w:val="bottom"/>
          </w:tcPr>
          <w:p>
            <w:pPr>
              <w:spacing w:after="0"/>
              <w:rPr>
                <w:sz w:val="24"/>
                <w:szCs w:val="24"/>
                <w:color w:val="auto"/>
              </w:rPr>
            </w:pPr>
          </w:p>
        </w:tc>
        <w:tc>
          <w:tcPr>
            <w:tcW w:w="7520" w:type="dxa"/>
            <w:vAlign w:val="bottom"/>
            <w:gridSpan w:val="2"/>
          </w:tcPr>
          <w:p>
            <w:pPr>
              <w:jc w:val="right"/>
              <w:ind w:right="5350"/>
              <w:spacing w:after="0"/>
              <w:rPr>
                <w:sz w:val="20"/>
                <w:szCs w:val="20"/>
                <w:color w:val="auto"/>
              </w:rPr>
            </w:pPr>
            <w:r>
              <w:rPr>
                <w:rFonts w:ascii="Arial" w:cs="Arial" w:eastAsia="Arial" w:hAnsi="Arial"/>
                <w:sz w:val="18"/>
                <w:szCs w:val="18"/>
                <w:color w:val="auto"/>
              </w:rPr>
              <w:t>F-11</w:t>
            </w:r>
          </w:p>
        </w:tc>
      </w:tr>
      <w:tr>
        <w:trPr>
          <w:trHeight w:val="115"/>
        </w:trPr>
        <w:tc>
          <w:tcPr>
            <w:tcW w:w="37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6" w:name="page137"/>
    <w:bookmarkEnd w:id="136"/>
    <w:p>
      <w:pPr>
        <w:ind w:right="20" w:firstLine="589"/>
        <w:spacing w:after="0" w:line="296" w:lineRule="auto"/>
        <w:rPr>
          <w:sz w:val="20"/>
          <w:szCs w:val="20"/>
          <w:color w:val="auto"/>
        </w:rPr>
      </w:pPr>
      <w:r>
        <w:rPr>
          <w:rFonts w:ascii="Arial" w:cs="Arial" w:eastAsia="Arial" w:hAnsi="Arial"/>
          <w:sz w:val="16"/>
          <w:szCs w:val="16"/>
          <w:color w:val="auto"/>
        </w:rPr>
        <w:t>One customer, Covance, exceeded 10% of total revenue during 2019, representing 21% of total revenue. In addition to the above table, we collect reimbursement on behalf of customers covered by Medicare, which accounted for 17% and 36% of the Company’s total revenue for the years ended December 31, 2020 and 2019, respectively. The Company is subject to credit risk from its accounts receivable related to services provided to its customers. The Company does not perform evaluations of customers' financial condition and does not require collateral. The Company’s third-party payors and other customers in excess of 10% of accounts receivable, and their related accounts receivable as a percentage of total accounts receivable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As of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75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2019</w:t>
            </w: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The Big Ten Conference</w:t>
            </w:r>
          </w:p>
        </w:tc>
        <w:tc>
          <w:tcPr>
            <w:tcW w:w="10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99"/>
              </w:rPr>
              <w:t>—%</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Centura Healthcare</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99"/>
              </w:rPr>
              <w:t>—%</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94"/>
              </w:rPr>
              <w:t>18%</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Covance Central Laboratory Services</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94"/>
              </w:rPr>
              <w:t>43%</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Janssen Research and Development, LLC</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94"/>
              </w:rPr>
              <w:t>12%</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Pfizer,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94"/>
              </w:rPr>
              <w:t>10%</w:t>
            </w:r>
          </w:p>
        </w:tc>
      </w:tr>
      <w:tr>
        <w:trPr>
          <w:trHeight w:val="223"/>
        </w:trPr>
        <w:tc>
          <w:tcPr>
            <w:tcW w:w="7540" w:type="dxa"/>
            <w:vAlign w:val="bottom"/>
          </w:tcPr>
          <w:p>
            <w:pPr>
              <w:ind w:left="260"/>
              <w:spacing w:after="0"/>
              <w:rPr>
                <w:sz w:val="20"/>
                <w:szCs w:val="20"/>
                <w:color w:val="auto"/>
              </w:rPr>
            </w:pPr>
            <w:r>
              <w:rPr>
                <w:rFonts w:ascii="Arial" w:cs="Arial" w:eastAsia="Arial" w:hAnsi="Arial"/>
                <w:sz w:val="18"/>
                <w:szCs w:val="18"/>
                <w:color w:val="auto"/>
              </w:rPr>
              <w:t>Percent of total accounts receivable</w:t>
            </w:r>
          </w:p>
        </w:tc>
        <w:tc>
          <w:tcPr>
            <w:tcW w:w="10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4"/>
              </w:rPr>
              <w:t>83%</w:t>
            </w:r>
          </w:p>
        </w:tc>
      </w:tr>
      <w:tr>
        <w:trPr>
          <w:trHeight w:val="20"/>
        </w:trPr>
        <w:tc>
          <w:tcPr>
            <w:tcW w:w="7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Cash equivalents consist of short-term, highly-liquid instruments with an original maturity of three months or less from the date of purchase.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December 31, 2020 and 2019, the Company had $0.2 million restricted cash, respectively, which was included in ‘Other current assets’ in the accompanying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Accounts receivable are stated at the amount management expects to collect from customers based on their outstanding invoices. Management reviews accounts receivable quarterly to determine if any receivable will potentially be uncollectible and to estimate the amount of allowance for doubtful accounts necessary to reduce accounts receivable to its estimated net realizable value based on historical experience, customer creditworthiness, facts, and circumstances specific to outstanding balances, and payment terms. The Company’s allowance for doubtful accounts was $0.2 million as of December 31,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Inventory consists primarily of material supplies, which are consumed in the performance of testing services and charged to cost of sales. Inventory is stated at cost and reported within ‘Other current assets’ in the balance sheet and were $3.2 million and $0.8 million as of December 31,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ind w:right="160" w:firstLine="589"/>
        <w:spacing w:after="0" w:line="257" w:lineRule="auto"/>
        <w:rPr>
          <w:sz w:val="20"/>
          <w:szCs w:val="20"/>
          <w:color w:val="auto"/>
        </w:rPr>
      </w:pPr>
      <w:r>
        <w:rPr>
          <w:rFonts w:ascii="Arial" w:cs="Arial" w:eastAsia="Arial" w:hAnsi="Arial"/>
          <w:sz w:val="18"/>
          <w:szCs w:val="18"/>
          <w:color w:val="auto"/>
        </w:rPr>
        <w:t>Long-lived assets to be held and used are evaluated for impairment when events or circumstances indicate the carrying value of a long-lived asset or asset group is less than the undiscounted cash flows from the use and eventual disposition over its remaining useful life. The Company assesses recoverability by comparing the sum or projected undiscounted cash flows from the use and eventual disposition of the asset or asset group to it carrying value, and records an impairment loss if the carrying value is greater than the undiscounted future cash flows. There were no impairments for the years ended December 31, 2020 or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right="20" w:firstLine="589"/>
        <w:spacing w:after="0" w:line="301" w:lineRule="auto"/>
        <w:rPr>
          <w:sz w:val="20"/>
          <w:szCs w:val="20"/>
          <w:color w:val="auto"/>
        </w:rPr>
      </w:pPr>
      <w:r>
        <w:rPr>
          <w:rFonts w:ascii="Arial" w:cs="Arial" w:eastAsia="Arial" w:hAnsi="Arial"/>
          <w:sz w:val="16"/>
          <w:szCs w:val="16"/>
          <w:color w:val="auto"/>
        </w:rPr>
        <w:t>Intangible assets primarily consist of intangible assets acquired as part of business combinations, external costs associated with patent applications that are expected to be successful, and trademark costs. Finite-lived intangibles are stated at cost, net of accumulated amortization. The Company amortizes finite-lived intangible assets using the straight-line method over their estimated useful lives of 9 to 10 years, based on management's estimate of the period over which their economic benefits will be realized, product life and patent life. Trademarks are considered indefinite lived and are not amortized.</w:t>
      </w:r>
    </w:p>
    <w:p>
      <w:pPr>
        <w:spacing w:after="0" w:line="130"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Intangible assets are reviewed for impairment whenever events or changes in circumstances indicate a reduction to fair value below their carrying amounts. There were no impairments for the years ended December 31, 2020 or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80" w:firstLine="589"/>
        <w:spacing w:after="0" w:line="291" w:lineRule="auto"/>
        <w:rPr>
          <w:sz w:val="20"/>
          <w:szCs w:val="20"/>
          <w:color w:val="auto"/>
        </w:rPr>
      </w:pPr>
      <w:r>
        <w:rPr>
          <w:rFonts w:ascii="Arial" w:cs="Arial" w:eastAsia="Arial" w:hAnsi="Arial"/>
          <w:sz w:val="16"/>
          <w:szCs w:val="16"/>
          <w:color w:val="auto"/>
        </w:rPr>
        <w:t>Goodwill represents the excess of purchase price over amounts allocated to acquired assets and liabilities assumed in business combinations. The carrying value of goodwill is evaluated for impairment at least annually or more frequently when events or circumstances occur indicate a potential for impairment. The annual impairment test is performed on the last day of our fourth quarter.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our single reporting unit is higher than its estimated fair value, quantitative testing is performed comparing recorded values to estimated fair values. If impairment is present, the impairment loss is measured as the excess of the recorded goodwill over its implied fair value. There were no impairments for the years ended December 31, 2020 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The three levels of the hierarchy and the related inputs are as follows:</w:t>
      </w:r>
    </w:p>
    <w:p>
      <w:pPr>
        <w:spacing w:after="0" w:line="201" w:lineRule="exact"/>
        <w:rPr>
          <w:sz w:val="20"/>
          <w:szCs w:val="20"/>
          <w:color w:val="auto"/>
        </w:rPr>
      </w:pPr>
    </w:p>
    <w:p>
      <w:pPr>
        <w:ind w:left="460"/>
        <w:spacing w:after="0"/>
        <w:tabs>
          <w:tab w:leader="none" w:pos="1540" w:val="left"/>
        </w:tabs>
        <w:rPr>
          <w:sz w:val="20"/>
          <w:szCs w:val="20"/>
          <w:color w:val="auto"/>
        </w:rPr>
      </w:pPr>
      <w:r>
        <w:rPr>
          <w:rFonts w:ascii="Arial" w:cs="Arial" w:eastAsia="Arial" w:hAnsi="Arial"/>
          <w:sz w:val="18"/>
          <w:szCs w:val="18"/>
          <w:color w:val="auto"/>
        </w:rPr>
        <w:t>Level</w:t>
      </w:r>
      <w:r>
        <w:rPr>
          <w:sz w:val="20"/>
          <w:szCs w:val="20"/>
          <w:color w:val="auto"/>
        </w:rPr>
        <w:tab/>
      </w:r>
      <w:r>
        <w:rPr>
          <w:rFonts w:ascii="Arial" w:cs="Arial" w:eastAsia="Arial" w:hAnsi="Arial"/>
          <w:sz w:val="18"/>
          <w:szCs w:val="18"/>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1560" w:hanging="942"/>
        <w:spacing w:after="0"/>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spacing w:after="0" w:line="23" w:lineRule="exact"/>
        <w:rPr>
          <w:sz w:val="20"/>
          <w:szCs w:val="20"/>
          <w:color w:val="auto"/>
        </w:rPr>
      </w:pPr>
    </w:p>
    <w:p>
      <w:pPr>
        <w:ind w:left="1560" w:hanging="942"/>
        <w:spacing w:after="0"/>
        <w:tabs>
          <w:tab w:leader="none" w:pos="1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spacing w:after="0" w:line="22" w:lineRule="exact"/>
        <w:rPr>
          <w:rFonts w:ascii="Arial" w:cs="Arial" w:eastAsia="Arial" w:hAnsi="Arial"/>
          <w:sz w:val="18"/>
          <w:szCs w:val="18"/>
          <w:color w:val="auto"/>
        </w:rPr>
      </w:pPr>
    </w:p>
    <w:p>
      <w:pPr>
        <w:ind w:left="1560" w:right="2440"/>
        <w:spacing w:after="0" w:line="266" w:lineRule="auto"/>
        <w:rPr>
          <w:rFonts w:ascii="Arial" w:cs="Arial" w:eastAsia="Arial" w:hAnsi="Arial"/>
          <w:sz w:val="18"/>
          <w:szCs w:val="18"/>
          <w:color w:val="auto"/>
        </w:rPr>
      </w:pPr>
      <w:r>
        <w:rPr>
          <w:rFonts w:ascii="Arial" w:cs="Arial" w:eastAsia="Arial" w:hAnsi="Arial"/>
          <w:sz w:val="18"/>
          <w:szCs w:val="18"/>
          <w:color w:val="auto"/>
        </w:rPr>
        <w:t>Unadjusted quoted prices for identical or similar assets or liabilities in markets that are not active; or Inputs other than quoted prices that are observable for the asset or liability.</w:t>
      </w:r>
    </w:p>
    <w:p>
      <w:pPr>
        <w:ind w:left="1560" w:hanging="942"/>
        <w:spacing w:after="0"/>
        <w:tabs>
          <w:tab w:leader="none" w:pos="1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224"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Note 5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for further discussion related to estimated fair value measurements.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In connection with the purchase transaction with Integrated Diagnostics, Inc. (Indi), the Company recorded contingent consideration for amounts potentially payable to Indi’s shareholder pursuant to the terms of the asset purchase agreement. The fair value of contingent consideration is assessed at each balance sheet date and changes, if any, to the fair value are recognized as operating expenses within the statements of operations. The estimated fair value of the contingent consideration is based upon significant assumptions including the probability of successful achievement of product gross margin targets included in the acquisition agreement, the estimated timing of achievement of the product gross margin targets, and discount rates. The estimated fair value could materially differ from actual values or fair values determined using different assumptions.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right="220" w:firstLine="589"/>
        <w:spacing w:after="0" w:line="301" w:lineRule="auto"/>
        <w:rPr>
          <w:sz w:val="20"/>
          <w:szCs w:val="20"/>
          <w:color w:val="auto"/>
        </w:rPr>
      </w:pPr>
      <w:r>
        <w:rPr>
          <w:rFonts w:ascii="Arial" w:cs="Arial" w:eastAsia="Arial" w:hAnsi="Arial"/>
          <w:sz w:val="16"/>
          <w:szCs w:val="16"/>
          <w:color w:val="auto"/>
        </w:rPr>
        <w:t>Prior to the completion of the Company’s initial public offering in October 2020, certain warrants issued to purchase convertible preferred stock were classified as liabilities with changes in the estimated fair value of these liabilities recognized in our results of operations. Upon completion of the Company’s initial public offering in October 2020, the warrants were automatically converted to warrants to purchase common stock. Accordingly, the warrants were remeasured to an estimate of fair value and recognized in our results of operations and then reclassified to additional paid-in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Liability</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During 2020 and 2019, the Company issued convertible debt with terms that provided for a conversion rate to the convertible debtholders that was more favorable than the price that other investors would pay for common stock in certain situations, including the completion of an initial public offering. As a result, the convertible debt is a financial instrument that was bifurcated into two instruments, a debt obligation and a put option liability, which represented the estimated fair value of the favorable conversion rate. The estimated fair value of the put option liability was separated from the convertible debt at inception and reported as a liability and debt discount, and amortized to interest expense. As a result of our initial public offering, the convertible debt was automatically converted to common stock and the put option liability was remeasured to an estimate of fair value and recognized in our results of operations and then reclassified to additional paid-in capital.</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 Company grants service condition and performance condition stock options. Stock options are granted with exercise prices equal to the fair market value of our common stock on the date of grant. The grant date fair value of each employee stock option is estimated on the date of grant using the Black-Scholes option-pricing model, which requires the use of assumptions, including the expected term of the option, expected volatility of our stock price, expected dividend yield, and the risk-free interest rate, among others. These assumptions involve inherent uncertainties including market conditions and employee behavior that are generally outside of the Company’s control. Service condition stock options are expensed based on the grant date fair value of the awards using the straight-line method over the requisite service period, adjusted for forfeitures as they occur. Performance-condition stock options vest based on achievement of multiple weighted performance goals, certification of performance achievement by the Compensation Committee of the Board of Directors, and continued service. For performance-condition stock options, compensation expense is updated for our expected performance level against performance goals at the end of each reporting period, which involves judgment as to achievement of certain performance metrics.</w:t>
      </w:r>
    </w:p>
    <w:p>
      <w:pPr>
        <w:spacing w:after="0" w:line="126"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Prior to our initial public offering in October 2020, the fair value of our common stock was determined by the Board of Directors in accordance with the methodologies outlined in the American Institute of Certified Public Accountants Practice Aid, Valuation of Privately-Held-Company Equity Securities Issued as Compensation Practice Aid (Practice Aid). In doing so, the Board of Directors determined the best estimate of fair value of our common stock, exercising reasonable judgment and considering numerous objective and subjective factors, by first determining the enterprise value of our business, and then allocating the value among the various classes of our equity securities to derive a per share value of our common stock. Subsequent to the Company’s initial public offering, the fair value of the Company’s common stock is determined based on its traded market price.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Company grants service-condition RSUs. As a result of our initial public offering, the grant date fair values of these RSUs are based on the closing market price of our common stock on the grant date. The service-condition RSUs vest based on continued service with compensation expense, net of forfeitures, recognized on a straight-line basis over the requisite service period.</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See Note 14 —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for additional information related to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Basic net loss per common share is calculated by dividing net loss by the weighted-average number of common shares outstanding during the period, without consideration of common stock equivalents. Diluted net loss per common share is computed by dividing net loss by the weighted-average number of common share equivalents outstanding for the period, if dilutive, using the treasury stock method. Potentially dilutive securities consisting of options to purchase common stock, warrants to purchase common stock, restricted stock units and shares subject to purchase under our employee stock purchase plan were excluded from the calculation of diluted net loss per common share because their effect would be anti-dilutive for all periods presented.</w:t>
      </w:r>
    </w:p>
    <w:p>
      <w:pPr>
        <w:spacing w:after="0" w:line="134" w:lineRule="exact"/>
        <w:rPr>
          <w:sz w:val="20"/>
          <w:szCs w:val="20"/>
          <w:color w:val="auto"/>
        </w:rPr>
      </w:pPr>
    </w:p>
    <w:p>
      <w:pPr>
        <w:ind w:right="320" w:firstLine="589"/>
        <w:spacing w:after="0" w:line="259" w:lineRule="auto"/>
        <w:rPr>
          <w:sz w:val="20"/>
          <w:szCs w:val="20"/>
          <w:color w:val="auto"/>
        </w:rPr>
      </w:pPr>
      <w:r>
        <w:rPr>
          <w:rFonts w:ascii="Arial" w:cs="Arial" w:eastAsia="Arial" w:hAnsi="Arial"/>
          <w:sz w:val="18"/>
          <w:szCs w:val="18"/>
          <w:color w:val="auto"/>
        </w:rPr>
        <w:t>Until the Company’s initial public offering in October 2020, basic and diluted net loss attributable to common stockholders per share was calculated using the two-class method. The net loss was attributable entirely to common stockholders because the participating securities did not have a contractual obligation to share in the Company’s losses. As the Company has reported a net loss for all periods presented, diluted net loss per common share is the same as basic net loss per common share for all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Not Yet Adopted</w:t>
      </w:r>
    </w:p>
    <w:p>
      <w:pPr>
        <w:spacing w:after="0" w:line="185"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In February 2016, the FASB issued Accounting Standards Update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requires lessees to recognize a right-of-use asset and corresponding lease liability, including leases currently accounted for as operating leases. The ASU is effective for the Company for interim and annual periods beginning January 1, 2022. The Company expects to recognize right-of-use assets and lease obligations in its balance sheet upon adoption using the modified retrospective method as permitted by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The Company does not currently expect adoption of this standard will have a significant effect on its statements of operations or cash flows.</w:t>
      </w:r>
    </w:p>
    <w:p>
      <w:pPr>
        <w:spacing w:after="0" w:line="12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w:t>
      </w:r>
      <w:r>
        <w:rPr>
          <w:rFonts w:ascii="Arial" w:cs="Arial" w:eastAsia="Arial" w:hAnsi="Arial"/>
          <w:sz w:val="18"/>
          <w:szCs w:val="18"/>
          <w:color w:val="auto"/>
        </w:rPr>
        <w:t xml:space="preserve"> on Financial Instruments. This ASU requires measurement and recognition of expected credit losses for financial assets. This guidance will become effective for the Company beginning January 1, 2022 with early adoption permitted. The Company has not yet begun evaluating the potential effect of this standard on its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Oncimmune Limited</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 October 31, 2019, the Company purchased select assets and liabilities from Oncimmune Limited (Oncimmune) for total consideration of $1.2 million payable in quarterly installments commencing 30 days following the closing of the transaction. Concurrent with the Oncimmune purchase, the Company acquired an exclusive option to license rights within the United States to an additional indication for their product for $9.0 million. In September 2020, we notified Oncimmune that we would not exercise this option for the expansion of the field of use. As of December 31, 2020, the Company had paid the full $1.2 million consideration.</w:t>
      </w:r>
    </w:p>
    <w:p>
      <w:pPr>
        <w:spacing w:after="0" w:line="161"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The acquisition was accounted for as business combination and resulted in the recognition of goodwill of $0.8 million representing expected synergies, including expected increases in future revenues as a result of expansion of the acquired technology into additional markets, and lower expected operating expenses. The Company finalized its purchase price allocation of the transaction as of December 31,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ind w:right="220" w:firstLine="589"/>
        <w:spacing w:after="0" w:line="277" w:lineRule="auto"/>
        <w:rPr>
          <w:sz w:val="20"/>
          <w:szCs w:val="20"/>
          <w:color w:val="auto"/>
        </w:rPr>
      </w:pPr>
      <w:r>
        <w:rPr>
          <w:rFonts w:ascii="Arial" w:cs="Arial" w:eastAsia="Arial" w:hAnsi="Arial"/>
          <w:sz w:val="18"/>
          <w:szCs w:val="18"/>
          <w:color w:val="auto"/>
        </w:rPr>
        <w:t>The following table summarizes the aggregate consideration paid by the Company and the allocation of the purchase price to assets acquired and liabilities assumed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Cash</w:t>
            </w:r>
          </w:p>
        </w:tc>
        <w:tc>
          <w:tcPr>
            <w:tcW w:w="76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76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39"/>
        </w:trPr>
        <w:tc>
          <w:tcPr>
            <w:tcW w:w="9260" w:type="dxa"/>
            <w:vAlign w:val="bottom"/>
          </w:tcPr>
          <w:p>
            <w:pPr>
              <w:spacing w:after="0"/>
              <w:rPr>
                <w:sz w:val="20"/>
                <w:szCs w:val="20"/>
                <w:color w:val="auto"/>
              </w:rPr>
            </w:pPr>
            <w:r>
              <w:rPr>
                <w:rFonts w:ascii="Arial" w:cs="Arial" w:eastAsia="Arial" w:hAnsi="Arial"/>
                <w:sz w:val="18"/>
                <w:szCs w:val="18"/>
                <w:color w:val="auto"/>
              </w:rPr>
              <w:t>Deposit</w:t>
            </w:r>
          </w:p>
        </w:tc>
        <w:tc>
          <w:tcPr>
            <w:tcW w:w="760" w:type="dxa"/>
            <w:vAlign w:val="bottom"/>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241</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Purchase option</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827</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Diagnostics, Inc.</w:t>
      </w:r>
    </w:p>
    <w:p>
      <w:pPr>
        <w:spacing w:after="0" w:line="225"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On June 30, 2018, the Company purchased select assets and liabilities from Integrated Diagnostics, Inc. (Indi) for total consideration of $27.6 million, consisting of $8.0 million in the Company’s Series G Preferred Stock and contingent consideration with an initial estimated fair value of $19.6 million. The acquisition was accounted for as a business combination and resulted in goodwill of $14.2 million representing expected synergies, including increases in future revenues as a result of expansion of the acquired technology into additional markets, and lower operating expenses.</w:t>
      </w:r>
    </w:p>
    <w:p>
      <w:pPr>
        <w:spacing w:after="0" w:line="157" w:lineRule="exact"/>
        <w:rPr>
          <w:sz w:val="20"/>
          <w:szCs w:val="20"/>
          <w:color w:val="auto"/>
        </w:rPr>
      </w:pPr>
    </w:p>
    <w:p>
      <w:pPr>
        <w:ind w:right="260" w:firstLine="589"/>
        <w:spacing w:after="0" w:line="255" w:lineRule="auto"/>
        <w:rPr>
          <w:sz w:val="20"/>
          <w:szCs w:val="20"/>
          <w:color w:val="auto"/>
        </w:rPr>
      </w:pPr>
      <w:r>
        <w:rPr>
          <w:rFonts w:ascii="Arial" w:cs="Arial" w:eastAsia="Arial" w:hAnsi="Arial"/>
          <w:sz w:val="18"/>
          <w:szCs w:val="18"/>
          <w:color w:val="auto"/>
        </w:rPr>
        <w:t>The contingent consideration arrangement requires additional consideration to be paid by the Company to Indi upon attainment of a three-consecutive month gross margin target of $2.0 million within the seven-year period after the acquisition date. If the gross margin target is met, the Company is required to issue 2,520,108 shares of common stock. For the six months following the achievement of the gross margin target, Indi has the option to require the Company to redeem these common shares for $37.0 million in cash over eight equal quarterly installments. If Indi elects to not exercise its option, the Company has 12 months to repurchase the common stock in two equal and consecutive quarterly cash installments totaling $37.0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Our borrowing instruments are recorded at their carrying values in the balance sheets, which may differ from their respective fair values. The fair values of outstanding borrowings, which are classified as Level 2, approximate their carrying values at December 31, 2020 and 2019, based on interest rates currently available for similar borrowings and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87"/>
              </w:rPr>
              <w:t>As of December 31,</w:t>
            </w: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spacing w:after="0"/>
              <w:rPr>
                <w:sz w:val="19"/>
                <w:szCs w:val="19"/>
                <w:color w:val="auto"/>
              </w:rPr>
            </w:pPr>
          </w:p>
        </w:tc>
      </w:tr>
      <w:tr>
        <w:trPr>
          <w:trHeight w:val="243"/>
        </w:trPr>
        <w:tc>
          <w:tcPr>
            <w:tcW w:w="31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w w:val="95"/>
              </w:rPr>
              <w:t>Fair Value</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Borrowings</w:t>
            </w:r>
          </w:p>
        </w:tc>
        <w:tc>
          <w:tcPr>
            <w:tcW w:w="26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27,766</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27,766</w:t>
            </w: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35,971</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35,971</w:t>
            </w:r>
          </w:p>
        </w:tc>
      </w:tr>
      <w:tr>
        <w:trPr>
          <w:trHeight w:val="647"/>
        </w:trPr>
        <w:tc>
          <w:tcPr>
            <w:tcW w:w="3160" w:type="dxa"/>
            <w:vAlign w:val="bottom"/>
          </w:tcPr>
          <w:p>
            <w:pPr>
              <w:spacing w:after="0"/>
              <w:rPr>
                <w:sz w:val="24"/>
                <w:szCs w:val="24"/>
                <w:color w:val="auto"/>
              </w:rPr>
            </w:pPr>
          </w:p>
        </w:tc>
        <w:tc>
          <w:tcPr>
            <w:tcW w:w="3040" w:type="dxa"/>
            <w:vAlign w:val="bottom"/>
            <w:gridSpan w:val="2"/>
          </w:tcPr>
          <w:p>
            <w:pPr>
              <w:ind w:left="2300"/>
              <w:spacing w:after="0"/>
              <w:rPr>
                <w:sz w:val="20"/>
                <w:szCs w:val="20"/>
                <w:color w:val="auto"/>
              </w:rPr>
            </w:pPr>
            <w:r>
              <w:rPr>
                <w:rFonts w:ascii="Arial" w:cs="Arial" w:eastAsia="Arial" w:hAnsi="Arial"/>
                <w:sz w:val="18"/>
                <w:szCs w:val="18"/>
                <w:color w:val="auto"/>
              </w:rPr>
              <w:t>F-16</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1" w:name="page142"/>
    <w:bookmarkEnd w:id="141"/>
    <w:p>
      <w:pPr>
        <w:ind w:right="140" w:firstLine="589"/>
        <w:spacing w:after="0" w:line="257" w:lineRule="auto"/>
        <w:rPr>
          <w:sz w:val="20"/>
          <w:szCs w:val="20"/>
          <w:color w:val="auto"/>
        </w:rPr>
      </w:pPr>
      <w:r>
        <w:rPr>
          <w:rFonts w:ascii="Arial" w:cs="Arial" w:eastAsia="Arial" w:hAnsi="Arial"/>
          <w:sz w:val="18"/>
          <w:szCs w:val="18"/>
          <w:color w:val="auto"/>
        </w:rPr>
        <w:t>The financial liabilities that are measured and recorded at estimated fair value on a recurring basis consist of our contingent consideration associated with our acquisition of Indi, and prior to the completion of our initial public offering in October 2020, the warrant liability and put option liability granted to certain holders of our convertible preferred stock and debt instruments, which were accounted for as liabilities and remeasured through our statements of operations. The table below presents the reported fair values of these liabilities, all of which are classified as Level 3 in the fair value hierarchy, as of the dates indicated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9"/>
          </w:tcPr>
          <w:p>
            <w:pPr>
              <w:jc w:val="right"/>
              <w:ind w:right="990"/>
              <w:spacing w:after="0"/>
              <w:rPr>
                <w:sz w:val="20"/>
                <w:szCs w:val="20"/>
                <w:color w:val="auto"/>
              </w:rPr>
            </w:pPr>
            <w:r>
              <w:rPr>
                <w:rFonts w:ascii="Arial" w:cs="Arial" w:eastAsia="Arial" w:hAnsi="Arial"/>
                <w:sz w:val="18"/>
                <w:szCs w:val="18"/>
                <w:b w:val="1"/>
                <w:bCs w:val="1"/>
                <w:color w:val="auto"/>
                <w:w w:val="92"/>
              </w:rPr>
              <w:t>As of December 31,</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2019</w:t>
            </w:r>
          </w:p>
        </w:tc>
      </w:tr>
      <w:tr>
        <w:trPr>
          <w:trHeight w:val="222"/>
        </w:trPr>
        <w:tc>
          <w:tcPr>
            <w:tcW w:w="5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4"/>
              </w:rPr>
              <w:t>29,932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29,114</w:t>
            </w: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Put option liability</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3,261</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372</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Contingent value rights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427"/>
        </w:trPr>
        <w:tc>
          <w:tcPr>
            <w:tcW w:w="9520" w:type="dxa"/>
            <w:vAlign w:val="bottom"/>
            <w:gridSpan w:val="13"/>
          </w:tcPr>
          <w:p>
            <w:pPr>
              <w:ind w:left="600"/>
              <w:spacing w:after="0"/>
              <w:rPr>
                <w:sz w:val="20"/>
                <w:szCs w:val="20"/>
                <w:color w:val="auto"/>
              </w:rPr>
            </w:pPr>
            <w:r>
              <w:rPr>
                <w:rFonts w:ascii="Arial" w:cs="Arial" w:eastAsia="Arial" w:hAnsi="Arial"/>
                <w:sz w:val="18"/>
                <w:szCs w:val="18"/>
                <w:color w:val="auto"/>
                <w:w w:val="91"/>
              </w:rPr>
              <w:t>The following table presents the changes in these financial liabilities for the year ended December 31, 2020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6"/>
              </w:rPr>
              <w:t>Put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Contingent</w:t>
            </w:r>
          </w:p>
        </w:tc>
        <w:tc>
          <w:tcPr>
            <w:tcW w:w="160" w:type="dxa"/>
            <w:vAlign w:val="bottom"/>
          </w:tcPr>
          <w:p>
            <w:pPr>
              <w:spacing w:after="0"/>
              <w:rPr>
                <w:sz w:val="18"/>
                <w:szCs w:val="18"/>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Warrant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Level 3 Rollforward</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Consideration</w:t>
            </w:r>
          </w:p>
        </w:tc>
        <w:tc>
          <w:tcPr>
            <w:tcW w:w="160" w:type="dxa"/>
            <w:vAlign w:val="bottom"/>
          </w:tcPr>
          <w:p>
            <w:pPr>
              <w:spacing w:after="0"/>
              <w:rPr>
                <w:sz w:val="20"/>
                <w:szCs w:val="20"/>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6"/>
              </w:rPr>
              <w:t>Liability</w:t>
            </w:r>
          </w:p>
        </w:tc>
        <w:tc>
          <w:tcPr>
            <w:tcW w:w="12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Liability</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3"/>
              </w:rPr>
              <w:t>Value Rights</w:t>
            </w:r>
          </w:p>
        </w:tc>
      </w:tr>
      <w:tr>
        <w:trPr>
          <w:trHeight w:val="222"/>
        </w:trPr>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Beginning balances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29,114</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3,261</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3,389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4"/>
          </w:tcPr>
          <w:p>
            <w:pPr>
              <w:jc w:val="right"/>
              <w:ind w:right="30"/>
              <w:spacing w:after="0"/>
              <w:rPr>
                <w:sz w:val="20"/>
                <w:szCs w:val="20"/>
                <w:color w:val="auto"/>
              </w:rPr>
            </w:pPr>
            <w:r>
              <w:rPr>
                <w:rFonts w:ascii="Arial" w:cs="Arial" w:eastAsia="Arial" w:hAnsi="Arial"/>
                <w:sz w:val="18"/>
                <w:szCs w:val="18"/>
                <w:color w:val="auto"/>
              </w:rPr>
              <w:t>1,252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Reclassified to additional paid-in capital</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(6,650)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(1,624)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Ending balances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29,932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 xml:space="preserve">In connection with the acquisition of Indi, the Company recorded contingent consideration for amounts contingently payable to Indi's selling shareholders pursuant to the Asset Purchase Agreement (See Note 4 –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significant unobservable inputs used in the measurement of fair value include the probability of successful achievement of the specified product gross margin targets, the period in which the targets are expected to be achieved, and discount rates which ranged from 12.2% to 13.5%. Significant increases or decreases in any of these inputs would result in a significantly higher or lower fair value measurement.</w:t>
      </w:r>
    </w:p>
    <w:p>
      <w:pPr>
        <w:spacing w:after="0" w:line="14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Contingent consideration is recorded in the balance sheets as long-term liabilities. The net change to contingent consideration during the years ended December 31, 2020 and 2019 was an increase of $0.8 million and $4.1 million, respectively, and are recorded as operating expenses in the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Liability</w:t>
      </w:r>
    </w:p>
    <w:p>
      <w:pPr>
        <w:spacing w:after="0" w:line="117"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The put option liability was valued based on the calculated returns as a result of the various discounts included in the Company’s convertible notes payable and the related probability assessments of the various settlement scenarios. During 2020, the Company recognized an addition to the put option liability of $3.4 million in connection with a favorable conversion rate granted to holders of issued convertible debt. The put option liability was settled upon the closing of the Company’s initial public offering in October 2020 and reclassified to additional paid-in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estimated fair value of the warrant on the issuance date of $0.3 million was recorded as a debt discount and as a preferred stock warrant liability. Through the effective date of the Company’s initial public offering, the Series G warrants were remeasured to an estimate of fair value using a Black Scholes pricing model. As a result of the Company’s initial public offering, the preferred stock warrants were automatically converted to warrants to purchase 103,326 shares of common stock with a weighted average exercise price of $4.46 and were also transferred to additional paid-in capital. During 2020, the Company recorded an increase in the value of the warrant liability of $1.3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Contingent Value Rights</w:t>
      </w:r>
    </w:p>
    <w:p>
      <w:pPr>
        <w:spacing w:after="0" w:line="117" w:lineRule="exact"/>
        <w:rPr>
          <w:sz w:val="20"/>
          <w:szCs w:val="20"/>
          <w:color w:val="auto"/>
        </w:rPr>
      </w:pPr>
    </w:p>
    <w:p>
      <w:pPr>
        <w:ind w:right="100" w:firstLine="589"/>
        <w:spacing w:after="0" w:line="218" w:lineRule="exact"/>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w:t>
      </w:r>
      <w:r>
        <w:rPr>
          <w:rFonts w:ascii="MS PGothic" w:cs="MS PGothic" w:eastAsia="MS PGothic" w:hAnsi="MS PGothic"/>
          <w:sz w:val="17"/>
          <w:szCs w:val="17"/>
          <w:color w:val="auto"/>
        </w:rPr>
        <w:t>‑</w:t>
      </w:r>
      <w:r>
        <w:rPr>
          <w:rFonts w:ascii="Arial" w:cs="Arial" w:eastAsia="Arial" w:hAnsi="Arial"/>
          <w:sz w:val="17"/>
          <w:szCs w:val="17"/>
          <w:color w:val="auto"/>
        </w:rPr>
        <w:t xml:space="preserve">rata amount in the financing described above received a calculated number of contingent value rights (CVRs). In connection with the Series F financing, the Company issued 3,999 CVRs originally valued at $0.5 million. One CVR represents 0.00375% of the Company’s interest in the drug ficlatuzumab. The initial estimated value of the CVRs were recorded as a liability and as a reduction to the Series F proceeds. Upon receipt by the Company or a milestone, royalty, or any other type of payment from the Company’s ownership rights in the drug, the Company was required to make a cash payment to the CVR holders equal to 15% of net proceeds, as defined. In September 2020, the Company exercised its opt-out right with AVEO Oncology (AVEO) for the payment of 50% of development and regulatory costs for ficlatuzumab. As a result, the CVRs were settled effective December 2, 2020. See Note 17 – </w:t>
      </w:r>
      <w:r>
        <w:rPr>
          <w:rFonts w:ascii="Arial" w:cs="Arial" w:eastAsia="Arial" w:hAnsi="Arial"/>
          <w:sz w:val="17"/>
          <w:szCs w:val="17"/>
          <w:i w:val="1"/>
          <w:iCs w:val="1"/>
          <w:color w:val="auto"/>
        </w:rPr>
        <w:t>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Contingencies </w:t>
      </w:r>
      <w:r>
        <w:rPr>
          <w:rFonts w:ascii="Arial" w:cs="Arial" w:eastAsia="Arial" w:hAnsi="Arial"/>
          <w:sz w:val="17"/>
          <w:szCs w:val="17"/>
          <w:color w:val="auto"/>
        </w:rPr>
        <w:t>for a discussion of the Co-Development Agreement with AVEO.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Non-Financial Assets and Liabilities</w:t>
      </w:r>
    </w:p>
    <w:p>
      <w:pPr>
        <w:spacing w:after="0" w:line="117" w:lineRule="exact"/>
        <w:rPr>
          <w:sz w:val="20"/>
          <w:szCs w:val="20"/>
          <w:color w:val="auto"/>
        </w:rPr>
      </w:pPr>
    </w:p>
    <w:p>
      <w:pPr>
        <w:ind w:right="80" w:firstLine="589"/>
        <w:spacing w:after="0" w:line="342" w:lineRule="auto"/>
        <w:rPr>
          <w:sz w:val="20"/>
          <w:szCs w:val="20"/>
          <w:color w:val="auto"/>
        </w:rPr>
      </w:pPr>
      <w:r>
        <w:rPr>
          <w:rFonts w:ascii="Arial" w:cs="Arial" w:eastAsia="Arial" w:hAnsi="Arial"/>
          <w:sz w:val="16"/>
          <w:szCs w:val="16"/>
          <w:color w:val="auto"/>
        </w:rPr>
        <w:t>Our non-financial assets, which primarily consist of property and equipment, goodwill, and other intangible assets, are not required to be carried at fair value on a recurring basis and are reported at carrying value. There were no changes to the valuation methods during the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600"/>
              <w:spacing w:after="0"/>
              <w:rPr>
                <w:sz w:val="20"/>
                <w:szCs w:val="20"/>
                <w:color w:val="auto"/>
              </w:rPr>
            </w:pPr>
            <w:r>
              <w:rPr>
                <w:rFonts w:ascii="Arial" w:cs="Arial" w:eastAsia="Arial" w:hAnsi="Arial"/>
                <w:sz w:val="18"/>
                <w:szCs w:val="18"/>
                <w:color w:val="auto"/>
              </w:rPr>
              <w:t>Property and equipment consist of the following (in thousands):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5"/>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Lab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5,730</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4,221</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1,845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1,894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869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427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Software</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503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592</w:t>
            </w:r>
          </w:p>
        </w:tc>
      </w:tr>
      <w:tr>
        <w:trPr>
          <w:trHeight w:val="222"/>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9,902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8,506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2,120</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r>
      <w:tr>
        <w:trPr>
          <w:trHeight w:val="439"/>
        </w:trPr>
        <w:tc>
          <w:tcPr>
            <w:tcW w:w="11240" w:type="dxa"/>
            <w:vAlign w:val="bottom"/>
            <w:gridSpan w:val="6"/>
          </w:tcPr>
          <w:p>
            <w:pPr>
              <w:ind w:left="600"/>
              <w:spacing w:after="0"/>
              <w:rPr>
                <w:sz w:val="20"/>
                <w:szCs w:val="20"/>
                <w:color w:val="auto"/>
              </w:rPr>
            </w:pPr>
            <w:r>
              <w:rPr>
                <w:rFonts w:ascii="Arial" w:cs="Arial" w:eastAsia="Arial" w:hAnsi="Arial"/>
                <w:sz w:val="18"/>
                <w:szCs w:val="18"/>
                <w:color w:val="auto"/>
                <w:w w:val="90"/>
              </w:rPr>
              <w:t>Depreciation expense related to property and equipment, reported in ‘Direct costs and expenses’ and ‘Sales, marketing, general and administrative’</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was: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5"/>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Direct costs and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636</w:t>
            </w: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819</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Disposals of Property and Equipment</w:t>
      </w:r>
    </w:p>
    <w:p>
      <w:pPr>
        <w:spacing w:after="0" w:line="11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Gains on disposal of property and equipment were not significant for the years ended December 31, 2020 and 2019, and are included in ‘Sales, marketing, general and administrative’ in the statements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gridSpan w:val="2"/>
          </w:tcPr>
          <w:p>
            <w:pPr>
              <w:ind w:left="600"/>
              <w:spacing w:after="0"/>
              <w:rPr>
                <w:sz w:val="20"/>
                <w:szCs w:val="20"/>
                <w:color w:val="auto"/>
              </w:rPr>
            </w:pPr>
            <w:r>
              <w:rPr>
                <w:rFonts w:ascii="Arial" w:cs="Arial" w:eastAsia="Arial" w:hAnsi="Arial"/>
                <w:sz w:val="18"/>
                <w:szCs w:val="18"/>
                <w:color w:val="auto"/>
              </w:rPr>
              <w:t>Changes in goodwill for the years ended December 31, 2020 and 2019 were (in thousands):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74"/>
        </w:trPr>
        <w:tc>
          <w:tcPr>
            <w:tcW w:w="9820" w:type="dxa"/>
            <w:vAlign w:val="bottom"/>
            <w:gridSpan w:val="2"/>
          </w:tcPr>
          <w:p>
            <w:pPr>
              <w:spacing w:after="0"/>
              <w:rPr>
                <w:sz w:val="20"/>
                <w:szCs w:val="20"/>
                <w:color w:val="auto"/>
              </w:rPr>
            </w:pPr>
            <w:r>
              <w:rPr>
                <w:rFonts w:ascii="Arial" w:cs="Arial" w:eastAsia="Arial" w:hAnsi="Arial"/>
                <w:sz w:val="18"/>
                <w:szCs w:val="18"/>
                <w:color w:val="auto"/>
              </w:rPr>
              <w:t>Balance at January 1, 2019</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14,204</w:t>
            </w:r>
          </w:p>
        </w:tc>
      </w:tr>
      <w:tr>
        <w:trPr>
          <w:trHeight w:val="230"/>
        </w:trPr>
        <w:tc>
          <w:tcPr>
            <w:tcW w:w="9820" w:type="dxa"/>
            <w:vAlign w:val="bottom"/>
            <w:gridSpan w:val="2"/>
          </w:tcPr>
          <w:p>
            <w:pPr>
              <w:ind w:left="80"/>
              <w:spacing w:after="0"/>
              <w:rPr>
                <w:sz w:val="20"/>
                <w:szCs w:val="20"/>
                <w:color w:val="auto"/>
              </w:rPr>
            </w:pPr>
            <w:r>
              <w:rPr>
                <w:rFonts w:ascii="Arial" w:cs="Arial" w:eastAsia="Arial" w:hAnsi="Arial"/>
                <w:sz w:val="18"/>
                <w:szCs w:val="18"/>
                <w:color w:val="auto"/>
              </w:rPr>
              <w:t>Attributable to acquisition of Oncimmune, Ltd.</w:t>
            </w: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827</w:t>
            </w: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w w:val="88"/>
              </w:rPr>
              <w:t>Balance at December</w:t>
            </w:r>
          </w:p>
        </w:tc>
        <w:tc>
          <w:tcPr>
            <w:tcW w:w="8260" w:type="dxa"/>
            <w:vAlign w:val="bottom"/>
          </w:tcPr>
          <w:p>
            <w:pPr>
              <w:ind w:left="40"/>
              <w:spacing w:after="0"/>
              <w:rPr>
                <w:sz w:val="20"/>
                <w:szCs w:val="20"/>
                <w:color w:val="auto"/>
              </w:rPr>
            </w:pPr>
            <w:r>
              <w:rPr>
                <w:rFonts w:ascii="Arial" w:cs="Arial" w:eastAsia="Arial" w:hAnsi="Arial"/>
                <w:sz w:val="18"/>
                <w:szCs w:val="18"/>
                <w:color w:val="auto"/>
              </w:rPr>
              <w:t>31 2019</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15,031</w:t>
            </w:r>
          </w:p>
        </w:tc>
      </w:tr>
      <w:tr>
        <w:trPr>
          <w:trHeight w:val="20"/>
        </w:trPr>
        <w:tc>
          <w:tcPr>
            <w:tcW w:w="15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0"/>
        </w:trPr>
        <w:tc>
          <w:tcPr>
            <w:tcW w:w="1560" w:type="dxa"/>
            <w:vAlign w:val="bottom"/>
          </w:tcPr>
          <w:p>
            <w:pPr>
              <w:spacing w:after="0"/>
              <w:rPr>
                <w:sz w:val="20"/>
                <w:szCs w:val="20"/>
                <w:color w:val="auto"/>
              </w:rPr>
            </w:pPr>
            <w:r>
              <w:rPr>
                <w:rFonts w:ascii="Arial" w:cs="Arial" w:eastAsia="Arial" w:hAnsi="Arial"/>
                <w:sz w:val="18"/>
                <w:szCs w:val="18"/>
                <w:color w:val="auto"/>
                <w:w w:val="88"/>
              </w:rPr>
              <w:t>Balance at December</w:t>
            </w:r>
          </w:p>
        </w:tc>
        <w:tc>
          <w:tcPr>
            <w:tcW w:w="8260" w:type="dxa"/>
            <w:vAlign w:val="bottom"/>
          </w:tcPr>
          <w:p>
            <w:pPr>
              <w:ind w:left="40"/>
              <w:spacing w:after="0"/>
              <w:rPr>
                <w:sz w:val="20"/>
                <w:szCs w:val="20"/>
                <w:color w:val="auto"/>
              </w:rPr>
            </w:pPr>
            <w:r>
              <w:rPr>
                <w:rFonts w:ascii="Arial" w:cs="Arial" w:eastAsia="Arial" w:hAnsi="Arial"/>
                <w:sz w:val="18"/>
                <w:szCs w:val="18"/>
                <w:color w:val="auto"/>
              </w:rPr>
              <w:t>31, 2020</w:t>
            </w:r>
          </w:p>
        </w:tc>
        <w:tc>
          <w:tcPr>
            <w:tcW w:w="44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15,031</w:t>
            </w:r>
          </w:p>
        </w:tc>
      </w:tr>
      <w:tr>
        <w:trPr>
          <w:trHeight w:val="20"/>
        </w:trPr>
        <w:tc>
          <w:tcPr>
            <w:tcW w:w="15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600"/>
              <w:spacing w:after="0"/>
              <w:rPr>
                <w:sz w:val="20"/>
                <w:szCs w:val="20"/>
                <w:color w:val="auto"/>
              </w:rPr>
            </w:pPr>
            <w:r>
              <w:rPr>
                <w:rFonts w:ascii="Arial" w:cs="Arial" w:eastAsia="Arial" w:hAnsi="Arial"/>
                <w:sz w:val="18"/>
                <w:szCs w:val="18"/>
                <w:color w:val="auto"/>
                <w:w w:val="97"/>
              </w:rPr>
              <w:t>Intangible assets consist of the following (in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4"/>
              </w:rPr>
              <w:t>December 31, 2020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12"/>
          </w:tcPr>
          <w:p>
            <w:pPr>
              <w:ind w:left="20"/>
              <w:spacing w:after="0"/>
              <w:rPr>
                <w:sz w:val="20"/>
                <w:szCs w:val="20"/>
                <w:color w:val="auto"/>
              </w:rPr>
            </w:pPr>
            <w:r>
              <w:rPr>
                <w:rFonts w:ascii="Arial" w:cs="Arial" w:eastAsia="Arial" w:hAnsi="Arial"/>
                <w:sz w:val="18"/>
                <w:szCs w:val="18"/>
                <w:b w:val="1"/>
                <w:bCs w:val="1"/>
                <w:color w:val="auto"/>
                <w:w w:val="93"/>
              </w:rPr>
              <w:t>December 31, 2019</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6"/>
          </w:tcPr>
          <w:p>
            <w:pPr>
              <w:spacing w:after="0"/>
              <w:rPr>
                <w:sz w:val="20"/>
                <w:szCs w:val="20"/>
                <w:color w:val="auto"/>
              </w:rPr>
            </w:pPr>
            <w:r>
              <w:rPr>
                <w:rFonts w:ascii="Arial" w:cs="Arial" w:eastAsia="Arial" w:hAnsi="Arial"/>
                <w:sz w:val="18"/>
                <w:szCs w:val="18"/>
                <w:b w:val="1"/>
                <w:bCs w:val="1"/>
                <w:color w:val="auto"/>
                <w:w w:val="95"/>
              </w:rPr>
              <w:t>Accumulated</w:t>
            </w:r>
          </w:p>
        </w:tc>
        <w:tc>
          <w:tcPr>
            <w:tcW w:w="40" w:type="dxa"/>
            <w:vAlign w:val="bottom"/>
          </w:tcPr>
          <w:p>
            <w:pPr>
              <w:spacing w:after="0"/>
              <w:rPr>
                <w:sz w:val="18"/>
                <w:szCs w:val="18"/>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7"/>
          </w:tcPr>
          <w:p>
            <w:pPr>
              <w:ind w:left="100"/>
              <w:spacing w:after="0"/>
              <w:rPr>
                <w:sz w:val="20"/>
                <w:szCs w:val="20"/>
                <w:color w:val="auto"/>
              </w:rPr>
            </w:pPr>
            <w:r>
              <w:rPr>
                <w:rFonts w:ascii="Arial" w:cs="Arial" w:eastAsia="Arial" w:hAnsi="Arial"/>
                <w:sz w:val="18"/>
                <w:szCs w:val="18"/>
                <w:b w:val="1"/>
                <w:bCs w:val="1"/>
                <w:color w:val="auto"/>
                <w:w w:val="98"/>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Patents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1,474</w:t>
            </w: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1,245</w:t>
            </w:r>
          </w:p>
        </w:tc>
        <w:tc>
          <w:tcPr>
            <w:tcW w:w="600" w:type="dxa"/>
            <w:vAlign w:val="bottom"/>
            <w:gridSpan w:val="6"/>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(411)</w:t>
            </w:r>
          </w:p>
        </w:tc>
        <w:tc>
          <w:tcPr>
            <w:tcW w:w="240" w:type="dxa"/>
            <w:vAlign w:val="bottom"/>
            <w:gridSpan w:val="3"/>
          </w:tcPr>
          <w:p>
            <w:pPr>
              <w:jc w:val="center"/>
              <w:ind w:lef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Purchased technology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(4,694)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12,206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16,900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Purchase option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Intangible assets not subject to amortization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18,448</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(5,188)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$ 18,337</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(3,245)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15,092</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7"/>
          </w:tcPr>
          <w:p>
            <w:pPr>
              <w:ind w:left="600"/>
              <w:spacing w:after="0"/>
              <w:rPr>
                <w:sz w:val="20"/>
                <w:szCs w:val="20"/>
                <w:color w:val="auto"/>
              </w:rPr>
            </w:pPr>
            <w:r>
              <w:rPr>
                <w:rFonts w:ascii="Arial" w:cs="Arial" w:eastAsia="Arial" w:hAnsi="Arial"/>
                <w:sz w:val="18"/>
                <w:szCs w:val="18"/>
                <w:color w:val="auto"/>
                <w:w w:val="91"/>
              </w:rPr>
              <w:t>Amortization expense related to definite-lived intangible assets was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15"/>
            <w:vMerge w:val="restart"/>
          </w:tcPr>
          <w:p>
            <w:pPr>
              <w:ind w:left="3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gridSpan w:val="1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740" w:type="dxa"/>
            <w:vAlign w:val="bottom"/>
            <w:tcBorders>
              <w:top w:val="single" w:sz="8" w:color="auto"/>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4"/>
          </w:tcPr>
          <w:p>
            <w:pPr>
              <w:jc w:val="center"/>
              <w:ind w:right="4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Direct costs and expenses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6"/>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20" w:type="dxa"/>
            <w:vAlign w:val="bottom"/>
            <w:gridSpan w:val="2"/>
          </w:tcPr>
          <w:p>
            <w:pPr>
              <w:jc w:val="right"/>
              <w:ind w:right="3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7"/>
            <w:vMerge w:val="restart"/>
          </w:tcPr>
          <w:p>
            <w:pPr>
              <w:ind w:left="600"/>
              <w:spacing w:after="0"/>
              <w:rPr>
                <w:sz w:val="20"/>
                <w:szCs w:val="20"/>
                <w:color w:val="auto"/>
              </w:rPr>
            </w:pPr>
            <w:r>
              <w:rPr>
                <w:rFonts w:ascii="Arial" w:cs="Arial" w:eastAsia="Arial" w:hAnsi="Arial"/>
                <w:sz w:val="18"/>
                <w:szCs w:val="18"/>
                <w:color w:val="auto"/>
                <w:w w:val="98"/>
              </w:rPr>
              <w:t>Future estimated amortization expense of intangible assets is (in thousands):</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7"/>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8"/>
              </w:rPr>
              <w:t>As of</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5"/>
          </w:tcPr>
          <w:p>
            <w:pPr>
              <w:jc w:val="center"/>
              <w:ind w:lef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4"/>
          </w:tcPr>
          <w:p>
            <w:pPr>
              <w:spacing w:after="0"/>
              <w:rPr>
                <w:sz w:val="19"/>
                <w:szCs w:val="19"/>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4"/>
          </w:tcPr>
          <w:p>
            <w:pPr>
              <w:spacing w:after="0"/>
              <w:rPr>
                <w:sz w:val="19"/>
                <w:szCs w:val="19"/>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have been no impairments of intangible assets for the twelve-month periods ended December 31, 2020 and December 31, 2019.</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Note 8 – Accrued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600"/>
              <w:spacing w:after="0"/>
              <w:rPr>
                <w:sz w:val="20"/>
                <w:szCs w:val="20"/>
                <w:color w:val="auto"/>
              </w:rPr>
            </w:pPr>
            <w:r>
              <w:rPr>
                <w:rFonts w:ascii="Arial" w:cs="Arial" w:eastAsia="Arial" w:hAnsi="Arial"/>
                <w:sz w:val="18"/>
                <w:szCs w:val="18"/>
                <w:color w:val="auto"/>
              </w:rPr>
              <w:t>Amounts reported in ‘Accrued liabilities’ in the balance sheets were (in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Compensation related accruals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Warrant liability, current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Note 9 – Debt</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Notes Payable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20" w:type="dxa"/>
            <w:vAlign w:val="bottom"/>
          </w:tcPr>
          <w:p>
            <w:pPr>
              <w:ind w:left="600"/>
              <w:spacing w:after="0"/>
              <w:rPr>
                <w:sz w:val="20"/>
                <w:szCs w:val="20"/>
                <w:color w:val="auto"/>
              </w:rPr>
            </w:pPr>
            <w:r>
              <w:rPr>
                <w:rFonts w:ascii="Arial" w:cs="Arial" w:eastAsia="Arial" w:hAnsi="Arial"/>
                <w:sz w:val="18"/>
                <w:szCs w:val="18"/>
                <w:color w:val="auto"/>
              </w:rPr>
              <w:t>Long-term notes payable were as follows (in thousands):</w:t>
            </w:r>
          </w:p>
        </w:tc>
        <w:tc>
          <w:tcPr>
            <w:tcW w:w="340" w:type="dxa"/>
            <w:vAlign w:val="bottom"/>
          </w:tcPr>
          <w:p>
            <w:pPr>
              <w:spacing w:after="0"/>
              <w:rPr>
                <w:sz w:val="24"/>
                <w:szCs w:val="24"/>
                <w:color w:val="auto"/>
              </w:rPr>
            </w:pPr>
          </w:p>
        </w:tc>
        <w:tc>
          <w:tcPr>
            <w:tcW w:w="3180" w:type="dxa"/>
            <w:vAlign w:val="bottom"/>
            <w:gridSpan w:val="6"/>
            <w:vMerge w:val="restart"/>
          </w:tcPr>
          <w:p>
            <w:pPr>
              <w:jc w:val="right"/>
              <w:ind w:right="10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2018 Notes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24,972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Payroll protection plan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34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Unamortized debt discount and debt issuance costs</w:t>
            </w:r>
          </w:p>
        </w:tc>
        <w:tc>
          <w:tcPr>
            <w:tcW w:w="3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notes payable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In February 2018, the Company issued long-term debt of $23.0 million to Innovatus Life Sciences Lending Fund (Innovatus or Lender) (the 2018 Notes). Innovatus is also a holder of the Company’s common stock.</w:t>
      </w:r>
    </w:p>
    <w:p>
      <w:pPr>
        <w:spacing w:after="0" w:line="130"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At the time of issuance, the Company paid a facility fee of $0.2 million and issued a warrant to Innovatus, with an initial estimated fair value of $0.3 million, for the purchase of 613,333 shares of Series G preferred stock. The facility fee and the estimated warrant fair value were recorded as debt discount and is amortized to interest expense over the term of the 2018 Notes. The 2018 Notes bear annual interest at 10%, of which 7.5% is payable in cash, with the remaining 2.5% added to principal through December 31, 2020. Total interest added to principal was $1.7 million and $1.1 million as of December 31, 2020 and 2019, respectively. Commencing March 2021 and continuing through the maturity date February 2023, the outstanding principal is repayable in 24 equal monthly installments.</w:t>
      </w:r>
    </w:p>
    <w:p>
      <w:pPr>
        <w:spacing w:after="0" w:line="152"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recognized as additional interest expense over the loan term. The 2018 Notes are senior to all of the Company’s other indebtedness including any contingent consideration payable to Indi.</w:t>
      </w:r>
    </w:p>
    <w:p>
      <w:pPr>
        <w:spacing w:after="0" w:line="160"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The 2018 Notes contain customary affirmative covenants, and contain negative covenants limiting the ability of the Company to, among other things, incur future debt, transfer assets except for the ordinary course of business, make acquisitions, make certain restricted payments, or to sell assets, subject to certain exceptions. In addition, the 2018 Notes require the Company to comply with a minimum daily liquidity covenant and a rolling monthly revenue requirement. Failure to comply with the covenants and loan requirements may result in early amortization of the loan in a 24- or 36-month payment schedule. As of December 31, 2020, the Company was in compliance with all terms and covenants.</w:t>
      </w:r>
    </w:p>
    <w:p>
      <w:pPr>
        <w:spacing w:after="0" w:line="136"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The Company granted the Lender a security interest in all of the Company’s assets through a pledge and security agreement, patent security agreement and trademark security agreement, each between the Company and the Lender.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17" w:lineRule="exact"/>
        <w:rPr>
          <w:sz w:val="20"/>
          <w:szCs w:val="20"/>
          <w:color w:val="auto"/>
        </w:rPr>
      </w:pPr>
    </w:p>
    <w:p>
      <w:pPr>
        <w:ind w:right="220" w:firstLine="589"/>
        <w:spacing w:after="0" w:line="286" w:lineRule="auto"/>
        <w:rPr>
          <w:sz w:val="20"/>
          <w:szCs w:val="20"/>
          <w:color w:val="auto"/>
        </w:rPr>
      </w:pPr>
      <w:r>
        <w:rPr>
          <w:rFonts w:ascii="Arial" w:cs="Arial" w:eastAsia="Arial" w:hAnsi="Arial"/>
          <w:sz w:val="17"/>
          <w:szCs w:val="17"/>
          <w:color w:val="auto"/>
        </w:rPr>
        <w:t>In April 2020, the Company entered into a loan pursuant to the Paycheck Protection Program under the CARES Act, as administered by the U.S. Small Business Administration (the SBA). The loan, in the principal amount of $3.1 million (the PPP Loan), was disbursed by JPMorgan Chase Bank (JPM) pursuant to a Paycheck Protection Program Promissory Note and Agreement (the Note and Agreement).</w:t>
      </w:r>
    </w:p>
    <w:p>
      <w:pPr>
        <w:spacing w:after="0" w:line="125"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The PPP Loan matures on the two-year anniversary of the funding date, April 2022, and bears interest at a fixed rate of 1.00% per annum. Monthly principal and interest payments, less the amount of any potential forgiveness (as discussed below), will commence in September 2021.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21"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All or a portion of the PPP Loan may be forgiven by the SBA and JPM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The Company currently intends to repay the</w:t>
      </w:r>
    </w:p>
    <w:p>
      <w:pPr>
        <w:spacing w:after="0" w:line="2" w:lineRule="exact"/>
        <w:rPr>
          <w:sz w:val="20"/>
          <w:szCs w:val="20"/>
          <w:color w:val="auto"/>
        </w:rPr>
      </w:pPr>
    </w:p>
    <w:p>
      <w:pPr>
        <w:ind w:right="120" w:firstLine="8"/>
        <w:spacing w:after="0" w:line="302" w:lineRule="auto"/>
        <w:tabs>
          <w:tab w:leader="none" w:pos="345" w:val="left"/>
        </w:tabs>
        <w:numPr>
          <w:ilvl w:val="0"/>
          <w:numId w:val="75"/>
        </w:numPr>
        <w:rPr>
          <w:rFonts w:ascii="Arial" w:cs="Arial" w:eastAsia="Arial" w:hAnsi="Arial"/>
          <w:sz w:val="16"/>
          <w:szCs w:val="16"/>
          <w:color w:val="auto"/>
        </w:rPr>
      </w:pPr>
      <w:r>
        <w:rPr>
          <w:rFonts w:ascii="Arial" w:cs="Arial" w:eastAsia="Arial" w:hAnsi="Arial"/>
          <w:sz w:val="16"/>
          <w:szCs w:val="16"/>
          <w:color w:val="auto"/>
        </w:rPr>
        <w:t>loan in accordance with the underlying terms and conditions. To the extent we elect to seek forgiveness, the Company cannot assure that the PPP Loan will be forgiven, in whole or in part. If the loan is forgiven in part or in whole, and legal release is received, the Company will reduce the liability by the amount forgiven and record a gain on extinguishment in the statements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Notes</w:t>
      </w:r>
    </w:p>
    <w:p>
      <w:pPr>
        <w:spacing w:after="0" w:line="117"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In March 2020, the Company issued $10.0 million of convertible notes primarily to existing stockholders that were originally scheduled to mature in August 2020 (the March 2020 Notes). In August 2020, the Company and its lenders agreed to extend the maturity date to June 30, 2021. The March 2020 Notes were issued in two tranches of $5.0 million, with the first in March 2020 and the second in June 2020. Interest on the March 2020 Notes was 3% per annum, payable in full upon maturity through conversion to Series H Preferred Stock at 80% of the original issuance price of $1.15 per</w:t>
      </w:r>
    </w:p>
    <w:p>
      <w:pPr>
        <w:spacing w:after="0" w:line="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 Under the terms of the March 2020 Notes, on or before the maturity date and if the March 2020 Notes are unpaid, the outstanding principal and unpaid accrued interest under the March 2020 Notes shall be automatically converted into common stock in an initial public offering at a conversion price of 80% of the per share price of common stock sold in the initial public offering. The discount on the automatic conversion was separated from the March 2020 Notes and reported as a debt discount and put option liability of $2.5 million and was amortized over the term of the March 2020 Notes. Following the closing of the initial public offering in October 2020, the March 2020 Notes were automatically converted into 703,503 shares of common stock at a conversion price of $14.40, or 80% of the initial public offering price per common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Notes</w:t>
      </w:r>
    </w:p>
    <w:p>
      <w:pPr>
        <w:spacing w:after="0" w:line="117"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In December 2019, the Company issued $6.0 million of convertible notes primarily to existing preferred shareholders that were originally scheduled to mature in August 2020 (the December 2019 Notes). In August 2020, the Company and its lenders agreed to extend the maturity date to June 30, 2021. The December 2019 Notes were issued in two tranches of $3.0 million, the first in December 2019 and the second in February 2020. Interest on the December 2019 Notes was 3% per annum and payable in full upon maturity through the conversion to Series H Preferred Stock at 80% of the original issuance price of $1.15 per share. Under the terms of the December 2019 Notes, on or before the maturity date and if the December 2019 Notes are unpaid, the outstanding principal and unpaid accrued interest under the December 2019 Notes shall be automatically converted into common stock in an initial public offering at a conversion price of 80% of the per share price of common stock sold in the initial public offering. The discount on the automatic conversion was separated from the December 2019 Notes and reported as a debt discount and put option liability of $1.5 million and was amortized over the term of the December 2019 Notes. Following the closing of the initial public offering in October 2020, the December 2019 Notes were automatically converted into 426,386 shares of common stock at a conversion price of $14.40, or 80% of the initial public offering price per common share.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i w:val="1"/>
          <w:iCs w:val="1"/>
          <w:color w:val="auto"/>
        </w:rPr>
        <w:t>August 2019 Notes</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In August and September 2019 (the August 2019 Notes), the Company issued $10.0 million of convertible notes primarily to existing preferred shareholders that were originally scheduled to mature in August 2020. In August 2020, the Company and its lenders agreed to extend the maturity date to June 30, 2021. Interest on the August 2019 Notes was 3% per annum and payable in full upon maturity through the conversion to Series H Preferred Stock at 95% of the original issuance price of $1.15 per share. Under the terms of the August 2019 Notes, on or before the maturity date and if the August 2019 Notes are unpaid, the outstanding principal and unpaid accrued interest under the August 2019 Notes shall be automatically converted into common stock in an initial public offering at a conversion price of 95% of the per share price of common stock sold in the initial public offering. In connection with the issuance of the December 2019 Notes, the conversion price on the August 2019 Notes was amended to 80%. The initial discount on the automatic conversion created an initial put option liability of $0.5 million that was separated from the August 2019 Notes. The amendment to the conversion price of the August 2019 Notes in December 2019 resulted in an increase to the put option liability of $2.0 million to a total estimated value of $2.5 million as of December 31, 2019. The increase in the value of the put option liability was reflected as a change in put option in the 2019 statement of operations. Following the closing of the initial public offering in October 2020, the August 2019 Notes were automatically converted into 718,391 shares of common stock at a conversion price of $14.40, or 80% of the initial public offering price per common share.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Scheduled principal repayments (maturities) of long-term obligations as of December 31, 2020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0"/>
                <w:szCs w:val="20"/>
                <w:color w:val="auto"/>
              </w:rPr>
            </w:pP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r>
      <w:tr>
        <w:trPr>
          <w:trHeight w:val="222"/>
        </w:trPr>
        <w:tc>
          <w:tcPr>
            <w:tcW w:w="8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11,840</w:t>
            </w: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13,919</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28,079</w:t>
            </w:r>
          </w:p>
        </w:tc>
      </w:tr>
      <w:tr>
        <w:trPr>
          <w:trHeight w:val="20"/>
        </w:trPr>
        <w:tc>
          <w:tcPr>
            <w:tcW w:w="8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Convertible Preferred Stock</w:t>
      </w:r>
    </w:p>
    <w:p>
      <w:pPr>
        <w:spacing w:after="0" w:line="121" w:lineRule="exact"/>
        <w:rPr>
          <w:sz w:val="20"/>
          <w:szCs w:val="20"/>
          <w:color w:val="auto"/>
        </w:rPr>
      </w:pPr>
    </w:p>
    <w:p>
      <w:pPr>
        <w:ind w:right="300" w:firstLine="589"/>
        <w:spacing w:after="0" w:line="308" w:lineRule="auto"/>
        <w:rPr>
          <w:sz w:val="20"/>
          <w:szCs w:val="20"/>
          <w:color w:val="auto"/>
        </w:rPr>
      </w:pPr>
      <w:r>
        <w:rPr>
          <w:rFonts w:ascii="Arial" w:cs="Arial" w:eastAsia="Arial" w:hAnsi="Arial"/>
          <w:sz w:val="17"/>
          <w:szCs w:val="17"/>
          <w:color w:val="auto"/>
        </w:rPr>
        <w:t>The Company had issued convertible preferred stock from time to time to fund its operations and to make acquisitions. In February and March 2019, the Company issued 8,695,621 shares of Series H Preferred Stock at $1.15 per share for total cash proceeds of $10.0 million.</w:t>
      </w:r>
    </w:p>
    <w:p>
      <w:pPr>
        <w:spacing w:after="0" w:line="10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Company’s convertible preferred stock was reported as temporary equity in the Company’s balance sheet because the preferred shareholders held a majority of the Company’s Board of Directors seats and as a result could have caused certain events to occur outside of the Company’s control, with the result the Company could have been obligated to redeem the convertible preferred stock.</w:t>
      </w:r>
    </w:p>
    <w:p>
      <w:pPr>
        <w:spacing w:after="0" w:line="143"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Immediately prior to the Company’s initial public offering and as of December 31, 2019, the Company had issued 118,766,273 convertible preferred shares. On October 27, 2020, upon closing of the Company’s initial public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automatically converted into 0.1684664 share of common stock; and each share of Series B-1 Preferred Stock automatically converted into 0.196 shares of common stock. In the aggregate, all Series of preferred stock were converted into 20,090,745 shares of common stock. As a result, as of December 31, 2020 there are no longer any series of convertible preferred stock outstanding.</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Note 11 – Warrants to Purchase Convertible Preferred Stock</w:t>
      </w:r>
    </w:p>
    <w:p>
      <w:pPr>
        <w:spacing w:after="0" w:line="121" w:lineRule="exact"/>
        <w:rPr>
          <w:sz w:val="20"/>
          <w:szCs w:val="20"/>
          <w:color w:val="auto"/>
        </w:rPr>
      </w:pPr>
    </w:p>
    <w:p>
      <w:pPr>
        <w:ind w:firstLine="589"/>
        <w:spacing w:after="0" w:line="218" w:lineRule="exact"/>
        <w:rPr>
          <w:sz w:val="20"/>
          <w:szCs w:val="20"/>
          <w:color w:val="auto"/>
        </w:rPr>
      </w:pPr>
      <w:r>
        <w:rPr>
          <w:rFonts w:ascii="Arial" w:cs="Arial" w:eastAsia="Arial" w:hAnsi="Arial"/>
          <w:sz w:val="18"/>
          <w:szCs w:val="18"/>
          <w:color w:val="auto"/>
        </w:rPr>
        <w:t>The Company issued warrants to purchase shares of convertible preferred stock in conjunction with the sale of certain of the convertible preferred shares and issuance of debt. The estimated grant date fair value as well as the estimated fair value at each reporting date of the warrants was determined using the Black</w:t>
      </w:r>
      <w:r>
        <w:rPr>
          <w:rFonts w:ascii="MS PGothic" w:cs="MS PGothic" w:eastAsia="MS PGothic" w:hAnsi="MS PGothic"/>
          <w:sz w:val="18"/>
          <w:szCs w:val="18"/>
          <w:color w:val="auto"/>
        </w:rPr>
        <w:t>‑</w:t>
      </w:r>
      <w:r>
        <w:rPr>
          <w:rFonts w:ascii="Arial" w:cs="Arial" w:eastAsia="Arial" w:hAnsi="Arial"/>
          <w:sz w:val="18"/>
          <w:szCs w:val="18"/>
          <w:color w:val="auto"/>
        </w:rPr>
        <w:t xml:space="preserve">Scholes option pricing model with weighted average assumptions substantially consistent with those disclosed for stock options (see Note 14 – </w:t>
      </w:r>
      <w:r>
        <w:rPr>
          <w:rFonts w:ascii="Arial" w:cs="Arial" w:eastAsia="Arial" w:hAnsi="Arial"/>
          <w:sz w:val="18"/>
          <w:szCs w:val="18"/>
          <w:i w:val="1"/>
          <w:iCs w:val="1"/>
          <w:color w:val="auto"/>
        </w:rPr>
        <w:t>Shared Based Compensation</w:t>
      </w:r>
      <w:r>
        <w:rPr>
          <w:rFonts w:ascii="Arial" w:cs="Arial" w:eastAsia="Arial" w:hAnsi="Arial"/>
          <w:sz w:val="18"/>
          <w:szCs w:val="18"/>
          <w:color w:val="auto"/>
        </w:rPr>
        <w:t>), other than term, which is the contractual term of the warrant and the use of the exercise price and estimated fair value of the underlying series of convertible preferred stock. At December 31, 2019 and through the closing of the Company’s initial public offering, the preferred warrants were classified as liabilities with estimated fair value remeasured at each reporting date reported within in the accompanying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activity for convertible preferred stock warrants (in thousands, except weighted average exercise price):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Series E</w:t>
            </w: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Series G</w:t>
            </w:r>
          </w:p>
        </w:tc>
        <w:tc>
          <w:tcPr>
            <w:tcW w:w="1060" w:type="dxa"/>
            <w:vAlign w:val="bottom"/>
            <w:tcBorders>
              <w:bottom w:val="single" w:sz="8" w:color="auto"/>
            </w:tcBorders>
          </w:tcPr>
          <w:p>
            <w:pPr>
              <w:spacing w:after="0"/>
              <w:rPr>
                <w:sz w:val="19"/>
                <w:szCs w:val="19"/>
                <w:color w:val="auto"/>
              </w:rPr>
            </w:pPr>
          </w:p>
        </w:tc>
      </w:tr>
      <w:tr>
        <w:trPr>
          <w:trHeight w:val="205"/>
        </w:trPr>
        <w:tc>
          <w:tcPr>
            <w:tcW w:w="5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10"/>
              <w:spacing w:after="0" w:line="205"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Weighted</w:t>
            </w:r>
          </w:p>
        </w:tc>
      </w:tr>
      <w:tr>
        <w:trPr>
          <w:trHeight w:val="216"/>
        </w:trPr>
        <w:tc>
          <w:tcPr>
            <w:tcW w:w="5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507"/>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507"/>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84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1340" w:type="dxa"/>
            <w:vAlign w:val="bottom"/>
            <w:gridSpan w:val="3"/>
          </w:tcPr>
          <w:p>
            <w:pPr>
              <w:jc w:val="center"/>
              <w:ind w:right="507"/>
              <w:spacing w:after="0"/>
              <w:rPr>
                <w:sz w:val="20"/>
                <w:szCs w:val="20"/>
                <w:color w:val="auto"/>
              </w:rPr>
            </w:pPr>
            <w:r>
              <w:rPr>
                <w:rFonts w:ascii="Arial" w:cs="Arial" w:eastAsia="Arial" w:hAnsi="Arial"/>
                <w:sz w:val="18"/>
                <w:szCs w:val="18"/>
                <w:b w:val="1"/>
                <w:bCs w:val="1"/>
                <w:color w:val="auto"/>
                <w:w w:val="92"/>
              </w:rPr>
              <w:t>price</w:t>
            </w: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Warrants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price</w:t>
            </w:r>
          </w:p>
        </w:tc>
      </w:tr>
      <w:tr>
        <w:trPr>
          <w:trHeight w:val="222"/>
        </w:trPr>
        <w:tc>
          <w:tcPr>
            <w:tcW w:w="5840" w:type="dxa"/>
            <w:vAlign w:val="bottom"/>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2019</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0.75</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3"/>
          </w:tcPr>
          <w:p>
            <w:pPr>
              <w:jc w:val="right"/>
              <w:ind w:right="32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Forfeited/canceled</w:t>
            </w:r>
          </w:p>
        </w:tc>
        <w:tc>
          <w:tcPr>
            <w:tcW w:w="124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3"/>
          </w:tcPr>
          <w:p>
            <w:pPr>
              <w:jc w:val="right"/>
              <w:ind w:right="32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Reclassification of warrant liability to additional paid-in capital</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3"/>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23"/>
        </w:trPr>
        <w:tc>
          <w:tcPr>
            <w:tcW w:w="5840" w:type="dxa"/>
            <w:vAlign w:val="bottom"/>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2020</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Upon closing of the Company’s initial public offering, the then outstanding Series G convertible preferred stock was automatically converted to common stock and the outstanding warrants to purchase Series G convertible preferred stock were automatically converted to warrants to purchase 103,326 shares of common stock at $4.46 per share and expire in February 2028. The warrants were remeasured to an estimate of fair value as of the initial public offering with the change in fair value of $1.3 million recognized in our statements of operations. The carrying value of the warrants was reclassified to additional paid-in capital as a result of the initial public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 xml:space="preserve">The Company’s Restated Certificate of Incorporation authorizes the Company to issue up to 200,000,000 shares of common stock with a par value of $0.001 per share. The holder of each share of common stock is entitled to one vote per share. The common shareholders are entitled to dividends whenever funds and assets are legally available and when and if declared by the Board of Directors. The Company is currently subject to restrictions on the payment of dividends (see Note 9 - </w:t>
      </w:r>
      <w:r>
        <w:rPr>
          <w:rFonts w:ascii="Arial" w:cs="Arial" w:eastAsia="Arial" w:hAnsi="Arial"/>
          <w:sz w:val="17"/>
          <w:szCs w:val="17"/>
          <w:i w:val="1"/>
          <w:iCs w:val="1"/>
          <w:color w:val="auto"/>
        </w:rPr>
        <w:t>Debt</w:t>
      </w:r>
      <w:r>
        <w:rPr>
          <w:rFonts w:ascii="Arial" w:cs="Arial" w:eastAsia="Arial" w:hAnsi="Arial"/>
          <w:sz w:val="17"/>
          <w:szCs w:val="17"/>
          <w:color w:val="auto"/>
        </w:rPr>
        <w:t>) and no dividends have been declared as of December 31, 2020.</w:t>
      </w:r>
    </w:p>
    <w:p>
      <w:pPr>
        <w:spacing w:after="0" w:line="279"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On October 27, 2020, the Company issued and sold 4,000,000 shares of common stock in a registered initial public offering at a price to the public of $18.00 per share. The net proceeds to the Company were approximately $63.8 million, after deducting underwriting discounts and commissions of $5.0 million and direct offering expenses of approximately $3.2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up to 5,000,000 shares of preferred stock with a par value of $0.001 per share. As of December 31, 2020, no shares of preferred stock were issued or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Note 13 - Revenue</w:t>
      </w:r>
    </w:p>
    <w:p>
      <w:pPr>
        <w:spacing w:after="0" w:line="121"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The Company’s revenue is generated from (i) diagnostic tests and (ii) assay development and testing services. 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12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large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600"/>
              <w:spacing w:after="0"/>
              <w:rPr>
                <w:sz w:val="20"/>
                <w:szCs w:val="20"/>
                <w:color w:val="auto"/>
              </w:rPr>
            </w:pPr>
            <w:r>
              <w:rPr>
                <w:rFonts w:ascii="Arial" w:cs="Arial" w:eastAsia="Arial" w:hAnsi="Arial"/>
                <w:sz w:val="18"/>
                <w:szCs w:val="18"/>
                <w:color w:val="auto"/>
              </w:rPr>
              <w:t>Revenues consisted of the following (in thousands):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5"/>
        </w:trPr>
        <w:tc>
          <w:tcPr>
            <w:tcW w:w="7640" w:type="dxa"/>
            <w:vAlign w:val="bottom"/>
          </w:tcPr>
          <w:p>
            <w:pPr>
              <w:spacing w:after="0"/>
              <w:rPr>
                <w:sz w:val="24"/>
                <w:szCs w:val="24"/>
                <w:color w:val="auto"/>
              </w:rPr>
            </w:pPr>
          </w:p>
        </w:tc>
        <w:tc>
          <w:tcPr>
            <w:tcW w:w="292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23"/>
        </w:trPr>
        <w:tc>
          <w:tcPr>
            <w:tcW w:w="7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19"/>
                <w:szCs w:val="19"/>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Diagnostic tests</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40,919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4"/>
              </w:rPr>
              <w:t>17,315</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Services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7,237</w:t>
            </w:r>
          </w:p>
        </w:tc>
      </w:tr>
      <w:tr>
        <w:trPr>
          <w:trHeight w:val="223"/>
        </w:trPr>
        <w:tc>
          <w:tcPr>
            <w:tcW w:w="764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45,557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24,552</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Company’s fiscal 2020 diagnostic test revenue consists of $28.3 million in COVID-19 test revenue, which began in late fiscal 2020, and $12.6 million in lung diagnostic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Contract liabilities consist of cash payments from customers received in advance of delivery (advance deposits). As products are shipped and control transfers, the Company recognizes the deferred revenue in ‘Revenues’ in the statements of operations. At January 1 and December 31, 2020, $1.3 million and $3.5 million, respectively, of advance deposits were reported in ‘Deferred revenue’ in the accompanying balance sheets. Of the $1.3 million in deferred revenue recorded at January 1, 2020, $0.7 million was recognized in revenues during the year ended December 31, 2020. The deferred revenue of $3.5 million at December 31, 2020 is expected to be recognized in revenues during 2021 as test results are delivered.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Equity Incentive Plan and Predecessor 2006 Equity Incentive Plan</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In February 2016, the Company adopted the 2016 Equity Incentive Plan (2016 Plan) as a successor to and continuation of the prior 2006 Equity Incentive Plan (2006 Plan). The 2016 Plan provides for the grant of incentive stock options, non-statutory stock options, stock appreciation rights, restricted stock awards, restricted stock units, and other stock awards to directors, employees, and consultants. Awards granted under the 2016 Plan or the 2006 Plan that expired or otherwise terminated, or were forfeited, cancelled, or repurchased by the Company, became available for future issuance under the 2016 Plan. In addition, shares subject to an award were withheld to satisfy a participant’s tax withholding obligations, or were reacquired by the Company as consideration for the exercise or purchase price of a stock award also became available for future issuance under the 2016 Incentive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i w:val="1"/>
          <w:iCs w:val="1"/>
          <w:color w:val="auto"/>
        </w:rPr>
        <w:t>2020 Equity Incentive Plan</w:t>
      </w:r>
    </w:p>
    <w:p>
      <w:pPr>
        <w:spacing w:after="0" w:line="117"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Effective upon the closing of our initial public offering, the Company’s Board of Directors approved the 2020 Equity Incentive Plan (2020 Plan), which replaced the 2016 Plan. The 2020 Plan provides for the grant of incentive stock options, non-statutory stock options, stock appreciation rights, restricted stock awards, restricted stock units, performance awards and other stock awards. Officers, directors, employees, consultants, agents, and independent contractors who provide services to the Company may receive awards. The terms of all awards are governed by an agreement between the Company and the recipients, as administered and approved by the Compensation Committee of the Board of Directors.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Effective with our initial public offering in October 2020, the Company’s Board of Directors and its stockholders approved the Company’s Employee Stock Purchase Plan (ESPP). A total of 338,106 shares of our common stock have been reserved for issuance under the ESPP. The maximum number of shares of our common stock available under the ESPP will automatically increase on the first trading day of each calendar year, commencing January 2021, by an amount equal to the lesser of (i) 1% of the shares of our common stock issued and outstanding on December 31 of the immediately preceding calendar year, and (ii) an amount determined by our Board of Directors.</w:t>
      </w:r>
    </w:p>
    <w:p>
      <w:pPr>
        <w:spacing w:after="0" w:line="6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No employee may participate in an offering period if the employee owns 5% or more of the total combined voting power or value of the Company’s stock. The initial offering period will commence from January 1, 2021 through August 31, 2021. On a going forward basis, the ESPP provides for successive six-month offering periods beginning on September 1st and March 1st of each year.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Subject to All Plans</w:t>
      </w:r>
    </w:p>
    <w:p>
      <w:pPr>
        <w:spacing w:after="0" w:line="117" w:lineRule="exact"/>
        <w:rPr>
          <w:sz w:val="20"/>
          <w:szCs w:val="20"/>
          <w:color w:val="auto"/>
        </w:rPr>
      </w:pPr>
    </w:p>
    <w:p>
      <w:pPr>
        <w:jc w:val="both"/>
        <w:ind w:right="40" w:firstLine="589"/>
        <w:spacing w:after="0" w:line="275" w:lineRule="auto"/>
        <w:rPr>
          <w:sz w:val="20"/>
          <w:szCs w:val="20"/>
          <w:color w:val="auto"/>
        </w:rPr>
      </w:pPr>
      <w:r>
        <w:rPr>
          <w:rFonts w:ascii="Arial" w:cs="Arial" w:eastAsia="Arial" w:hAnsi="Arial"/>
          <w:sz w:val="17"/>
          <w:szCs w:val="17"/>
          <w:color w:val="auto"/>
        </w:rPr>
        <w:t>The number of shares reserved for issuance under the 2020 Plan is 1,893,395, plus an annual increase added on 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December 31st of the immediately preceding calendar year and (ii) such lesser amount determined by the Board of Directors. Up to 1,893,395 shares of our common stock that may be issued under the 2020 Plan may be issued in satisfaction of incentive stock option awards.</w:t>
      </w:r>
    </w:p>
    <w:p>
      <w:pPr>
        <w:spacing w:after="0" w:line="68"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Under the 2006 Plan, the Company is authorized to grant incentive stock options, non-statutory stock options, stock appreciation rights, restricted stock awards and restricted stock units up to 831,389 total award shares. No additional awards may be granted under the 2006 Plan. Unallocated shares under the 2006 Plan were added to the shares available for issuance under the 2016 Plan.</w:t>
      </w:r>
    </w:p>
    <w:p>
      <w:pPr>
        <w:spacing w:after="0" w:line="76"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Under the 2016 Plan, which is a successor to and continuation of the 2006 Plan, the Company is authorized to grant incentive stock options, non-statutory stock options, stock appreciation rights, restricted stock awards, restricted stock units and stock appreciation rights up to 1,431,964 total shares, plus any shares subject to stock awards made under the 2006 Plan.</w:t>
      </w:r>
    </w:p>
    <w:p>
      <w:pPr>
        <w:spacing w:after="0" w:line="76" w:lineRule="exact"/>
        <w:rPr>
          <w:sz w:val="20"/>
          <w:szCs w:val="20"/>
          <w:color w:val="auto"/>
        </w:rPr>
      </w:pPr>
    </w:p>
    <w:p>
      <w:pPr>
        <w:jc w:val="both"/>
        <w:ind w:right="140" w:firstLine="589"/>
        <w:spacing w:after="0" w:line="311" w:lineRule="auto"/>
        <w:rPr>
          <w:sz w:val="20"/>
          <w:szCs w:val="20"/>
          <w:color w:val="auto"/>
        </w:rPr>
      </w:pPr>
      <w:r>
        <w:rPr>
          <w:rFonts w:ascii="Arial" w:cs="Arial" w:eastAsia="Arial" w:hAnsi="Arial"/>
          <w:sz w:val="16"/>
          <w:szCs w:val="16"/>
          <w:color w:val="auto"/>
        </w:rPr>
        <w:t>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 To date, the Company has granted service-condition RSUs.</w:t>
      </w:r>
    </w:p>
    <w:p>
      <w:pPr>
        <w:spacing w:after="0" w:line="4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To the extent an equity award granted under the 2020 Plan (other than any substitute award) or granted under any other equity plan maintained by us under which awards are outstanding as of the effective date of the 2020 Plan (the Prior Plans) expires or otherwise terminates without having been exercised or paid in full, or is settled in cash, the shares subject to such award will become available for future grant under the 2020 Plan. In addition, to the extent shares subject to an award are withheld to satisfy a participant’s tax withholding obligation upon the exercise or settlement of such award (other than any substitute award) or to pay the exercise price of a stock option granted under the 2020 Plan or a Prior Plan, such shares will become available for future grant under the 2020 Plan. The total number of shares available for grant under all Plans was 4,647,380 at December 31, 2020.</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i w:val="1"/>
          <w:iCs w:val="1"/>
          <w:color w:val="auto"/>
        </w:rPr>
        <w:t>Description of Awards Granted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has granted incentive stock options, non-statutory stock options, performance-based stock options, and restricted stock units.</w:t>
      </w:r>
    </w:p>
    <w:p>
      <w:pPr>
        <w:spacing w:after="0" w:line="129"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Incentive stock options, which may only be issued to employees, are granted at an exercise price per share equal to the fair market value per share of the underlying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41"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Non-statutory stock options may be issued to non-employees and directors, with exercise prices, vesting conditions, option term and other conditions as determined by the Compensation Committee.</w:t>
      </w:r>
    </w:p>
    <w:p>
      <w:pPr>
        <w:spacing w:after="0" w:line="62"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Performance-based stock options are typically granted on an annual basis and consist of a performance-based and service-based component. The performance targets and vesting conditions for performance-condition options are based on achievement of recognized revenue targets. Performance-based options vest in three equal annual installments beginning one year after the grant date, pending certification of performance achievement by the Compensation Committee and continued service. The fair value of performance-condition awards is based on the closing market price of the Company’s common stock on the grant date. Compensation expense, net of forfeitures, is updated for the Company’s expected performance level against performance goals at the end of each reporting period. On January 1, 2019, the Company granted 168,466 performance-condition options, with an exercise price of $0.77 per share and a term of ten years. During the year ended December 31, 2020, the performance conditions were met and 56,155 options vested. During the year ended December 31, 2019, the performance conditions were not met and 56,155 options were forfeited. As of December 31, 2020, there were 56,156 performance condition options outstanding with a remaining life of approximately eight years.</w:t>
      </w:r>
    </w:p>
    <w:p>
      <w:pPr>
        <w:spacing w:after="0" w:line="126" w:lineRule="exact"/>
        <w:rPr>
          <w:sz w:val="20"/>
          <w:szCs w:val="20"/>
          <w:color w:val="auto"/>
        </w:rPr>
      </w:pPr>
    </w:p>
    <w:p>
      <w:pPr>
        <w:jc w:val="both"/>
        <w:ind w:right="360" w:firstLine="589"/>
        <w:spacing w:after="0" w:line="263" w:lineRule="auto"/>
        <w:rPr>
          <w:sz w:val="20"/>
          <w:szCs w:val="20"/>
          <w:color w:val="auto"/>
        </w:rPr>
      </w:pPr>
      <w:r>
        <w:rPr>
          <w:rFonts w:ascii="Arial" w:cs="Arial" w:eastAsia="Arial" w:hAnsi="Arial"/>
          <w:sz w:val="18"/>
          <w:szCs w:val="18"/>
          <w:color w:val="auto"/>
        </w:rPr>
        <w:t>Restricted stock units and the related terms and conditions are awarded at the discretion of the Compensation Committee. RSU holders have a contractual right to receive a share of common stock when vested. RSUs generally vest over three years. RSU agreements may provide for accelerated vesting in the event of a stock unit holder's death, disability, or retirement or other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Company also has a Bonus-to-Options Program (the “Bonus Option Program”), which is separate from predecessor Plans and was initially adopted by the Board of Directors in 2008, and subsequently amended and restated in 2010, 2011 and 2015. For fiscal year 2021, the Bonus Option Program is subject to the shares reserved under the 2020 Plan. The Bonus Option Program, which is limited to participation of the Chief Executive Officer, direct reports to the Chief Executive Officer and Vice Presidents of the Company, allows participants who so elect to convert all or a portion of their annual cash bonus into fully vested, non-qualified stock options to purchase shares of common stock (Bonus Options). The exercise price for the options under the Bonus Option Program equals the then current price for the shares of the common stock as of the grant date, as disclosed below under “</w:t>
      </w:r>
      <w:r>
        <w:rPr>
          <w:rFonts w:ascii="Arial" w:cs="Arial" w:eastAsia="Arial" w:hAnsi="Arial"/>
          <w:sz w:val="17"/>
          <w:szCs w:val="17"/>
          <w:i w:val="1"/>
          <w:iCs w:val="1"/>
          <w:color w:val="auto"/>
        </w:rPr>
        <w:t>Fair Value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 Bonus Options issued must be exercised within a ten-year term. A maximum of 1% of the fully diluted equity, as of December 31 of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for which the bonus was awarded, may be issued in any one year to the participants. As of December 31, 2020, there were 173,229 options outstanding under the Bonus Option Program. These options are fully vested and have a weighted average exercise price of $11.11 per share and have an intrinsic value of approximately $1.6 million as of December 31, 2020.</w:t>
      </w:r>
    </w:p>
    <w:p>
      <w:pPr>
        <w:spacing w:after="0" w:line="7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During the twelve-month period ended December 31, 2020, the Company accrued $3.4 million as stock compensation expense associated with the estimate of options to be delivered to eligible participants under the Bonus Option Program and which were granted in February 2021 by the Compensation Committee of the Board of Directors. In determining the amount of stock compensation to recognize under the Bonus Option Program, the Company estimates the bonus attainment for the year and determines the expected number of options to be delivered to eligible participants. A Black-Scholes option pricing model is used to determine the estimated fair value of the expected number of options to be delivered to eligible participants. The key elements in determining the estimated fair value include assumptions for volatility, the risk free interest rate, expected dividends and strike price, utilizing the measurement date closing stock price until the grants are authorized.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80" w:type="dxa"/>
            <w:vAlign w:val="bottom"/>
            <w:gridSpan w:val="6"/>
          </w:tcPr>
          <w:p>
            <w:pPr>
              <w:jc w:val="right"/>
              <w:ind w:right="627"/>
              <w:spacing w:after="0"/>
              <w:rPr>
                <w:sz w:val="20"/>
                <w:szCs w:val="20"/>
                <w:color w:val="auto"/>
              </w:rPr>
            </w:pPr>
            <w:r>
              <w:rPr>
                <w:rFonts w:ascii="Arial" w:cs="Arial" w:eastAsia="Arial" w:hAnsi="Arial"/>
                <w:sz w:val="18"/>
                <w:szCs w:val="18"/>
                <w:color w:val="auto"/>
                <w:w w:val="95"/>
              </w:rPr>
              <w:t>Pre-tax share-based compensation expense reported in the Company’s statements of operations was (in thousands):</w:t>
            </w:r>
          </w:p>
        </w:tc>
        <w:tc>
          <w:tcPr>
            <w:tcW w:w="1660" w:type="dxa"/>
            <w:vAlign w:val="bottom"/>
          </w:tcPr>
          <w:p>
            <w:pPr>
              <w:spacing w:after="0"/>
              <w:rPr>
                <w:sz w:val="20"/>
                <w:szCs w:val="20"/>
                <w:color w:val="auto"/>
              </w:rPr>
            </w:pPr>
          </w:p>
        </w:tc>
      </w:tr>
      <w:tr>
        <w:trPr>
          <w:trHeight w:val="445"/>
        </w:trPr>
        <w:tc>
          <w:tcPr>
            <w:tcW w:w="58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Year Ended December 31,</w:t>
            </w:r>
          </w:p>
        </w:tc>
        <w:tc>
          <w:tcPr>
            <w:tcW w:w="1660" w:type="dxa"/>
            <w:vAlign w:val="bottom"/>
            <w:tcBorders>
              <w:bottom w:val="single" w:sz="8" w:color="auto"/>
            </w:tcBorders>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2019</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r>
      <w:tr>
        <w:trPr>
          <w:trHeight w:val="223"/>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r>
      <w:tr>
        <w:trPr>
          <w:trHeight w:val="20"/>
        </w:trPr>
        <w:tc>
          <w:tcPr>
            <w:tcW w:w="5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unrecognized remaining share-based compensation expense for options and RSUs was approximately $0.6 million as of December 31, 2020, and is expected to be amortized to expense over the next 3.7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Stock option activity during the year ended December 31, 2020, excluding the Bonus Option Program described above, was (in thousands, except weighted average exercise price and weighted average contractual life):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Weighted</w:t>
            </w: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340" w:type="dxa"/>
            <w:vAlign w:val="bottom"/>
          </w:tcPr>
          <w:p>
            <w:pPr>
              <w:spacing w:after="0"/>
              <w:rPr>
                <w:sz w:val="18"/>
                <w:szCs w:val="18"/>
                <w:color w:val="auto"/>
              </w:rPr>
            </w:pPr>
          </w:p>
        </w:tc>
        <w:tc>
          <w:tcPr>
            <w:tcW w:w="128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Number of</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Exercise</w:t>
            </w: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340" w:type="dxa"/>
            <w:vAlign w:val="bottom"/>
          </w:tcPr>
          <w:p>
            <w:pPr>
              <w:spacing w:after="0"/>
              <w:rPr>
                <w:sz w:val="20"/>
                <w:szCs w:val="20"/>
                <w:color w:val="auto"/>
              </w:rPr>
            </w:pPr>
          </w:p>
        </w:tc>
        <w:tc>
          <w:tcPr>
            <w:tcW w:w="128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Options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w:t>
            </w: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Life (Years)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Value</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Outstanding - December 31, 2019</w:t>
            </w:r>
          </w:p>
        </w:tc>
        <w:tc>
          <w:tcPr>
            <w:tcW w:w="1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1,916</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Forfeited/canceled</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Exercised</w:t>
            </w: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340" w:type="dxa"/>
            <w:vAlign w:val="bottom"/>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2020</w:t>
            </w:r>
          </w:p>
        </w:tc>
        <w:tc>
          <w:tcPr>
            <w:tcW w:w="12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2,321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42,580</w:t>
            </w:r>
          </w:p>
        </w:tc>
      </w:tr>
      <w:tr>
        <w:trPr>
          <w:trHeight w:val="20"/>
        </w:trPr>
        <w:tc>
          <w:tcPr>
            <w:tcW w:w="4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0"/>
        </w:trPr>
        <w:tc>
          <w:tcPr>
            <w:tcW w:w="3340" w:type="dxa"/>
            <w:vAlign w:val="bottom"/>
          </w:tcPr>
          <w:p>
            <w:pPr>
              <w:spacing w:after="0" w:line="207" w:lineRule="exact"/>
              <w:rPr>
                <w:sz w:val="20"/>
                <w:szCs w:val="20"/>
                <w:color w:val="auto"/>
              </w:rPr>
            </w:pPr>
            <w:r>
              <w:rPr>
                <w:rFonts w:ascii="Arial" w:cs="Arial" w:eastAsia="Arial" w:hAnsi="Arial"/>
                <w:sz w:val="18"/>
                <w:szCs w:val="18"/>
                <w:color w:val="auto"/>
              </w:rPr>
              <w:t xml:space="preserve">Exercisable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2020</w:t>
            </w:r>
          </w:p>
        </w:tc>
        <w:tc>
          <w:tcPr>
            <w:tcW w:w="12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1,190</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21,194</w:t>
            </w:r>
          </w:p>
        </w:tc>
      </w:tr>
      <w:tr>
        <w:trPr>
          <w:trHeight w:val="20"/>
        </w:trPr>
        <w:tc>
          <w:tcPr>
            <w:tcW w:w="3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Prior to the Company’s initial public offering, the fair value of the Company’s common stock underlying the stock options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Company’s initial public offering, the fair value of the Company’s common stock is determined based on its closing market price.</w:t>
      </w:r>
    </w:p>
    <w:p>
      <w:pPr>
        <w:spacing w:after="0" w:line="165" w:lineRule="exact"/>
        <w:rPr>
          <w:sz w:val="20"/>
          <w:szCs w:val="20"/>
          <w:color w:val="auto"/>
        </w:rPr>
      </w:pPr>
    </w:p>
    <w:p>
      <w:pPr>
        <w:ind w:right="20" w:firstLine="589"/>
        <w:spacing w:after="0" w:line="223" w:lineRule="exact"/>
        <w:rPr>
          <w:sz w:val="20"/>
          <w:szCs w:val="20"/>
          <w:color w:val="auto"/>
        </w:rPr>
      </w:pPr>
      <w:r>
        <w:rPr>
          <w:rFonts w:ascii="Arial" w:cs="Arial" w:eastAsia="Arial" w:hAnsi="Arial"/>
          <w:sz w:val="18"/>
          <w:szCs w:val="18"/>
          <w:color w:val="auto"/>
        </w:rPr>
        <w:t>The fair value of each option grant prior was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 average assumptions for the year ended 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rate</w:t>
            </w:r>
          </w:p>
        </w:tc>
        <w:tc>
          <w:tcPr>
            <w:tcW w:w="496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960" w:type="dxa"/>
            <w:vAlign w:val="bottom"/>
          </w:tcPr>
          <w:p>
            <w:pPr>
              <w:jc w:val="right"/>
              <w:ind w:right="70"/>
              <w:spacing w:after="0"/>
              <w:rPr>
                <w:sz w:val="20"/>
                <w:szCs w:val="20"/>
                <w:color w:val="auto"/>
              </w:rPr>
            </w:pPr>
            <w:r>
              <w:rPr>
                <w:rFonts w:ascii="Arial" w:cs="Arial" w:eastAsia="Arial" w:hAnsi="Arial"/>
                <w:sz w:val="18"/>
                <w:szCs w:val="18"/>
                <w:color w:val="auto"/>
              </w:rPr>
              <w:t>5.73</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Expected volatility</w:t>
            </w:r>
          </w:p>
        </w:tc>
        <w:tc>
          <w:tcPr>
            <w:tcW w:w="496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Company estimated volatility based on the historical volatility of its peer group and average expected life based on the review of historical exercise behavior of option grants with similar vesting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i w:val="1"/>
          <w:iCs w:val="1"/>
          <w:color w:val="auto"/>
        </w:rPr>
        <w:t>Restricted Stock Units and Restricted Stock Unit Activity</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Service-condition RSUs were granted to Board members and vest over three years, 40% over the first two years and the remaining 60% over the third year from the grant date. During the year ended December 31, 2020, the Company granted 52,736 service-condition RSUs. As of December 31, 2020, there were 79,104 RSUs outstanding, with a weighted average grant date fair value of $6.83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22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Excluded from determination of diluted net loss attributable to common stockholders for the periods presented because inclusion would be anti-dilutive are the instruments below, the terms of which are described in further detail in Note 14 – </w:t>
      </w:r>
      <w:r>
        <w:rPr>
          <w:rFonts w:ascii="Arial" w:cs="Arial" w:eastAsia="Arial" w:hAnsi="Arial"/>
          <w:sz w:val="18"/>
          <w:szCs w:val="18"/>
          <w:i w:val="1"/>
          <w:iCs w:val="1"/>
          <w:color w:val="auto"/>
        </w:rPr>
        <w:t>Share Based Compensation.</w:t>
      </w:r>
      <w:r>
        <w:rPr>
          <w:rFonts w:ascii="Arial" w:cs="Arial" w:eastAsia="Arial" w:hAnsi="Arial"/>
          <w:sz w:val="18"/>
          <w:szCs w:val="18"/>
          <w:color w:val="auto"/>
        </w:rPr>
        <w:t xml:space="preserve"> The potentially dilutive securities as of December 31, 2020 and 2019 primarily represent the shares subject to future issuance under stock options awards, warrants and RSUs and would be subject to the treasury stock method when dilutive. The number of common shares that convertible debt was assumed to convert to was based on the Company’s estimated common stock price as of December 31, 2019, as determined by the Company’s Board of Directors with assistance from a valuation firm.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Numerator</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(31,350)</w:t>
            </w:r>
          </w:p>
        </w:tc>
        <w:tc>
          <w:tcPr>
            <w:tcW w:w="16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(30,726)</w:t>
            </w:r>
          </w:p>
        </w:tc>
      </w:tr>
      <w:tr>
        <w:trPr>
          <w:trHeight w:val="458"/>
        </w:trPr>
        <w:tc>
          <w:tcPr>
            <w:tcW w:w="7320" w:type="dxa"/>
            <w:vAlign w:val="bottom"/>
          </w:tcPr>
          <w:p>
            <w:pPr>
              <w:spacing w:after="0"/>
              <w:rPr>
                <w:sz w:val="20"/>
                <w:szCs w:val="20"/>
                <w:color w:val="auto"/>
              </w:rPr>
            </w:pPr>
            <w:r>
              <w:rPr>
                <w:rFonts w:ascii="Arial" w:cs="Arial" w:eastAsia="Arial" w:hAnsi="Arial"/>
                <w:sz w:val="18"/>
                <w:szCs w:val="18"/>
                <w:color w:val="auto"/>
              </w:rPr>
              <w:t>Denominator</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Weighted-average shares outstanding used</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in computing net loss per share, basic and diluted</w:t>
            </w: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4,838</w:t>
            </w:r>
          </w:p>
        </w:tc>
        <w:tc>
          <w:tcPr>
            <w:tcW w:w="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242</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(126.97)</w:t>
            </w: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180"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19"/>
                <w:szCs w:val="19"/>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2,104</w:t>
            </w: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119,257</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1,538</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21,131</w:t>
            </w: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2,677</w:t>
            </w:r>
          </w:p>
        </w:tc>
        <w:tc>
          <w:tcPr>
            <w:tcW w:w="16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144,056</w:t>
            </w:r>
          </w:p>
        </w:tc>
      </w:tr>
      <w:tr>
        <w:trPr>
          <w:trHeight w:val="20"/>
        </w:trPr>
        <w:tc>
          <w:tcPr>
            <w:tcW w:w="7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845"/>
        </w:trPr>
        <w:tc>
          <w:tcPr>
            <w:tcW w:w="8520" w:type="dxa"/>
            <w:vAlign w:val="bottom"/>
            <w:gridSpan w:val="2"/>
          </w:tcPr>
          <w:p>
            <w:pPr>
              <w:ind w:left="5460"/>
              <w:spacing w:after="0"/>
              <w:rPr>
                <w:sz w:val="20"/>
                <w:szCs w:val="20"/>
                <w:color w:val="auto"/>
              </w:rPr>
            </w:pPr>
            <w:r>
              <w:rPr>
                <w:rFonts w:ascii="Arial" w:cs="Arial" w:eastAsia="Arial" w:hAnsi="Arial"/>
                <w:sz w:val="18"/>
                <w:szCs w:val="18"/>
                <w:color w:val="auto"/>
              </w:rPr>
              <w:t>F-28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Note 16 - Income Taxes</w:t>
      </w:r>
    </w:p>
    <w:p>
      <w:pPr>
        <w:spacing w:after="0" w:line="148"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0"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2019</w:t>
            </w: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Federal statutory income tax rate</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720" w:type="dxa"/>
            <w:vAlign w:val="bottom"/>
          </w:tcPr>
          <w:p>
            <w:pPr>
              <w:jc w:val="right"/>
              <w:ind w:right="91"/>
              <w:spacing w:after="0"/>
              <w:rPr>
                <w:sz w:val="20"/>
                <w:szCs w:val="20"/>
                <w:color w:val="auto"/>
              </w:rPr>
            </w:pPr>
            <w:r>
              <w:rPr>
                <w:rFonts w:ascii="Arial" w:cs="Arial" w:eastAsia="Arial" w:hAnsi="Arial"/>
                <w:sz w:val="18"/>
                <w:szCs w:val="18"/>
                <w:color w:val="auto"/>
              </w:rPr>
              <w:t>4</w:t>
            </w:r>
          </w:p>
        </w:tc>
      </w:tr>
      <w:tr>
        <w:trPr>
          <w:trHeight w:val="229"/>
        </w:trPr>
        <w:tc>
          <w:tcPr>
            <w:tcW w:w="8740" w:type="dxa"/>
            <w:vAlign w:val="bottom"/>
            <w:gridSpan w:val="2"/>
          </w:tcPr>
          <w:p>
            <w:pPr>
              <w:spacing w:after="0"/>
              <w:rPr>
                <w:sz w:val="20"/>
                <w:szCs w:val="20"/>
                <w:color w:val="auto"/>
              </w:rPr>
            </w:pPr>
            <w:r>
              <w:rPr>
                <w:rFonts w:ascii="Arial" w:cs="Arial" w:eastAsia="Arial" w:hAnsi="Arial"/>
                <w:sz w:val="18"/>
                <w:szCs w:val="18"/>
                <w:color w:val="auto"/>
              </w:rPr>
              <w:t>Research and developments credits</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720" w:type="dxa"/>
            <w:vAlign w:val="bottom"/>
          </w:tcPr>
          <w:p>
            <w:pPr>
              <w:jc w:val="right"/>
              <w:ind w:right="91"/>
              <w:spacing w:after="0"/>
              <w:rPr>
                <w:sz w:val="20"/>
                <w:szCs w:val="20"/>
                <w:color w:val="auto"/>
              </w:rPr>
            </w:pPr>
            <w:r>
              <w:rPr>
                <w:rFonts w:ascii="Arial" w:cs="Arial" w:eastAsia="Arial" w:hAnsi="Arial"/>
                <w:sz w:val="18"/>
                <w:szCs w:val="18"/>
                <w:color w:val="auto"/>
              </w:rPr>
              <w:t>2</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r>
      <w:tr>
        <w:trPr>
          <w:trHeight w:val="223"/>
        </w:trPr>
        <w:tc>
          <w:tcPr>
            <w:tcW w:w="7620" w:type="dxa"/>
            <w:vAlign w:val="bottom"/>
          </w:tcPr>
          <w:p>
            <w:pPr>
              <w:ind w:left="260"/>
              <w:spacing w:after="0"/>
              <w:rPr>
                <w:sz w:val="20"/>
                <w:szCs w:val="20"/>
                <w:color w:val="auto"/>
              </w:rPr>
            </w:pPr>
            <w:r>
              <w:rPr>
                <w:rFonts w:ascii="Arial" w:cs="Arial" w:eastAsia="Arial" w:hAnsi="Arial"/>
                <w:sz w:val="18"/>
                <w:szCs w:val="18"/>
                <w:color w:val="auto"/>
              </w:rPr>
              <w:t>Effective income tax rate</w:t>
            </w:r>
          </w:p>
        </w:tc>
        <w:tc>
          <w:tcPr>
            <w:tcW w:w="112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income tax assets and liabilities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9"/>
                <w:szCs w:val="19"/>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53,128</w:t>
            </w:r>
          </w:p>
        </w:tc>
        <w:tc>
          <w:tcPr>
            <w:tcW w:w="16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50,360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 tax credits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2,860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3,040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370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865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Accruals and reserves</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1,406</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286</w:t>
            </w:r>
          </w:p>
        </w:tc>
      </w:tr>
      <w:tr>
        <w:trPr>
          <w:trHeight w:val="222"/>
        </w:trPr>
        <w:tc>
          <w:tcPr>
            <w:tcW w:w="7720" w:type="dxa"/>
            <w:vAlign w:val="bottom"/>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58,538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54,056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Valuation allowance</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(56,083)</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(51,135)</w:t>
            </w:r>
          </w:p>
        </w:tc>
      </w:tr>
      <w:tr>
        <w:trPr>
          <w:trHeight w:val="224"/>
        </w:trPr>
        <w:tc>
          <w:tcPr>
            <w:tcW w:w="7720" w:type="dxa"/>
            <w:vAlign w:val="bottom"/>
          </w:tcPr>
          <w:p>
            <w:pPr>
              <w:ind w:left="500"/>
              <w:spacing w:after="0"/>
              <w:rPr>
                <w:sz w:val="20"/>
                <w:szCs w:val="20"/>
                <w:color w:val="auto"/>
              </w:rPr>
            </w:pPr>
            <w:r>
              <w:rPr>
                <w:rFonts w:ascii="Arial" w:cs="Arial" w:eastAsia="Arial" w:hAnsi="Arial"/>
                <w:sz w:val="18"/>
                <w:szCs w:val="18"/>
                <w:color w:val="auto"/>
              </w:rPr>
              <w:t>Total deferred tax assets after valuation allowance</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2,455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2,921</w:t>
            </w:r>
          </w:p>
        </w:tc>
      </w:tr>
      <w:tr>
        <w:trPr>
          <w:trHeight w:val="241"/>
        </w:trPr>
        <w:tc>
          <w:tcPr>
            <w:tcW w:w="7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deferred tax assets and liabilities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At December 31, 2020, the Company had $233.6 million and $3.6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43"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$4.9 million during 2020 and $7.0 million during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ind w:right="40" w:firstLine="589"/>
        <w:spacing w:after="0" w:line="259" w:lineRule="auto"/>
        <w:rPr>
          <w:sz w:val="20"/>
          <w:szCs w:val="20"/>
          <w:color w:val="auto"/>
        </w:rPr>
      </w:pPr>
      <w:r>
        <w:rPr>
          <w:rFonts w:ascii="Arial" w:cs="Arial" w:eastAsia="Arial" w:hAnsi="Arial"/>
          <w:sz w:val="18"/>
          <w:szCs w:val="18"/>
          <w:color w:val="auto"/>
        </w:rPr>
        <w:t>During 2020, the Company determined that it now has uncertain tax positions related to its U.S. research and development credits. As of December 31, 2020 and 2019, there was no accrued interest related to uncertain tax positions. The Company does not believe it is reasonably possible that its unrecognized tax benefits will significantly change in the next twelve months. A reconciliation of beginning and ending balances for unrecognized tax benefits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Year Ended</w:t>
            </w:r>
          </w:p>
        </w:tc>
      </w:tr>
      <w:tr>
        <w:trPr>
          <w:trHeight w:val="229"/>
        </w:trPr>
        <w:tc>
          <w:tcPr>
            <w:tcW w:w="9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r>
      <w:tr>
        <w:trPr>
          <w:trHeight w:val="236"/>
        </w:trPr>
        <w:tc>
          <w:tcPr>
            <w:tcW w:w="9260" w:type="dxa"/>
            <w:vAlign w:val="bottom"/>
          </w:tcPr>
          <w:p>
            <w:pPr>
              <w:spacing w:after="0"/>
              <w:rPr>
                <w:sz w:val="20"/>
                <w:szCs w:val="20"/>
                <w:color w:val="auto"/>
              </w:rPr>
            </w:pPr>
            <w:r>
              <w:rPr>
                <w:rFonts w:ascii="Arial" w:cs="Arial" w:eastAsia="Arial" w:hAnsi="Arial"/>
                <w:sz w:val="18"/>
                <w:szCs w:val="18"/>
                <w:color w:val="auto"/>
              </w:rPr>
              <w:t>Balance at January 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60"/>
              <w:spacing w:after="0"/>
              <w:rPr>
                <w:sz w:val="20"/>
                <w:szCs w:val="20"/>
                <w:color w:val="auto"/>
              </w:rPr>
            </w:pPr>
            <w:r>
              <w:rPr>
                <w:rFonts w:ascii="Arial" w:cs="Arial" w:eastAsia="Arial" w:hAnsi="Arial"/>
                <w:sz w:val="18"/>
                <w:szCs w:val="18"/>
                <w:color w:val="auto"/>
              </w:rPr>
              <w:t>Additions for tax positions related to the current year</w:t>
            </w: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9260" w:type="dxa"/>
            <w:vAlign w:val="bottom"/>
          </w:tcPr>
          <w:p>
            <w:pPr>
              <w:ind w:left="260"/>
              <w:spacing w:after="0"/>
              <w:rPr>
                <w:sz w:val="20"/>
                <w:szCs w:val="20"/>
                <w:color w:val="auto"/>
              </w:rPr>
            </w:pPr>
            <w:r>
              <w:rPr>
                <w:rFonts w:ascii="Arial" w:cs="Arial" w:eastAsia="Arial" w:hAnsi="Arial"/>
                <w:sz w:val="18"/>
                <w:szCs w:val="18"/>
                <w:color w:val="auto"/>
              </w:rPr>
              <w:t>Additions for tax positions related to prior years</w:t>
            </w: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43"/>
        </w:trPr>
        <w:tc>
          <w:tcPr>
            <w:tcW w:w="9260" w:type="dxa"/>
            <w:vAlign w:val="bottom"/>
          </w:tcPr>
          <w:p>
            <w:pPr>
              <w:ind w:left="260"/>
              <w:spacing w:after="0"/>
              <w:rPr>
                <w:sz w:val="20"/>
                <w:szCs w:val="20"/>
                <w:color w:val="auto"/>
              </w:rPr>
            </w:pPr>
            <w:r>
              <w:rPr>
                <w:rFonts w:ascii="Arial" w:cs="Arial" w:eastAsia="Arial" w:hAnsi="Arial"/>
                <w:sz w:val="18"/>
                <w:szCs w:val="18"/>
                <w:color w:val="auto"/>
              </w:rPr>
              <w:t>Reductions for tax positions related to prior years</w:t>
            </w: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60"/>
              <w:spacing w:after="0"/>
              <w:rPr>
                <w:sz w:val="20"/>
                <w:szCs w:val="20"/>
                <w:color w:val="auto"/>
              </w:rPr>
            </w:pPr>
            <w:r>
              <w:rPr>
                <w:rFonts w:ascii="Arial" w:cs="Arial" w:eastAsia="Arial" w:hAnsi="Arial"/>
                <w:sz w:val="18"/>
                <w:szCs w:val="18"/>
                <w:color w:val="auto"/>
              </w:rPr>
              <w:t>Reductions related to settlements</w:t>
            </w: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260" w:type="dxa"/>
            <w:vAlign w:val="bottom"/>
          </w:tcPr>
          <w:p>
            <w:pPr>
              <w:ind w:left="260"/>
              <w:spacing w:after="0"/>
              <w:rPr>
                <w:sz w:val="20"/>
                <w:szCs w:val="20"/>
                <w:color w:val="auto"/>
              </w:rPr>
            </w:pPr>
            <w:r>
              <w:rPr>
                <w:rFonts w:ascii="Arial" w:cs="Arial" w:eastAsia="Arial" w:hAnsi="Arial"/>
                <w:sz w:val="18"/>
                <w:szCs w:val="18"/>
                <w:color w:val="auto"/>
              </w:rPr>
              <w:t>Reductions related to a lapse of statute</w:t>
            </w: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Company monitors proposed and issued tax law, regulations, and cases to determine the potential impact of uncertain income tax positions. At December 31, 2020, the Company had not identified any potential subsequent events that would have a material impact on unrecognized income tax benefits within the next twelve months.</w:t>
      </w:r>
    </w:p>
    <w:p>
      <w:pPr>
        <w:spacing w:after="0" w:line="157"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All years will remain open for examining by federal and state authorities for three and four years, respectively, from the date of utilization of any net operating loss carryforwards.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740" w:firstLine="589"/>
        <w:spacing w:after="0" w:line="223" w:lineRule="exact"/>
        <w:rPr>
          <w:sz w:val="20"/>
          <w:szCs w:val="20"/>
          <w:color w:val="auto"/>
        </w:rPr>
      </w:pPr>
      <w:r>
        <w:rPr>
          <w:rFonts w:ascii="Arial" w:cs="Arial" w:eastAsia="Arial" w:hAnsi="Arial"/>
          <w:sz w:val="18"/>
          <w:szCs w:val="18"/>
          <w:color w:val="auto"/>
        </w:rPr>
        <w:t>The Company leases facilities under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leases. Rent expense was $1.7 million and $2.1 million for the years ended December 31, 2020 and 2019, respectively.</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minimum lease payments for operating lease obligations are as follows as of December 31,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5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2021</w:t>
            </w: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703</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2022</w:t>
            </w: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724</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2023</w:t>
            </w: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2024</w:t>
            </w: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2025</w:t>
            </w: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Thereafter</w:t>
            </w:r>
          </w:p>
        </w:tc>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1,539</w:t>
            </w:r>
          </w:p>
        </w:tc>
      </w:tr>
      <w:tr>
        <w:trPr>
          <w:trHeight w:val="20"/>
        </w:trPr>
        <w:tc>
          <w:tcPr>
            <w:tcW w:w="37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29"/>
        </w:trPr>
        <w:tc>
          <w:tcPr>
            <w:tcW w:w="3760" w:type="dxa"/>
            <w:vAlign w:val="bottom"/>
          </w:tcPr>
          <w:p>
            <w:pPr>
              <w:spacing w:after="0"/>
              <w:rPr>
                <w:sz w:val="24"/>
                <w:szCs w:val="24"/>
                <w:color w:val="auto"/>
              </w:rPr>
            </w:pPr>
          </w:p>
        </w:tc>
        <w:tc>
          <w:tcPr>
            <w:tcW w:w="6260" w:type="dxa"/>
            <w:vAlign w:val="bottom"/>
            <w:gridSpan w:val="3"/>
          </w:tcPr>
          <w:p>
            <w:pPr>
              <w:jc w:val="right"/>
              <w:ind w:right="4147"/>
              <w:spacing w:after="0"/>
              <w:rPr>
                <w:sz w:val="20"/>
                <w:szCs w:val="20"/>
                <w:color w:val="auto"/>
              </w:rPr>
            </w:pPr>
            <w:r>
              <w:rPr>
                <w:rFonts w:ascii="Arial" w:cs="Arial" w:eastAsia="Arial" w:hAnsi="Arial"/>
                <w:sz w:val="18"/>
                <w:szCs w:val="18"/>
                <w:color w:val="auto"/>
              </w:rPr>
              <w:t>F-30</w:t>
            </w:r>
          </w:p>
        </w:tc>
        <w:tc>
          <w:tcPr>
            <w:tcW w:w="122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5" w:name="page156"/>
    <w:bookmarkEnd w:id="155"/>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17" w:lineRule="exact"/>
        <w:rPr>
          <w:sz w:val="20"/>
          <w:szCs w:val="20"/>
          <w:color w:val="auto"/>
        </w:rPr>
      </w:pPr>
    </w:p>
    <w:p>
      <w:pPr>
        <w:ind w:right="20" w:firstLine="589"/>
        <w:spacing w:after="0" w:line="218" w:lineRule="exact"/>
        <w:rPr>
          <w:sz w:val="20"/>
          <w:szCs w:val="20"/>
          <w:color w:val="auto"/>
        </w:rPr>
      </w:pPr>
      <w:r>
        <w:rPr>
          <w:rFonts w:ascii="Arial" w:cs="Arial" w:eastAsia="Arial" w:hAnsi="Arial"/>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w:t>
      </w:r>
      <w:r>
        <w:rPr>
          <w:rFonts w:ascii="MS PGothic" w:cs="MS PGothic" w:eastAsia="MS PGothic" w:hAnsi="MS PGothic"/>
          <w:sz w:val="18"/>
          <w:szCs w:val="18"/>
          <w:color w:val="auto"/>
        </w:rPr>
        <w:t>‑</w:t>
      </w:r>
      <w:r>
        <w:rPr>
          <w:rFonts w:ascii="Arial" w:cs="Arial" w:eastAsia="Arial" w:hAnsi="Arial"/>
          <w:sz w:val="18"/>
          <w:szCs w:val="18"/>
          <w:color w:val="auto"/>
        </w:rPr>
        <w:t>small cell lung cancer (NSCLC). Under the terms of the agreement, AVEO will conduct a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(POC) clinical study of ficlatuzumab for NSCLC in which BDX004 will be used to select clinical trial subjects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w:t>
      </w:r>
    </w:p>
    <w:p>
      <w:pPr>
        <w:spacing w:after="0" w:line="165"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September 2020, the Company exercised its opt-out right with AVEO for the payment of 50% of development and regulatory costs for ficlatuzumab effective December 2, 2020. The Company had $0.3 million in remaining obligations related to the AVEO agreement as of the opt-out date. Following the effective date, the Company is entitled to a 10% royalty of net sales of ficlatuzumab and 25% of license income generated from the licensing of ficlatuzumab from AVEO.</w:t>
      </w:r>
    </w:p>
    <w:p>
      <w:pPr>
        <w:spacing w:after="0" w:line="146" w:lineRule="exact"/>
        <w:rPr>
          <w:sz w:val="20"/>
          <w:szCs w:val="20"/>
          <w:color w:val="auto"/>
        </w:rPr>
      </w:pPr>
    </w:p>
    <w:p>
      <w:pPr>
        <w:ind w:right="860" w:firstLine="589"/>
        <w:spacing w:after="0" w:line="277" w:lineRule="auto"/>
        <w:rPr>
          <w:sz w:val="20"/>
          <w:szCs w:val="20"/>
          <w:color w:val="auto"/>
        </w:rPr>
      </w:pPr>
      <w:r>
        <w:rPr>
          <w:rFonts w:ascii="Arial" w:cs="Arial" w:eastAsia="Arial" w:hAnsi="Arial"/>
          <w:sz w:val="18"/>
          <w:szCs w:val="18"/>
          <w:color w:val="auto"/>
        </w:rPr>
        <w:t>Expenses related to this agreement for the years ended December 31, 2020 and 2019 were approximately $0.9 million and $0.9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-293370</wp:posOffset>
            </wp:positionV>
            <wp:extent cx="2540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 Company incurred royalty expense of $0.1 million and $0.1 million for the years ended December 31, 2020 and 2019, respectively, under the Bio-Rad License.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Share Agreement</w:t>
      </w:r>
    </w:p>
    <w:p>
      <w:pPr>
        <w:spacing w:after="0" w:line="117" w:lineRule="exact"/>
        <w:rPr>
          <w:sz w:val="20"/>
          <w:szCs w:val="20"/>
          <w:color w:val="auto"/>
        </w:rPr>
      </w:pPr>
    </w:p>
    <w:p>
      <w:pPr>
        <w:jc w:val="both"/>
        <w:ind w:right="560" w:firstLine="589"/>
        <w:spacing w:after="0" w:line="259" w:lineRule="auto"/>
        <w:rPr>
          <w:sz w:val="20"/>
          <w:szCs w:val="20"/>
          <w:color w:val="auto"/>
        </w:rPr>
      </w:pPr>
      <w:r>
        <w:rPr>
          <w:rFonts w:ascii="Arial" w:cs="Arial" w:eastAsia="Arial" w:hAnsi="Arial"/>
          <w:sz w:val="18"/>
          <w:szCs w:val="18"/>
          <w:color w:val="auto"/>
        </w:rPr>
        <w:t>As part of the acquisition of Oncimmune, the Company entered into several agreements to govern the relationship between the parties. The Company agreed to a revenue share payment related to an acquired diagnostic test of 8% of recognized revenue for non-screen tests up to an annual minimum volume and 5% thereafter, with an escalating minimum through the first four years of sales. Revenue share expenses of $0.3 million were recognized for the year ended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Defined Contribution 401(k) Plan</w:t>
      </w:r>
    </w:p>
    <w:p>
      <w:pPr>
        <w:spacing w:after="0" w:line="121"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The Company sponsors a 401(k) defined contribution plan covering all eligible employees. The Company did not make any discretionary or employer matching contributions under the plan during the years ended December 31, 2020 or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706" w:right="359" w:bottom="1440" w:gutter="0" w:footer="0" w:header="0"/>
        </w:sectPr>
      </w:pPr>
    </w:p>
    <w:bookmarkStart w:id="156" w:name="page157"/>
    <w:bookmarkEnd w:id="156"/>
    <w:p>
      <w:pPr>
        <w:ind w:left="10400"/>
        <w:spacing w:after="0"/>
        <w:rPr>
          <w:sz w:val="20"/>
          <w:szCs w:val="20"/>
          <w:color w:val="auto"/>
        </w:rPr>
      </w:pPr>
      <w:r>
        <w:rPr>
          <w:rFonts w:ascii="Arial" w:cs="Arial" w:eastAsia="Arial" w:hAnsi="Arial"/>
          <w:sz w:val="16"/>
          <w:szCs w:val="16"/>
          <w:b w:val="1"/>
          <w:bCs w:val="1"/>
          <w:color w:val="auto"/>
        </w:rPr>
        <w:t>Exhibit 4.5</w:t>
      </w:r>
    </w:p>
    <w:p>
      <w:pPr>
        <w:spacing w:after="0" w:line="248" w:lineRule="exact"/>
        <w:rPr>
          <w:sz w:val="20"/>
          <w:szCs w:val="20"/>
          <w:color w:val="auto"/>
        </w:rPr>
      </w:pPr>
    </w:p>
    <w:p>
      <w:pPr>
        <w:ind w:left="3900" w:right="420" w:hanging="3065"/>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summary describes the capital stock of Biodesix, Inc., (the “Company,” “we,” “us,” and “our”) and the material provisions of our amended and restated certificate of incorporation and our amended and restated bylaws, the amended and restated registration rights agreement to which we and certain stockholders are parties and of the General Corporation Law of the State of Delaware. Because the following is only a summary, it does not contain all of the information that may be important to you. For a complete description, you should refer to our amended and restated certificate of incorporation, amended and restated bylaws, and amended and restated registration rights agreement, copies of which are incorporated by reference as exhibits to our Annual Report on Form 10-K.</w:t>
      </w:r>
    </w:p>
    <w:p>
      <w:pPr>
        <w:spacing w:after="0" w:line="16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As of December 31, 2020, Biodesix Inc. (the “Company”) had common stock, $0.001 par value per share, registered under Section 12 of the Securities Exchange Act of 1934, as amended (the “Exchange Act”), and listed on the Nasdaq Global Select Market under the trading symbol “BDSX.”</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amended and restated certificate of incorporation authorizes the issuance of 205,000,000 shares of capital stock, consisting of (i) 200,000,000 shares of common stock, $0.001 par value per share (the “Common Stock”) and (ii) 5,000,000 shares of preferred stock, par value $0.001 per share, the rights, preferences and privileges of which may be designated from time to time by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8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8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the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Certain Anti-Takeover Provisions of Delaware Law, the Company’s Certificate of Incorporation and Bylaws</w:t>
      </w:r>
    </w:p>
    <w:p>
      <w:pPr>
        <w:spacing w:after="0" w:line="20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8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44" w:lineRule="exact"/>
        <w:rPr>
          <w:sz w:val="20"/>
          <w:szCs w:val="20"/>
          <w:color w:val="auto"/>
        </w:rPr>
      </w:pPr>
    </w:p>
    <w:p>
      <w:pPr>
        <w:ind w:left="1460" w:right="320" w:hanging="386"/>
        <w:spacing w:after="0" w:line="277"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29" w:lineRule="exact"/>
        <w:rPr>
          <w:rFonts w:ascii="Arial" w:cs="Arial" w:eastAsia="Arial" w:hAnsi="Arial"/>
          <w:sz w:val="18"/>
          <w:szCs w:val="18"/>
          <w:color w:val="auto"/>
        </w:rPr>
      </w:pPr>
    </w:p>
    <w:p>
      <w:pPr>
        <w:ind w:left="1460" w:hanging="386"/>
        <w:spacing w:after="0" w:line="279" w:lineRule="auto"/>
        <w:tabs>
          <w:tab w:leader="none" w:pos="1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30" w:lineRule="exact"/>
        <w:rPr>
          <w:rFonts w:ascii="Arial" w:cs="Arial" w:eastAsia="Arial" w:hAnsi="Arial"/>
          <w:sz w:val="17"/>
          <w:szCs w:val="17"/>
          <w:color w:val="auto"/>
        </w:rPr>
      </w:pPr>
    </w:p>
    <w:p>
      <w:pPr>
        <w:jc w:val="both"/>
        <w:ind w:left="1460" w:right="20" w:hanging="386"/>
        <w:spacing w:after="0" w:line="263"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185" w:lineRule="exact"/>
        <w:rPr>
          <w:sz w:val="20"/>
          <w:szCs w:val="20"/>
          <w:color w:val="auto"/>
        </w:rPr>
      </w:pPr>
    </w:p>
    <w:p>
      <w:pPr>
        <w:ind w:left="1460" w:hanging="386"/>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11" w:lineRule="exact"/>
        <w:rPr>
          <w:rFonts w:ascii="Arial" w:cs="Arial" w:eastAsia="Arial" w:hAnsi="Arial"/>
          <w:sz w:val="18"/>
          <w:szCs w:val="18"/>
          <w:color w:val="auto"/>
        </w:rPr>
      </w:pPr>
    </w:p>
    <w:p>
      <w:pPr>
        <w:ind w:left="1460" w:right="900" w:hanging="386"/>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129" w:lineRule="exact"/>
        <w:rPr>
          <w:rFonts w:ascii="Arial" w:cs="Arial" w:eastAsia="Arial" w:hAnsi="Arial"/>
          <w:sz w:val="18"/>
          <w:szCs w:val="18"/>
          <w:color w:val="auto"/>
        </w:rPr>
      </w:pPr>
    </w:p>
    <w:p>
      <w:pPr>
        <w:ind w:left="1460" w:right="280" w:hanging="386"/>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29" w:lineRule="exact"/>
        <w:rPr>
          <w:rFonts w:ascii="Arial" w:cs="Arial" w:eastAsia="Arial" w:hAnsi="Arial"/>
          <w:sz w:val="18"/>
          <w:szCs w:val="18"/>
          <w:color w:val="auto"/>
        </w:rPr>
      </w:pPr>
    </w:p>
    <w:p>
      <w:pPr>
        <w:ind w:left="1460" w:right="120" w:hanging="386"/>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29" w:lineRule="exact"/>
        <w:rPr>
          <w:rFonts w:ascii="Arial" w:cs="Arial" w:eastAsia="Arial" w:hAnsi="Arial"/>
          <w:sz w:val="18"/>
          <w:szCs w:val="18"/>
          <w:color w:val="auto"/>
        </w:rPr>
      </w:pPr>
    </w:p>
    <w:p>
      <w:pPr>
        <w:ind w:left="1460" w:right="140" w:hanging="386"/>
        <w:spacing w:after="0" w:line="277" w:lineRule="auto"/>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Bylaw Provisions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Vacancies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amended and restated certificate of incorporation and bylaws authorize generally only our board of directors to fill vacant directorships resulting from any cause or created by the expansion of our board of directors. In addition, the number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58" w:name="page159"/>
    <w:bookmarkEnd w:id="158"/>
    <w:p>
      <w:pPr>
        <w:ind w:right="220"/>
        <w:spacing w:after="0" w:line="263" w:lineRule="auto"/>
        <w:rPr>
          <w:sz w:val="20"/>
          <w:szCs w:val="20"/>
          <w:color w:val="auto"/>
        </w:rPr>
      </w:pPr>
      <w:r>
        <w:rPr>
          <w:rFonts w:ascii="Arial" w:cs="Arial" w:eastAsia="Arial" w:hAnsi="Arial"/>
          <w:sz w:val="18"/>
          <w:szCs w:val="18"/>
          <w:color w:val="auto"/>
        </w:rPr>
        <w:t>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185"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Removed Only for Cause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provides that stockholders may remove directors only for cause.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Supermajority Requirements for Amendments of Our Amended and Restated Certificate of Incorporation and Bylaws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amended and restated certificate of incorporation further provide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Special Meetings of Stockholders</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amended and restated certificate of incorporation provides that our stockholders may not take action by written consent, but may only take action at annual or special meetings of our stockholders. As a result, holders of our capital stock are not be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128" w:lineRule="exact"/>
        <w:rPr>
          <w:sz w:val="20"/>
          <w:szCs w:val="20"/>
          <w:color w:val="auto"/>
        </w:rPr>
      </w:pPr>
    </w:p>
    <w:p>
      <w:pPr>
        <w:ind w:left="1460" w:hanging="386"/>
        <w:spacing w:after="0"/>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name and address of the proposing persons;</w:t>
      </w:r>
    </w:p>
    <w:p>
      <w:pPr>
        <w:spacing w:after="0" w:line="211" w:lineRule="exact"/>
        <w:rPr>
          <w:rFonts w:ascii="Arial" w:cs="Arial" w:eastAsia="Arial" w:hAnsi="Arial"/>
          <w:sz w:val="18"/>
          <w:szCs w:val="18"/>
          <w:color w:val="auto"/>
        </w:rPr>
      </w:pPr>
    </w:p>
    <w:p>
      <w:pPr>
        <w:ind w:left="1460" w:right="100" w:hanging="386"/>
        <w:spacing w:after="0" w:line="277" w:lineRule="auto"/>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as to the ownership by the proposing persons of our capital stock and any derivative interest or short interest in any of our securities held by the proposing persons;</w:t>
      </w:r>
    </w:p>
    <w:p>
      <w:pPr>
        <w:spacing w:after="0" w:line="129" w:lineRule="exact"/>
        <w:rPr>
          <w:rFonts w:ascii="Arial" w:cs="Arial" w:eastAsia="Arial" w:hAnsi="Arial"/>
          <w:sz w:val="18"/>
          <w:szCs w:val="18"/>
          <w:color w:val="auto"/>
        </w:rPr>
      </w:pPr>
    </w:p>
    <w:p>
      <w:pPr>
        <w:ind w:left="1460" w:right="380" w:hanging="386"/>
        <w:spacing w:after="0" w:line="277" w:lineRule="auto"/>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as to any material relationships and interest between the proposing persons and us, any of our affiliates and any of our principal competitors;</w:t>
      </w:r>
    </w:p>
    <w:p>
      <w:pPr>
        <w:spacing w:after="0" w:line="129" w:lineRule="exact"/>
        <w:rPr>
          <w:rFonts w:ascii="Arial" w:cs="Arial" w:eastAsia="Arial" w:hAnsi="Arial"/>
          <w:sz w:val="18"/>
          <w:szCs w:val="18"/>
          <w:color w:val="auto"/>
        </w:rPr>
      </w:pPr>
    </w:p>
    <w:p>
      <w:pPr>
        <w:ind w:left="1460" w:hanging="386"/>
        <w:spacing w:after="0" w:line="277" w:lineRule="auto"/>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159" w:name="page160"/>
    <w:bookmarkEnd w:id="159"/>
    <w:p>
      <w:pPr>
        <w:ind w:left="1460" w:right="420" w:hanging="386"/>
        <w:spacing w:after="0" w:line="342" w:lineRule="auto"/>
        <w:tabs>
          <w:tab w:leader="none" w:pos="1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8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18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board has the authority, without further action by the stockholders, to issue up to 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DGCL or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733" w:right="35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10.5.1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(2020 EQUITY INCENTIVE PLAN)</w:t>
      </w:r>
    </w:p>
    <w:p>
      <w:pPr>
        <w:spacing w:after="0" w:line="200" w:lineRule="exact"/>
        <w:rPr>
          <w:sz w:val="20"/>
          <w:szCs w:val="20"/>
          <w:color w:val="auto"/>
        </w:rPr>
      </w:pP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Biodesix, Inc.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2020 Equity Incentive Plan (as amended and/or restated as of the Date of Grant set forth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has granted to Optionholder an option to purchase the number of shares of the Common Stock set forth below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The Option is subject to all of the terms and conditions as set forth in this Stock Option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in the Plan, the Option Agreement, and the Notice of Exercise, all of which are attached to this Grant Notice and incorporated into this Grant Notice in their entirety. Capitalized terms not explicitly defined in this Grant Notice but defined in the Plan or the Option Agreement shall have the meanings set forth in the Plan or the Option Agreement,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40373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40373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40373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40373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Exercise Price (Per Share)</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40373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40373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14605</wp:posOffset>
            </wp:positionV>
            <wp:extent cx="40373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Exercise Schedule: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Same as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wp:posOffset>
            </wp:positionV>
            <wp:extent cx="40373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3840" w:space="720"/>
            <w:col w:w="668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Type of Grant</w:t>
      </w:r>
      <w:r>
        <w:rPr>
          <w:rFonts w:ascii="Arial" w:cs="Arial" w:eastAsia="Arial" w:hAnsi="Arial"/>
          <w:sz w:val="13"/>
          <w:szCs w:val="13"/>
          <w:color w:val="auto"/>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color w:val="auto"/>
        </w:rPr>
        <w:t>[Incentive Stock Option]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40373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680"/>
          </w:cols>
          <w:pgMar w:left="320" w:top="121" w:right="339" w:bottom="1440" w:gutter="0" w:footer="0" w:header="0"/>
          <w:type w:val="continuous"/>
        </w:sectPr>
      </w:pPr>
    </w:p>
    <w:p>
      <w:pPr>
        <w:spacing w:after="0" w:line="11" w:lineRule="exact"/>
        <w:rPr>
          <w:sz w:val="20"/>
          <w:szCs w:val="20"/>
          <w:color w:val="auto"/>
        </w:rPr>
      </w:pPr>
    </w:p>
    <w:p>
      <w:pPr>
        <w:ind w:left="140" w:hanging="132"/>
        <w:spacing w:after="0"/>
        <w:tabs>
          <w:tab w:leader="none" w:pos="140" w:val="left"/>
        </w:tabs>
        <w:numPr>
          <w:ilvl w:val="0"/>
          <w:numId w:val="80"/>
        </w:numPr>
        <w:rPr>
          <w:rFonts w:ascii="Arial" w:cs="Arial" w:eastAsia="Arial" w:hAnsi="Arial"/>
          <w:sz w:val="17"/>
          <w:szCs w:val="17"/>
          <w:color w:val="auto"/>
        </w:rPr>
      </w:pPr>
      <w:r>
        <w:rPr>
          <w:rFonts w:ascii="Arial" w:cs="Arial" w:eastAsia="Arial" w:hAnsi="Arial"/>
          <w:sz w:val="16"/>
          <w:szCs w:val="16"/>
          <w:color w:val="auto"/>
        </w:rPr>
        <w:t>The exercise price may be paid by one or a combination of the methods permitted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230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 w:lineRule="exact"/>
        <w:rPr>
          <w:sz w:val="20"/>
          <w:szCs w:val="20"/>
          <w:color w:val="auto"/>
        </w:rPr>
      </w:pPr>
    </w:p>
    <w:p>
      <w:pPr>
        <w:ind w:left="120" w:hanging="112"/>
        <w:spacing w:after="0" w:line="193" w:lineRule="auto"/>
        <w:tabs>
          <w:tab w:leader="none" w:pos="120" w:val="left"/>
        </w:tabs>
        <w:numPr>
          <w:ilvl w:val="0"/>
          <w:numId w:val="81"/>
        </w:numPr>
        <w:rPr>
          <w:rFonts w:ascii="Arial" w:cs="Arial" w:eastAsia="Arial" w:hAnsi="Arial"/>
          <w:sz w:val="28"/>
          <w:szCs w:val="28"/>
          <w:color w:val="auto"/>
          <w:vertAlign w:val="superscript"/>
        </w:rPr>
      </w:pPr>
      <w:r>
        <w:rPr>
          <w:rFonts w:ascii="Arial" w:cs="Arial" w:eastAsia="Arial" w:hAnsi="Arial"/>
          <w:sz w:val="16"/>
          <w:szCs w:val="16"/>
          <w:color w:val="auto"/>
        </w:rPr>
        <w:t xml:space="preserve">If this is an Incentive Stock Option, it (plus other outstanding Incentive Stock Options) cannot be first </w:t>
      </w:r>
      <w:r>
        <w:rPr>
          <w:rFonts w:ascii="Arial" w:cs="Arial" w:eastAsia="Arial" w:hAnsi="Arial"/>
          <w:sz w:val="16"/>
          <w:szCs w:val="16"/>
          <w:i w:val="1"/>
          <w:iCs w:val="1"/>
          <w:color w:val="auto"/>
        </w:rPr>
        <w:t>exercisable</w:t>
      </w:r>
      <w:r>
        <w:rPr>
          <w:rFonts w:ascii="Arial" w:cs="Arial" w:eastAsia="Arial" w:hAnsi="Arial"/>
          <w:sz w:val="16"/>
          <w:szCs w:val="16"/>
          <w:color w:val="auto"/>
        </w:rPr>
        <w:t xml:space="preserve"> for more than $100,000 in value (measured by exercise price) in any calendar year. Any excess over $100,000 is a Nonstatutory Stock Option.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ACTIVE 263957590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Vesting Schedule: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Optionholder Acknowledgements: </w:t>
      </w:r>
      <w:r>
        <w:rPr>
          <w:rFonts w:ascii="Arial" w:cs="Arial" w:eastAsia="Arial" w:hAnsi="Arial"/>
          <w:sz w:val="18"/>
          <w:szCs w:val="18"/>
          <w:color w:val="auto"/>
        </w:rPr>
        <w:t>By Optionholder’s signature below or by electronic acceptance or authentication in a form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Optionholder understands and agrees that the Option is governed by this Grant Notice, and the provisions of the Plan and the Option Agreement and the Notice of Exercise, all of which are made a part of this document.</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and the Option Agreement. Optionholder acknowledges and agrees that this Grant Notice and the Option Agreement may not be modified, amended or revised in a manner that materially impairs the rights of the Optionholder except in a writing signed by Optionholder and a duly authorized officer of the Company.</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Optionholder further acknowledges that in the event of any conflict between the provisions in this Grant Notice, the Option Agreement, the Notice of Exercise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Biodesix, Inc.</w:t>
            </w:r>
          </w:p>
        </w:tc>
        <w:tc>
          <w:tcPr>
            <w:tcW w:w="5680" w:type="dxa"/>
            <w:vAlign w:val="bottom"/>
            <w:gridSpan w:val="2"/>
          </w:tcPr>
          <w:p>
            <w:pPr>
              <w:ind w:left="340"/>
              <w:spacing w:after="0"/>
              <w:rPr>
                <w:sz w:val="20"/>
                <w:szCs w:val="20"/>
                <w:color w:val="auto"/>
              </w:rPr>
            </w:pPr>
            <w:r>
              <w:rPr>
                <w:rFonts w:ascii="Arial" w:cs="Arial" w:eastAsia="Arial" w:hAnsi="Arial"/>
                <w:sz w:val="18"/>
                <w:szCs w:val="18"/>
                <w:b w:val="1"/>
                <w:bCs w:val="1"/>
                <w:color w:val="auto"/>
              </w:rPr>
              <w:t>Optionholder:</w:t>
            </w:r>
          </w:p>
        </w:tc>
        <w:tc>
          <w:tcPr>
            <w:tcW w:w="0" w:type="dxa"/>
            <w:vAlign w:val="bottom"/>
          </w:tcPr>
          <w:p>
            <w:pPr>
              <w:spacing w:after="0"/>
              <w:rPr>
                <w:sz w:val="1"/>
                <w:szCs w:val="1"/>
                <w:color w:val="auto"/>
              </w:rPr>
            </w:pPr>
          </w:p>
        </w:tc>
      </w:tr>
      <w:tr>
        <w:trPr>
          <w:trHeight w:val="648"/>
        </w:trPr>
        <w:tc>
          <w:tcPr>
            <w:tcW w:w="5560" w:type="dxa"/>
            <w:vAlign w:val="bottom"/>
            <w:gridSpan w:val="2"/>
          </w:tcPr>
          <w:p>
            <w:pPr>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4680" w:type="dxa"/>
            <w:vAlign w:val="bottom"/>
          </w:tcPr>
          <w:p>
            <w:pPr>
              <w:ind w:left="1940"/>
              <w:spacing w:after="0"/>
              <w:rPr>
                <w:sz w:val="20"/>
                <w:szCs w:val="20"/>
                <w:color w:val="auto"/>
              </w:rPr>
            </w:pPr>
            <w:r>
              <w:rPr>
                <w:rFonts w:ascii="Arial" w:cs="Arial" w:eastAsia="Arial" w:hAnsi="Arial"/>
                <w:sz w:val="18"/>
                <w:szCs w:val="18"/>
                <w:color w:val="auto"/>
              </w:rPr>
              <w:t>(Signature)</w:t>
            </w:r>
          </w:p>
        </w:tc>
        <w:tc>
          <w:tcPr>
            <w:tcW w:w="1220" w:type="dxa"/>
            <w:vAlign w:val="bottom"/>
          </w:tcPr>
          <w:p>
            <w:pPr>
              <w:spacing w:after="0"/>
              <w:rPr>
                <w:sz w:val="19"/>
                <w:szCs w:val="19"/>
                <w:color w:val="auto"/>
              </w:rPr>
            </w:pPr>
          </w:p>
        </w:tc>
        <w:tc>
          <w:tcPr>
            <w:tcW w:w="4460" w:type="dxa"/>
            <w:vAlign w:val="bottom"/>
          </w:tcPr>
          <w:p>
            <w:pPr>
              <w:ind w:left="182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56"/>
        </w:trPr>
        <w:tc>
          <w:tcPr>
            <w:tcW w:w="5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54"/>
        </w:trPr>
        <w:tc>
          <w:tcPr>
            <w:tcW w:w="8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680" w:type="dxa"/>
            <w:vAlign w:val="bottom"/>
            <w:tcBorders>
              <w:bottom w:val="single" w:sz="8" w:color="auto"/>
            </w:tcBorders>
          </w:tcPr>
          <w:p>
            <w:pPr>
              <w:spacing w:after="0"/>
              <w:rPr>
                <w:sz w:val="4"/>
                <w:szCs w:val="4"/>
                <w:color w:val="auto"/>
              </w:rPr>
            </w:pPr>
          </w:p>
        </w:tc>
        <w:tc>
          <w:tcPr>
            <w:tcW w:w="1220" w:type="dxa"/>
            <w:vAlign w:val="bottom"/>
            <w:vMerge w:val="restart"/>
          </w:tcPr>
          <w:p>
            <w:pPr>
              <w:ind w:left="340"/>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80" w:type="dxa"/>
            <w:vAlign w:val="bottom"/>
            <w:vMerge w:val="continue"/>
          </w:tcPr>
          <w:p>
            <w:pPr>
              <w:spacing w:after="0"/>
              <w:rPr>
                <w:sz w:val="18"/>
                <w:szCs w:val="18"/>
                <w:color w:val="auto"/>
              </w:rPr>
            </w:pPr>
          </w:p>
        </w:tc>
        <w:tc>
          <w:tcPr>
            <w:tcW w:w="46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Option Agreement, 2020 Equity Incentive Plan and Notice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2020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00" w:lineRule="exact"/>
        <w:rPr>
          <w:sz w:val="20"/>
          <w:szCs w:val="20"/>
          <w:color w:val="auto"/>
        </w:rPr>
      </w:pPr>
    </w:p>
    <w:p>
      <w:pPr>
        <w:spacing w:after="0" w:line="223"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6"/>
          <w:szCs w:val="16"/>
          <w:color w:val="auto"/>
        </w:rPr>
        <w:t>Pursuant to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xml:space="preserve">”) and this Option Agreement, </w:t>
      </w:r>
      <w:r>
        <w:rPr>
          <w:rFonts w:ascii="Arial" w:cs="Arial" w:eastAsia="Arial" w:hAnsi="Arial"/>
          <w:sz w:val="16"/>
          <w:szCs w:val="16"/>
          <w:b w:val="1"/>
          <w:bCs w:val="1"/>
          <w:color w:val="auto"/>
        </w:rPr>
        <w:t>Biodesix, Inc.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firstLine="872"/>
        <w:spacing w:after="0" w:line="282" w:lineRule="auto"/>
        <w:tabs>
          <w:tab w:leader="none" w:pos="1646"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Your option will vest as provided in your Grant Notice. Vesting will cease upon the termination of your Continuous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defined herein).</w:t>
      </w:r>
    </w:p>
    <w:p>
      <w:pPr>
        <w:spacing w:after="0" w:line="161" w:lineRule="exact"/>
        <w:rPr>
          <w:rFonts w:ascii="Arial" w:cs="Arial" w:eastAsia="Arial" w:hAnsi="Arial"/>
          <w:sz w:val="18"/>
          <w:szCs w:val="18"/>
          <w:b w:val="1"/>
          <w:bCs w:val="1"/>
          <w:color w:val="auto"/>
        </w:rPr>
      </w:pPr>
    </w:p>
    <w:p>
      <w:pPr>
        <w:ind w:firstLine="872"/>
        <w:spacing w:after="0" w:line="312" w:lineRule="auto"/>
        <w:tabs>
          <w:tab w:leader="none" w:pos="1646" w:val="left"/>
        </w:tabs>
        <w:numPr>
          <w:ilvl w:val="1"/>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Shares and Exercise Price</w:t>
      </w:r>
      <w:r>
        <w:rPr>
          <w:rFonts w:ascii="Arial" w:cs="Arial" w:eastAsia="Arial" w:hAnsi="Arial"/>
          <w:sz w:val="17"/>
          <w:szCs w:val="17"/>
          <w:color w:val="auto"/>
        </w:rPr>
        <w:t>. The number of shares of Common Stock subject to your option and your exercise price per</w:t>
      </w:r>
      <w:r>
        <w:rPr>
          <w:rFonts w:ascii="Arial" w:cs="Arial" w:eastAsia="Arial" w:hAnsi="Arial"/>
          <w:sz w:val="17"/>
          <w:szCs w:val="17"/>
          <w:b w:val="1"/>
          <w:bCs w:val="1"/>
          <w:color w:val="auto"/>
        </w:rPr>
        <w:t xml:space="preserve"> </w:t>
      </w:r>
      <w:r>
        <w:rPr>
          <w:rFonts w:ascii="Arial" w:cs="Arial" w:eastAsia="Arial" w:hAnsi="Arial"/>
          <w:sz w:val="17"/>
          <w:szCs w:val="17"/>
          <w:color w:val="auto"/>
        </w:rPr>
        <w:t>share in your Grant Notice will be adjusted in accordance with Section 5.7 of the Plan for changes in the capitalization of the Company.</w:t>
      </w:r>
    </w:p>
    <w:p>
      <w:pPr>
        <w:spacing w:after="0" w:line="139" w:lineRule="exact"/>
        <w:rPr>
          <w:rFonts w:ascii="Arial" w:cs="Arial" w:eastAsia="Arial" w:hAnsi="Arial"/>
          <w:sz w:val="17"/>
          <w:szCs w:val="17"/>
          <w:b w:val="1"/>
          <w:bCs w:val="1"/>
          <w:color w:val="auto"/>
        </w:rPr>
      </w:pPr>
    </w:p>
    <w:p>
      <w:pPr>
        <w:ind w:left="1660" w:hanging="788"/>
        <w:spacing w:after="0"/>
        <w:tabs>
          <w:tab w:leader="none" w:pos="1660"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Option Agreement, the following terms shall have the meanings set forth below.</w:t>
      </w:r>
    </w:p>
    <w:p>
      <w:pPr>
        <w:spacing w:after="0" w:line="229" w:lineRule="exact"/>
        <w:rPr>
          <w:rFonts w:ascii="Arial" w:cs="Arial" w:eastAsia="Arial" w:hAnsi="Arial"/>
          <w:sz w:val="18"/>
          <w:szCs w:val="18"/>
          <w:b w:val="1"/>
          <w:bCs w:val="1"/>
          <w:color w:val="auto"/>
        </w:rPr>
      </w:pPr>
    </w:p>
    <w:p>
      <w:pPr>
        <w:jc w:val="both"/>
        <w:ind w:firstLine="1735"/>
        <w:spacing w:after="0" w:line="286" w:lineRule="auto"/>
        <w:tabs>
          <w:tab w:leader="none" w:pos="2585" w:val="left"/>
        </w:tabs>
        <w:numPr>
          <w:ilvl w:val="2"/>
          <w:numId w:val="8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in any written agreement between you and the Company defining such term and which is in effect as of the Date of Grant and, in the absence of such agreement, such term means the occurrence of any of the following events: (i) your commission of any felony or any crime involving fraud, dishonesty or moral turpitude under the laws of the United States or any state thereof; (ii) your attempted commission of, or participation in, a fraud or act of dishonesty against the Company, or any of its employees or directors;</w:t>
      </w:r>
    </w:p>
    <w:p>
      <w:pPr>
        <w:spacing w:after="0" w:line="1" w:lineRule="exact"/>
        <w:rPr>
          <w:rFonts w:ascii="Arial" w:cs="Arial" w:eastAsia="Arial" w:hAnsi="Arial"/>
          <w:sz w:val="16"/>
          <w:szCs w:val="16"/>
          <w:b w:val="1"/>
          <w:bCs w:val="1"/>
          <w:color w:val="auto"/>
        </w:rPr>
      </w:pPr>
    </w:p>
    <w:p>
      <w:pPr>
        <w:jc w:val="both"/>
        <w:ind w:firstLine="8"/>
        <w:spacing w:after="0" w:line="287" w:lineRule="auto"/>
        <w:tabs>
          <w:tab w:leader="none" w:pos="342" w:val="left"/>
        </w:tabs>
        <w:numPr>
          <w:ilvl w:val="0"/>
          <w:numId w:val="83"/>
        </w:numPr>
        <w:rPr>
          <w:rFonts w:ascii="Arial" w:cs="Arial" w:eastAsia="Arial" w:hAnsi="Arial"/>
          <w:sz w:val="16"/>
          <w:szCs w:val="16"/>
          <w:color w:val="auto"/>
        </w:rPr>
      </w:pPr>
      <w:r>
        <w:rPr>
          <w:rFonts w:ascii="Arial" w:cs="Arial" w:eastAsia="Arial" w:hAnsi="Arial"/>
          <w:sz w:val="16"/>
          <w:szCs w:val="16"/>
          <w:color w:val="auto"/>
        </w:rPr>
        <w:t>your intentional, material violation of any contract or agreement between you and the Company, the Company’s employment policies, or of any statutory or other duty owed to the Company, (iv) your unauthorized use or disclosure of the Company’s confidential information or trade secrets; or (v) your gross misconduct. The determination that a termination of your Continuous Service is either for Cause or without Cause will be made by the Company (or, if you are subject to Section 16 of the Exchange Act, the Committee), in its sole discretion. Any determination by the Company that your Continuous Service was terminated with or without Cause for the purposes of this Option Agreement will have no effect upon any determination of the rights or obligations of the Company or you for any other purpose. Notwithstanding anything in the Plan or any award agreement to the contrary, the Company (or Committee, as applicable) may deem a termination or separation from service to be for Cause if, after such termination or separation (regardless of how originally designated), it discovers facts, circumstances or omissions that would constitute Cause if you were still employed.</w:t>
      </w:r>
    </w:p>
    <w:p>
      <w:pPr>
        <w:spacing w:after="0" w:line="169" w:lineRule="exact"/>
        <w:rPr>
          <w:rFonts w:ascii="Arial" w:cs="Arial" w:eastAsia="Arial" w:hAnsi="Arial"/>
          <w:sz w:val="16"/>
          <w:szCs w:val="16"/>
          <w:color w:val="auto"/>
        </w:rPr>
      </w:pPr>
    </w:p>
    <w:p>
      <w:pPr>
        <w:jc w:val="both"/>
        <w:ind w:firstLine="1735"/>
        <w:spacing w:after="0" w:line="255" w:lineRule="auto"/>
        <w:tabs>
          <w:tab w:leader="none" w:pos="2595" w:val="left"/>
        </w:tabs>
        <w:numPr>
          <w:ilvl w:val="2"/>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xml:space="preserve">” means that your service with the Company or a Subsidiary, whether as an employee, director or consultant, is not interrupted or terminated. A change in the capacity in which you render service to the Company or a Subsidiary as an employee, director or consultant or a change in the entity for which you render such service, provided that there is no interruption or termination of your service with the Company or a Subsidiary, will not terminate your Continuous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entity for which you are rendering services ceases to qualify as a Subsidiary, as determined by the Board in its sole discretion, your Continuous Service will be considered to have terminated on the date such entity ceases to qualify as a Subsidiary.</w:t>
      </w:r>
    </w:p>
    <w:p>
      <w:pPr>
        <w:spacing w:after="0" w:line="192" w:lineRule="exact"/>
        <w:rPr>
          <w:rFonts w:ascii="Arial" w:cs="Arial" w:eastAsia="Arial" w:hAnsi="Arial"/>
          <w:sz w:val="18"/>
          <w:szCs w:val="18"/>
          <w:b w:val="1"/>
          <w:bCs w:val="1"/>
          <w:color w:val="auto"/>
        </w:rPr>
      </w:pPr>
    </w:p>
    <w:p>
      <w:pPr>
        <w:ind w:firstLine="1735"/>
        <w:spacing w:after="0" w:line="277" w:lineRule="auto"/>
        <w:tabs>
          <w:tab w:leader="none" w:pos="2575" w:val="left"/>
        </w:tabs>
        <w:numPr>
          <w:ilvl w:val="2"/>
          <w:numId w:val="8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your inability to engage in any substantial gainful activity by reason of any medically determinable physical or mental impairment that can be expected to result in death or that has lasted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3" w:name="page164"/>
    <w:bookmarkEnd w:id="163"/>
    <w:p>
      <w:pPr>
        <w:spacing w:after="0" w:line="308" w:lineRule="auto"/>
        <w:rPr>
          <w:sz w:val="20"/>
          <w:szCs w:val="20"/>
          <w:color w:val="auto"/>
        </w:rPr>
      </w:pPr>
      <w:r>
        <w:rPr>
          <w:rFonts w:ascii="Arial" w:cs="Arial" w:eastAsia="Arial" w:hAnsi="Arial"/>
          <w:sz w:val="17"/>
          <w:szCs w:val="17"/>
          <w:color w:val="auto"/>
        </w:rPr>
        <w:t>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42" w:lineRule="exact"/>
        <w:rPr>
          <w:sz w:val="20"/>
          <w:szCs w:val="20"/>
          <w:color w:val="auto"/>
        </w:rPr>
      </w:pPr>
    </w:p>
    <w:p>
      <w:pPr>
        <w:jc w:val="both"/>
        <w:ind w:firstLine="872"/>
        <w:spacing w:after="0" w:line="285" w:lineRule="auto"/>
        <w:tabs>
          <w:tab w:leader="none" w:pos="1646"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Exercise and Method of Payment</w:t>
      </w:r>
      <w:r>
        <w:rPr>
          <w:rFonts w:ascii="Arial" w:cs="Arial" w:eastAsia="Arial" w:hAnsi="Arial"/>
          <w:sz w:val="16"/>
          <w:szCs w:val="16"/>
          <w:color w:val="auto"/>
        </w:rPr>
        <w:t>. Subject to the limitations set forth in this Option Agreement, you may exercise your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vested, (a) by delivering to the Company an Exercise Notice in the form prescribed by the Company specifying the number of whole shares of Common Stock to be purchased and by accompanying such notice with payment therefor in full (or by arranging for such payment to the Company’s satisfaction) either (i) in cash, (ii) to the extent permitted by the Company (or, if you are subject to Section 16 of the Exchange Act, the Committee), by delivery to the Company (either actual delivery or by attestation procedures established by the Company) of shares of Common Stock having an aggregate Fair Market Value, determined as of the date of exercise, equal to the aggregate purchase price payable pursuant to the option by reason of such exercise,</w:t>
      </w:r>
    </w:p>
    <w:p>
      <w:pPr>
        <w:spacing w:after="0" w:line="3" w:lineRule="exact"/>
        <w:rPr>
          <w:rFonts w:ascii="Arial" w:cs="Arial" w:eastAsia="Arial" w:hAnsi="Arial"/>
          <w:sz w:val="16"/>
          <w:szCs w:val="16"/>
          <w:b w:val="1"/>
          <w:bCs w:val="1"/>
          <w:color w:val="auto"/>
        </w:rPr>
      </w:pPr>
    </w:p>
    <w:p>
      <w:pPr>
        <w:jc w:val="both"/>
        <w:ind w:firstLine="8"/>
        <w:spacing w:after="0" w:line="268" w:lineRule="auto"/>
        <w:tabs>
          <w:tab w:leader="none" w:pos="33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the extent permitted by the Company (or, if you are subject to Section 16 of the Exchange Act, the Committee), by authorizing the Company to withhold whole shares of Common Stock which would otherwise be delivered having an aggregate Fair Market Value, determined as of the date of exercise, equal to the amount necessary to satisfy such obligation, (iv) except as may be prohibited by applicable law, in cash by a broker-dealer acceptable to the Company to whom you have submitted an irrevocable notice of exercise or (v) by a combination of (i), (ii) and (iii), and (b) by executing such documents as the Company may reasonably request. No share of Common Stock or certificate representing a share of Common Stock shall be issued or delivered until the full purchase price therefor and any withholding taxes thereon, as described in Section 11, have been paid. 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77" w:lineRule="exact"/>
        <w:rPr>
          <w:rFonts w:ascii="Arial" w:cs="Arial" w:eastAsia="Arial" w:hAnsi="Arial"/>
          <w:sz w:val="17"/>
          <w:szCs w:val="17"/>
          <w:color w:val="auto"/>
        </w:rPr>
      </w:pPr>
    </w:p>
    <w:p>
      <w:pPr>
        <w:jc w:val="both"/>
        <w:ind w:firstLine="872"/>
        <w:spacing w:after="0" w:line="256" w:lineRule="auto"/>
        <w:tabs>
          <w:tab w:leader="none" w:pos="1646"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In no event may you exercise your option unless the shares of Common Stock issuable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87" w:lineRule="exact"/>
        <w:rPr>
          <w:rFonts w:ascii="Arial" w:cs="Arial" w:eastAsia="Arial" w:hAnsi="Arial"/>
          <w:sz w:val="18"/>
          <w:szCs w:val="18"/>
          <w:b w:val="1"/>
          <w:bCs w:val="1"/>
          <w:color w:val="auto"/>
        </w:rPr>
      </w:pPr>
    </w:p>
    <w:p>
      <w:pPr>
        <w:ind w:firstLine="872"/>
        <w:spacing w:after="0" w:line="282" w:lineRule="auto"/>
        <w:tabs>
          <w:tab w:leader="none" w:pos="1646"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You may not exercise your option before the Date of Grant or after the expiration of the option’s term. Except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Grant Notice, the term of your option expires upon the earliest of the following:</w:t>
      </w:r>
    </w:p>
    <w:p>
      <w:pPr>
        <w:spacing w:after="0" w:line="165" w:lineRule="exact"/>
        <w:rPr>
          <w:rFonts w:ascii="Arial" w:cs="Arial" w:eastAsia="Arial" w:hAnsi="Arial"/>
          <w:sz w:val="18"/>
          <w:szCs w:val="18"/>
          <w:b w:val="1"/>
          <w:bCs w:val="1"/>
          <w:color w:val="auto"/>
        </w:rPr>
      </w:pPr>
    </w:p>
    <w:p>
      <w:pPr>
        <w:ind w:left="2600" w:hanging="865"/>
        <w:spacing w:after="0"/>
        <w:tabs>
          <w:tab w:leader="none" w:pos="260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5" w:lineRule="exact"/>
        <w:rPr>
          <w:rFonts w:ascii="Arial" w:cs="Arial" w:eastAsia="Arial" w:hAnsi="Arial"/>
          <w:sz w:val="18"/>
          <w:szCs w:val="18"/>
          <w:b w:val="1"/>
          <w:bCs w:val="1"/>
          <w:color w:val="auto"/>
        </w:rPr>
      </w:pPr>
    </w:p>
    <w:p>
      <w:pPr>
        <w:jc w:val="both"/>
        <w:ind w:firstLine="1735"/>
        <w:spacing w:after="0" w:line="291" w:lineRule="auto"/>
        <w:tabs>
          <w:tab w:leader="none" w:pos="2595" w:val="left"/>
        </w:tabs>
        <w:numPr>
          <w:ilvl w:val="2"/>
          <w:numId w:val="85"/>
        </w:numPr>
        <w:rPr>
          <w:rFonts w:ascii="Arial" w:cs="Arial" w:eastAsia="Arial" w:hAnsi="Arial"/>
          <w:sz w:val="16"/>
          <w:szCs w:val="16"/>
          <w:b w:val="1"/>
          <w:bCs w:val="1"/>
          <w:color w:val="auto"/>
        </w:rPr>
      </w:pPr>
      <w:r>
        <w:rPr>
          <w:rFonts w:ascii="Arial" w:cs="Arial" w:eastAsia="Arial" w:hAnsi="Arial"/>
          <w:sz w:val="16"/>
          <w:szCs w:val="16"/>
          <w:color w:val="auto"/>
        </w:rPr>
        <w:t xml:space="preserve">three months after the termination of your Continuous Service for any reason other than Cause, your Disability or your death (except as otherwise provided in Section 6(d)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(i) your Continuous Service terminates within six months after the Date of Grant, and (ii) you have vested in a portion of your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at the time of your termination of Continuous Service, your option will not expire until the earlier of (x) the later of (A) the date that is seven months after the Date of Grant, and (B) the date that is three months after the termination of your Continuous Service, and (y) the Expiration Date;</w:t>
      </w:r>
    </w:p>
    <w:p>
      <w:pPr>
        <w:spacing w:after="0" w:line="166" w:lineRule="exact"/>
        <w:rPr>
          <w:rFonts w:ascii="Arial" w:cs="Arial" w:eastAsia="Arial" w:hAnsi="Arial"/>
          <w:sz w:val="16"/>
          <w:szCs w:val="16"/>
          <w:b w:val="1"/>
          <w:bCs w:val="1"/>
          <w:color w:val="auto"/>
        </w:rPr>
      </w:pPr>
    </w:p>
    <w:p>
      <w:pPr>
        <w:ind w:left="2580" w:hanging="845"/>
        <w:spacing w:after="0"/>
        <w:tabs>
          <w:tab w:leader="none" w:pos="2580" w:val="left"/>
        </w:tabs>
        <w:numPr>
          <w:ilvl w:val="2"/>
          <w:numId w:val="85"/>
        </w:numPr>
        <w:rPr>
          <w:rFonts w:ascii="Arial" w:cs="Arial" w:eastAsia="Arial" w:hAnsi="Arial"/>
          <w:sz w:val="17"/>
          <w:szCs w:val="17"/>
          <w:b w:val="1"/>
          <w:bCs w:val="1"/>
          <w:color w:val="auto"/>
        </w:rPr>
      </w:pPr>
      <w:r>
        <w:rPr>
          <w:rFonts w:ascii="Arial" w:cs="Arial" w:eastAsia="Arial" w:hAnsi="Arial"/>
          <w:sz w:val="17"/>
          <w:szCs w:val="17"/>
          <w:color w:val="auto"/>
        </w:rPr>
        <w:t>12 months after the termination of your Continuous Service due to your Disability (except as otherwise provided in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6(d) below);</w:t>
      </w:r>
    </w:p>
    <w:p>
      <w:pPr>
        <w:spacing w:after="0" w:line="210" w:lineRule="exact"/>
        <w:rPr>
          <w:rFonts w:ascii="Arial" w:cs="Arial" w:eastAsia="Arial" w:hAnsi="Arial"/>
          <w:sz w:val="17"/>
          <w:szCs w:val="17"/>
          <w:b w:val="1"/>
          <w:bCs w:val="1"/>
          <w:color w:val="auto"/>
        </w:rPr>
      </w:pPr>
    </w:p>
    <w:p>
      <w:pPr>
        <w:ind w:firstLine="1735"/>
        <w:spacing w:after="0" w:line="277" w:lineRule="auto"/>
        <w:tabs>
          <w:tab w:leader="none" w:pos="2595"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either during your Continuous Service or within three (3) months after your Continuous Service terminates for any reason other than Cause; or</w:t>
      </w:r>
    </w:p>
    <w:p>
      <w:pPr>
        <w:spacing w:after="0" w:line="170" w:lineRule="exact"/>
        <w:rPr>
          <w:rFonts w:ascii="Arial" w:cs="Arial" w:eastAsia="Arial" w:hAnsi="Arial"/>
          <w:sz w:val="18"/>
          <w:szCs w:val="18"/>
          <w:b w:val="1"/>
          <w:bCs w:val="1"/>
          <w:color w:val="auto"/>
        </w:rPr>
      </w:pPr>
    </w:p>
    <w:p>
      <w:pPr>
        <w:ind w:left="2580" w:hanging="845"/>
        <w:spacing w:after="0"/>
        <w:tabs>
          <w:tab w:leader="none" w:pos="2580"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4" w:name="page165"/>
    <w:bookmarkEnd w:id="164"/>
    <w:p>
      <w:pPr>
        <w:jc w:val="both"/>
        <w:ind w:firstLine="864"/>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 Subsidiary,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 Subsidiary as a consultant or director after your employment terminates or if you otherwise exercise your option more than three months after the date your employment with the Company or a Subsidiary terminates.</w:t>
      </w:r>
    </w:p>
    <w:p>
      <w:pPr>
        <w:spacing w:after="0" w:line="160" w:lineRule="exact"/>
        <w:rPr>
          <w:sz w:val="20"/>
          <w:szCs w:val="20"/>
          <w:color w:val="auto"/>
        </w:rPr>
      </w:pPr>
    </w:p>
    <w:p>
      <w:pPr>
        <w:ind w:firstLine="872"/>
        <w:spacing w:after="0" w:line="282" w:lineRule="auto"/>
        <w:tabs>
          <w:tab w:leader="none" w:pos="164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r>
        <w:rPr>
          <w:rFonts w:ascii="Arial" w:cs="Arial" w:eastAsia="Arial" w:hAnsi="Arial"/>
          <w:sz w:val="18"/>
          <w:szCs w:val="18"/>
          <w:color w:val="auto"/>
        </w:rPr>
        <w:t>. Except as otherwise provided in this Section 7, your option is not transferable, except by will or by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 and is exercisable during your life only by you.</w:t>
      </w:r>
    </w:p>
    <w:p>
      <w:pPr>
        <w:spacing w:after="0" w:line="161" w:lineRule="exact"/>
        <w:rPr>
          <w:rFonts w:ascii="Arial" w:cs="Arial" w:eastAsia="Arial" w:hAnsi="Arial"/>
          <w:sz w:val="18"/>
          <w:szCs w:val="18"/>
          <w:b w:val="1"/>
          <w:bCs w:val="1"/>
          <w:color w:val="auto"/>
        </w:rPr>
      </w:pPr>
    </w:p>
    <w:p>
      <w:pPr>
        <w:jc w:val="both"/>
        <w:ind w:firstLine="1735"/>
        <w:spacing w:after="0" w:line="266" w:lineRule="auto"/>
        <w:tabs>
          <w:tab w:leader="none" w:pos="2585"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Certain Trusts</w:t>
      </w:r>
      <w:r>
        <w:rPr>
          <w:rFonts w:ascii="Arial" w:cs="Arial" w:eastAsia="Arial" w:hAnsi="Arial"/>
          <w:sz w:val="18"/>
          <w:szCs w:val="18"/>
          <w:color w:val="auto"/>
        </w:rPr>
        <w:t>. Upon receiving written permission from the Board or its duly authorized designee, you may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5" w:lineRule="exact"/>
        <w:rPr>
          <w:rFonts w:ascii="Arial" w:cs="Arial" w:eastAsia="Arial" w:hAnsi="Arial"/>
          <w:sz w:val="18"/>
          <w:szCs w:val="18"/>
          <w:b w:val="1"/>
          <w:bCs w:val="1"/>
          <w:color w:val="auto"/>
        </w:rPr>
      </w:pPr>
    </w:p>
    <w:p>
      <w:pPr>
        <w:jc w:val="both"/>
        <w:ind w:firstLine="1735"/>
        <w:spacing w:after="0" w:line="273" w:lineRule="auto"/>
        <w:tabs>
          <w:tab w:leader="none" w:pos="2595" w:val="left"/>
        </w:tabs>
        <w:numPr>
          <w:ilvl w:val="1"/>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Domestic Relations Orders</w:t>
      </w:r>
      <w:r>
        <w:rPr>
          <w:rFonts w:ascii="Arial" w:cs="Arial" w:eastAsia="Arial" w:hAnsi="Arial"/>
          <w:sz w:val="17"/>
          <w:szCs w:val="17"/>
          <w:color w:val="auto"/>
        </w:rPr>
        <w:t>. Upon receiving written permission from the Board or its duly authorized designee,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71" w:lineRule="exact"/>
        <w:rPr>
          <w:rFonts w:ascii="Arial" w:cs="Arial" w:eastAsia="Arial" w:hAnsi="Arial"/>
          <w:sz w:val="17"/>
          <w:szCs w:val="17"/>
          <w:b w:val="1"/>
          <w:bCs w:val="1"/>
          <w:color w:val="auto"/>
        </w:rPr>
      </w:pPr>
    </w:p>
    <w:p>
      <w:pPr>
        <w:jc w:val="both"/>
        <w:ind w:firstLine="1735"/>
        <w:spacing w:after="0" w:line="277" w:lineRule="auto"/>
        <w:tabs>
          <w:tab w:leader="none" w:pos="2575" w:val="left"/>
        </w:tabs>
        <w:numPr>
          <w:ilvl w:val="1"/>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r>
        <w:rPr>
          <w:rFonts w:ascii="Arial" w:cs="Arial" w:eastAsia="Arial" w:hAnsi="Arial"/>
          <w:sz w:val="17"/>
          <w:szCs w:val="17"/>
          <w:color w:val="auto"/>
        </w:rPr>
        <w:t>. Upon receiving written permission from the Board or its duly authorized designee, you may,</w:t>
      </w:r>
      <w:r>
        <w:rPr>
          <w:rFonts w:ascii="Arial" w:cs="Arial" w:eastAsia="Arial" w:hAnsi="Arial"/>
          <w:sz w:val="17"/>
          <w:szCs w:val="17"/>
          <w:b w:val="1"/>
          <w:bCs w:val="1"/>
          <w:color w:val="auto"/>
        </w:rPr>
        <w:t xml:space="preserve"> </w:t>
      </w:r>
      <w:r>
        <w:rPr>
          <w:rFonts w:ascii="Arial" w:cs="Arial" w:eastAsia="Arial" w:hAnsi="Arial"/>
          <w:sz w:val="17"/>
          <w:szCs w:val="17"/>
          <w:color w:val="auto"/>
        </w:rPr>
        <w:t>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67" w:lineRule="exact"/>
        <w:rPr>
          <w:rFonts w:ascii="Arial" w:cs="Arial" w:eastAsia="Arial" w:hAnsi="Arial"/>
          <w:sz w:val="17"/>
          <w:szCs w:val="17"/>
          <w:b w:val="1"/>
          <w:bCs w:val="1"/>
          <w:color w:val="auto"/>
        </w:rPr>
      </w:pPr>
    </w:p>
    <w:p>
      <w:pPr>
        <w:jc w:val="both"/>
        <w:ind w:firstLine="872"/>
        <w:spacing w:after="0" w:line="281" w:lineRule="auto"/>
        <w:tabs>
          <w:tab w:leader="none" w:pos="1646"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Issuance or Delivery of Shares</w:t>
      </w:r>
      <w:r>
        <w:rPr>
          <w:rFonts w:ascii="Arial" w:cs="Arial" w:eastAsia="Arial" w:hAnsi="Arial"/>
          <w:sz w:val="17"/>
          <w:szCs w:val="17"/>
          <w:color w:val="auto"/>
        </w:rPr>
        <w:t>. Upon the exercise of the option, in whole or in part, the Company shall issue or deliver,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conditions of this Option Agreement, the number of shares of Common Stock purchased against full payment therefor. Such issuance shall be evidenced by the appropriate entry on the books of the Company or of a duly authorized transfer agent of the Company. The Company shall pay all original issue or transfer taxes and all fees and expenses incident to such issuance, except as otherwise provided in Section 11.</w:t>
      </w:r>
    </w:p>
    <w:p>
      <w:pPr>
        <w:spacing w:after="0" w:line="164" w:lineRule="exact"/>
        <w:rPr>
          <w:rFonts w:ascii="Arial" w:cs="Arial" w:eastAsia="Arial" w:hAnsi="Arial"/>
          <w:sz w:val="17"/>
          <w:szCs w:val="17"/>
          <w:b w:val="1"/>
          <w:bCs w:val="1"/>
          <w:color w:val="auto"/>
        </w:rPr>
      </w:pPr>
    </w:p>
    <w:p>
      <w:pPr>
        <w:jc w:val="both"/>
        <w:ind w:firstLine="872"/>
        <w:spacing w:after="0" w:line="261" w:lineRule="auto"/>
        <w:tabs>
          <w:tab w:leader="none" w:pos="164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Option Confers No Rights as Stockholder</w:t>
      </w:r>
      <w:r>
        <w:rPr>
          <w:rFonts w:ascii="Arial" w:cs="Arial" w:eastAsia="Arial" w:hAnsi="Arial"/>
          <w:sz w:val="18"/>
          <w:szCs w:val="18"/>
          <w:color w:val="auto"/>
        </w:rPr>
        <w:t>. You shall not be entitled to any privileges of ownership with respect to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the option unless and until such shares are purchased and issued upon the exercise of the option, in whole or in part, and you become a stockholder of record with respect to such issued shares. You shall not be considered a stockholder of the Company with respect to any such shares not so purchased and issued.</w:t>
      </w:r>
    </w:p>
    <w:p>
      <w:pPr>
        <w:spacing w:after="0" w:line="179" w:lineRule="exact"/>
        <w:rPr>
          <w:rFonts w:ascii="Arial" w:cs="Arial" w:eastAsia="Arial" w:hAnsi="Arial"/>
          <w:sz w:val="18"/>
          <w:szCs w:val="18"/>
          <w:b w:val="1"/>
          <w:bCs w:val="1"/>
          <w:color w:val="auto"/>
        </w:rPr>
      </w:pPr>
    </w:p>
    <w:p>
      <w:pPr>
        <w:jc w:val="both"/>
        <w:ind w:firstLine="872"/>
        <w:spacing w:after="0" w:line="258" w:lineRule="auto"/>
        <w:tabs>
          <w:tab w:leader="none" w:pos="173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Option not a Service Contract</w:t>
      </w:r>
      <w:r>
        <w:rPr>
          <w:rFonts w:ascii="Arial" w:cs="Arial" w:eastAsia="Arial" w:hAnsi="Arial"/>
          <w:sz w:val="18"/>
          <w:szCs w:val="18"/>
          <w:color w:val="auto"/>
        </w:rPr>
        <w:t>. Your option is not an employment or service contract, and nothing in your option will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create in any way whatsoever any obligation on your part to continue in the employ or service of the Company or an affiliate, or of the Company or an affiliate to continue your employment or service.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5" w:name="page166"/>
    <w:bookmarkEnd w:id="165"/>
    <w:p>
      <w:pPr>
        <w:ind w:left="868" w:hanging="868"/>
        <w:spacing w:after="0"/>
        <w:tabs>
          <w:tab w:leader="none" w:pos="86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872" w:firstLine="1735"/>
        <w:spacing w:after="0" w:line="296" w:lineRule="auto"/>
        <w:tabs>
          <w:tab w:leader="none" w:pos="1713"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auto"/>
        </w:rPr>
        <w:t>As a condition precedent to the issuance of Common Stock following the exercise of the option, you shall, upon request by the Company, pay to the Company in addition to the purchase price of the shares, such amount as the Company determines is required, under all applicable federal, state, local or other laws or regulations, to be withheld and paid over as income or other withholding taxes (the “</w:t>
      </w:r>
      <w:r>
        <w:rPr>
          <w:rFonts w:ascii="Arial" w:cs="Arial" w:eastAsia="Arial" w:hAnsi="Arial"/>
          <w:sz w:val="16"/>
          <w:szCs w:val="16"/>
          <w:b w:val="1"/>
          <w:bCs w:val="1"/>
          <w:i w:val="1"/>
          <w:iCs w:val="1"/>
          <w:color w:val="auto"/>
        </w:rPr>
        <w:t>Required Tax</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Payments</w:t>
      </w:r>
      <w:r>
        <w:rPr>
          <w:rFonts w:ascii="Arial" w:cs="Arial" w:eastAsia="Arial" w:hAnsi="Arial"/>
          <w:sz w:val="16"/>
          <w:szCs w:val="16"/>
          <w:color w:val="auto"/>
        </w:rPr>
        <w:t>”) with respect to such exercise of the option. If you shall fail to advance the Required Tax Payments after request by the Company,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in its discretion, deduct any Required Tax Payments from any amount then or thereafter payable by the Company to you.</w:t>
      </w:r>
    </w:p>
    <w:p>
      <w:pPr>
        <w:spacing w:after="0" w:line="161" w:lineRule="exact"/>
        <w:rPr>
          <w:rFonts w:ascii="Arial" w:cs="Arial" w:eastAsia="Arial" w:hAnsi="Arial"/>
          <w:sz w:val="16"/>
          <w:szCs w:val="16"/>
          <w:b w:val="1"/>
          <w:bCs w:val="1"/>
          <w:color w:val="auto"/>
        </w:rPr>
      </w:pPr>
    </w:p>
    <w:p>
      <w:pPr>
        <w:jc w:val="both"/>
        <w:ind w:left="-872" w:firstLine="1735"/>
        <w:spacing w:after="0" w:line="287" w:lineRule="auto"/>
        <w:tabs>
          <w:tab w:leader="none" w:pos="1724" w:val="left"/>
        </w:tabs>
        <w:numPr>
          <w:ilvl w:val="1"/>
          <w:numId w:val="87"/>
        </w:numPr>
        <w:rPr>
          <w:rFonts w:ascii="Arial" w:cs="Arial" w:eastAsia="Arial" w:hAnsi="Arial"/>
          <w:sz w:val="16"/>
          <w:szCs w:val="16"/>
          <w:b w:val="1"/>
          <w:bCs w:val="1"/>
          <w:color w:val="auto"/>
        </w:rPr>
      </w:pPr>
      <w:r>
        <w:rPr>
          <w:rFonts w:ascii="Arial" w:cs="Arial" w:eastAsia="Arial" w:hAnsi="Arial"/>
          <w:sz w:val="16"/>
          <w:szCs w:val="16"/>
          <w:color w:val="auto"/>
        </w:rPr>
        <w:t>You may elect to satisfy your obligation to advance the Required Tax Payments by any of the following means: (i) a cash payment to the Company; (ii) to the extent permitted by the Company (or, if you are subject to Section 16 of the Exchange Act, the Committee), delivery to the Company (either actual delivery or by attestation procedures established by the Company) of previously owned whole shares of Common Stock having an aggregate Fair Market Value, determined as of the date on which such withholding obligation arises (the “</w:t>
      </w:r>
      <w:r>
        <w:rPr>
          <w:rFonts w:ascii="Arial" w:cs="Arial" w:eastAsia="Arial" w:hAnsi="Arial"/>
          <w:sz w:val="16"/>
          <w:szCs w:val="16"/>
          <w:b w:val="1"/>
          <w:bCs w:val="1"/>
          <w:i w:val="1"/>
          <w:iCs w:val="1"/>
          <w:color w:val="auto"/>
        </w:rPr>
        <w:t>Tax Date</w:t>
      </w:r>
      <w:r>
        <w:rPr>
          <w:rFonts w:ascii="Arial" w:cs="Arial" w:eastAsia="Arial" w:hAnsi="Arial"/>
          <w:sz w:val="16"/>
          <w:szCs w:val="16"/>
          <w:color w:val="auto"/>
        </w:rPr>
        <w:t>”), equal to the Required Tax Payments; (iii) to the extent permitted by the Company (or, if you are subject to Section 16 of the Exchange Act, the Committee), authorizing the Company to withhold whole shares of Common Stock which would otherwise be delivered to you upon exercise of the option having an aggregate Fair Market Value, determined as of the Tax Date, equal to the Required Tax Payments; (iv) except as may be prohibited by applicable law, a cash payment by a broker-dealer acceptable to the Company to whom you have submitted an irrevocable notice of exercise or (v) any combination of (i), (ii) and (iii). Shares of Common Stock to be delivered or withheld may not have a Fair Market Value in excess of the amount determined by applying the maximum individual statutory tax rate in your jurisdiction; provided that the Company shall be permitted to limit the number of shares so withheld to a lesser number if necessary, as determined by the Company, to avoid adverse accounting consequences or for administrative convenience. No share of Common Stock or certificate representing a share of Common Stock shall be issued or delivered until the Required Tax Payments have been satisfied in full.</w:t>
      </w:r>
    </w:p>
    <w:p>
      <w:pPr>
        <w:spacing w:after="0" w:line="163" w:lineRule="exact"/>
        <w:rPr>
          <w:rFonts w:ascii="Arial" w:cs="Arial" w:eastAsia="Arial" w:hAnsi="Arial"/>
          <w:sz w:val="16"/>
          <w:szCs w:val="16"/>
          <w:b w:val="1"/>
          <w:bCs w:val="1"/>
          <w:color w:val="auto"/>
        </w:rPr>
      </w:pPr>
    </w:p>
    <w:p>
      <w:pPr>
        <w:jc w:val="both"/>
        <w:ind w:left="-872" w:firstLine="872"/>
        <w:spacing w:after="0" w:line="266" w:lineRule="auto"/>
        <w:tabs>
          <w:tab w:leader="none" w:pos="865"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w:t>
      </w:r>
      <w:r>
        <w:rPr>
          <w:rFonts w:ascii="Arial" w:cs="Arial" w:eastAsia="Arial" w:hAnsi="Arial"/>
          <w:sz w:val="18"/>
          <w:szCs w:val="18"/>
          <w:color w:val="auto"/>
        </w:rPr>
        <w:t>. You hereby agree that the Company does not have a duty to design or administer the Plan or its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programs in a manner that minimizes your tax liabilities. You will not make any claim against the Company, or any of its officers, directors, employees, affiliates or representatives related to tax liabilities arising from your option or your other compensation.</w:t>
      </w:r>
    </w:p>
    <w:p>
      <w:pPr>
        <w:spacing w:after="0" w:line="175" w:lineRule="exact"/>
        <w:rPr>
          <w:rFonts w:ascii="Arial" w:cs="Arial" w:eastAsia="Arial" w:hAnsi="Arial"/>
          <w:sz w:val="18"/>
          <w:szCs w:val="18"/>
          <w:b w:val="1"/>
          <w:bCs w:val="1"/>
          <w:color w:val="auto"/>
        </w:rPr>
      </w:pPr>
    </w:p>
    <w:p>
      <w:pPr>
        <w:jc w:val="both"/>
        <w:ind w:left="-872" w:firstLine="872"/>
        <w:spacing w:after="0" w:line="274" w:lineRule="auto"/>
        <w:tabs>
          <w:tab w:leader="none" w:pos="865"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notices provided for in your option or the Plan will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b w:val="1"/>
          <w:bCs w:val="1"/>
          <w:color w:val="auto"/>
        </w:rPr>
      </w:pPr>
    </w:p>
    <w:p>
      <w:pPr>
        <w:jc w:val="both"/>
        <w:ind w:left="-872" w:firstLine="872"/>
        <w:spacing w:after="0" w:line="266" w:lineRule="auto"/>
        <w:tabs>
          <w:tab w:leader="none" w:pos="865"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Decisions of Board or Committee</w:t>
      </w:r>
      <w:r>
        <w:rPr>
          <w:rFonts w:ascii="Arial" w:cs="Arial" w:eastAsia="Arial" w:hAnsi="Arial"/>
          <w:sz w:val="18"/>
          <w:szCs w:val="18"/>
          <w:color w:val="auto"/>
        </w:rPr>
        <w:t>. The Board or the Committee shall have the right to resolve all questions which may arise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option or its exercise. Any interpretation, determination or other action made or taken by the Board or the Committee regarding the Plan or this Option Agreement shall be final, binding and conclusive.</w:t>
      </w:r>
    </w:p>
    <w:p>
      <w:pPr>
        <w:spacing w:after="0" w:line="175" w:lineRule="exact"/>
        <w:rPr>
          <w:rFonts w:ascii="Arial" w:cs="Arial" w:eastAsia="Arial" w:hAnsi="Arial"/>
          <w:sz w:val="18"/>
          <w:szCs w:val="18"/>
          <w:b w:val="1"/>
          <w:bCs w:val="1"/>
          <w:color w:val="auto"/>
        </w:rPr>
      </w:pPr>
    </w:p>
    <w:p>
      <w:pPr>
        <w:ind w:left="-872" w:firstLine="872"/>
        <w:spacing w:after="0" w:line="347" w:lineRule="auto"/>
        <w:tabs>
          <w:tab w:leader="none" w:pos="865"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r>
        <w:rPr>
          <w:rFonts w:ascii="Arial" w:cs="Arial" w:eastAsia="Arial" w:hAnsi="Arial"/>
          <w:sz w:val="16"/>
          <w:szCs w:val="16"/>
          <w:color w:val="auto"/>
        </w:rPr>
        <w:t>. This Option Agreement shall be binding upon and inure to the benefit of any successor or successors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person or persons who shall, upon your death, acquire any rights hereunder in accordance with this Option Agreement or the Plan.</w:t>
      </w:r>
    </w:p>
    <w:p>
      <w:pPr>
        <w:spacing w:after="0" w:line="115" w:lineRule="exact"/>
        <w:rPr>
          <w:rFonts w:ascii="Arial" w:cs="Arial" w:eastAsia="Arial" w:hAnsi="Arial"/>
          <w:sz w:val="16"/>
          <w:szCs w:val="16"/>
          <w:b w:val="1"/>
          <w:bCs w:val="1"/>
          <w:color w:val="auto"/>
        </w:rPr>
      </w:pPr>
    </w:p>
    <w:p>
      <w:pPr>
        <w:jc w:val="both"/>
        <w:ind w:left="-872" w:firstLine="872"/>
        <w:spacing w:after="0" w:line="258" w:lineRule="auto"/>
        <w:tabs>
          <w:tab w:leader="none" w:pos="865"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Protected Rights</w:t>
      </w:r>
      <w:r>
        <w:rPr>
          <w:rFonts w:ascii="Arial" w:cs="Arial" w:eastAsia="Arial" w:hAnsi="Arial"/>
          <w:sz w:val="18"/>
          <w:szCs w:val="18"/>
          <w:color w:val="auto"/>
        </w:rPr>
        <w:t>. Pursuant to 18 U.S.C. § 1833(b), “an individual shall not be held criminally or civilly liable under any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you have the right to disclose in confidence trade secrets to federal, state, and local government officials, or to an attorney, for the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402590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7" w:right="339" w:bottom="1440" w:gutter="0" w:footer="0" w:header="0"/>
        </w:sectPr>
      </w:pPr>
    </w:p>
    <w:bookmarkStart w:id="166" w:name="page167"/>
    <w:bookmarkEnd w:id="166"/>
    <w:p>
      <w:pPr>
        <w:jc w:val="both"/>
        <w:spacing w:after="0" w:line="270" w:lineRule="auto"/>
        <w:rPr>
          <w:sz w:val="20"/>
          <w:szCs w:val="20"/>
          <w:color w:val="auto"/>
        </w:rPr>
      </w:pPr>
      <w:r>
        <w:rPr>
          <w:rFonts w:ascii="Arial" w:cs="Arial" w:eastAsia="Arial" w:hAnsi="Arial"/>
          <w:sz w:val="17"/>
          <w:szCs w:val="17"/>
          <w:color w:val="auto"/>
        </w:rPr>
        <w:t>purpose of reporting or investigating a suspected violation of law. You also have the right to disclose trade secrets in a document filed in a lawsuit or other proceeding, but only if the filing is made under seal and protected from public disclosure. Nothing in this Option Agreement is intended to conflict with 18 U.S.C. § 1833(b) or create liability for disclosures of trade secrets that are expressly allowed by 18 U.S.C. § 1833(b). You understand that nothing contained in this Option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Arial" w:cs="Arial" w:eastAsia="Arial" w:hAnsi="Arial"/>
          <w:sz w:val="17"/>
          <w:szCs w:val="17"/>
          <w:b w:val="1"/>
          <w:bCs w:val="1"/>
          <w:i w:val="1"/>
          <w:iCs w:val="1"/>
          <w:color w:val="auto"/>
        </w:rPr>
        <w:t>Government Agencies</w:t>
      </w:r>
      <w:r>
        <w:rPr>
          <w:rFonts w:ascii="Arial" w:cs="Arial" w:eastAsia="Arial" w:hAnsi="Arial"/>
          <w:sz w:val="17"/>
          <w:szCs w:val="17"/>
          <w:color w:val="auto"/>
        </w:rPr>
        <w:t>”). You further understand that this Option Agreement does not limit your ability to communicate with any Government Agencies or otherwise participate in any investigation or proceeding that may be conducted by any Government Agency, including providing documents or other information, without notice to the Company. This Option Agreement does not limit your right to receive an award for information provided to any Government Agencies.</w:t>
      </w:r>
    </w:p>
    <w:p>
      <w:pPr>
        <w:spacing w:after="0" w:line="177" w:lineRule="exact"/>
        <w:rPr>
          <w:sz w:val="20"/>
          <w:szCs w:val="20"/>
          <w:color w:val="auto"/>
        </w:rPr>
      </w:pPr>
    </w:p>
    <w:p>
      <w:pPr>
        <w:jc w:val="both"/>
        <w:ind w:firstLine="872"/>
        <w:spacing w:after="0" w:line="314" w:lineRule="auto"/>
        <w:tabs>
          <w:tab w:leader="none" w:pos="1736"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Plan Document</w:t>
      </w:r>
      <w:r>
        <w:rPr>
          <w:rFonts w:ascii="Arial" w:cs="Arial" w:eastAsia="Arial" w:hAnsi="Arial"/>
          <w:sz w:val="16"/>
          <w:szCs w:val="16"/>
          <w:color w:val="auto"/>
        </w:rPr>
        <w:t>. Your option is subject to all the provisions of the Plan, the provisions of which are hereby made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BIODESIX,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This constitutes notice to </w:t>
      </w:r>
      <w:r>
        <w:rPr>
          <w:rFonts w:ascii="Arial" w:cs="Arial" w:eastAsia="Arial" w:hAnsi="Arial"/>
          <w:sz w:val="18"/>
          <w:szCs w:val="18"/>
          <w:b w:val="1"/>
          <w:bCs w:val="1"/>
          <w:color w:val="auto"/>
        </w:rPr>
        <w:t>Biodesix, Inc.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 Use of certain payment methods is subject to Company and/or Committee consent and certain additional requirements set forth in the Option Agreement and the Plan. If the Company uses an electronic capitalization table system (such as Carta or Shareworks) and the fields below are blank, the blank fields shall be deemed to come from the electronic capitalization system and is considered part of this Notice of Exercise.</w:t>
      </w:r>
    </w:p>
    <w:p>
      <w:pPr>
        <w:sectPr>
          <w:pgSz w:w="11900" w:h="16838" w:orient="portrait"/>
          <w:cols w:equalWidth="0" w:num="1">
            <w:col w:w="11240"/>
          </w:cols>
          <w:pgMar w:left="320" w:top="553" w:right="3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Type of option (check 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dated: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as to which option is exercised: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to be issued in name of:</w:t>
      </w:r>
      <w:r>
        <w:rPr>
          <w:rFonts w:ascii="Arial" w:cs="Arial" w:eastAsia="Arial" w:hAnsi="Arial"/>
          <w:sz w:val="15"/>
          <w:szCs w:val="15"/>
          <w:color w:val="auto"/>
        </w:rPr>
        <w:t>3</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Exercise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of Exercise: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4</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Value of _________ Shares delivered with this notice:</w:t>
      </w:r>
      <w:r>
        <w:rPr>
          <w:rFonts w:ascii="Arial" w:cs="Arial" w:eastAsia="Arial" w:hAnsi="Arial"/>
          <w:sz w:val="15"/>
          <w:szCs w:val="15"/>
          <w:color w:val="auto"/>
        </w:rPr>
        <w:t>5</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Value of _________ Shares withheld pursuant to net exercise: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07" w:lineRule="exact"/>
        <w:tabs>
          <w:tab w:leader="none" w:pos="1160" w:val="left"/>
        </w:tabs>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Nonstatutory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1612900</wp:posOffset>
            </wp:positionV>
            <wp:extent cx="30003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1467485</wp:posOffset>
            </wp:positionV>
            <wp:extent cx="30003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1321435</wp:posOffset>
            </wp:positionV>
            <wp:extent cx="30003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1176020</wp:posOffset>
            </wp:positionV>
            <wp:extent cx="30003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1029970</wp:posOffset>
            </wp:positionV>
            <wp:extent cx="30003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473075</wp:posOffset>
            </wp:positionV>
            <wp:extent cx="30003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327025</wp:posOffset>
            </wp:positionV>
            <wp:extent cx="30003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181610</wp:posOffset>
            </wp:positionV>
            <wp:extent cx="30003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35560</wp:posOffset>
            </wp:positionV>
            <wp:extent cx="30003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-86360</wp:posOffset>
            </wp:positionV>
            <wp:extent cx="86995" cy="882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-86360</wp:posOffset>
            </wp:positionV>
            <wp:extent cx="86995" cy="882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94" w:lineRule="exact"/>
        <w:rPr>
          <w:sz w:val="20"/>
          <w:szCs w:val="20"/>
          <w:color w:val="auto"/>
        </w:rPr>
      </w:pPr>
    </w:p>
    <w:p>
      <w:pPr>
        <w:sectPr>
          <w:pgSz w:w="11900" w:h="16838" w:orient="portrait"/>
          <w:cols w:equalWidth="0" w:num="2">
            <w:col w:w="7320" w:space="720"/>
            <w:col w:w="3200"/>
          </w:cols>
          <w:pgMar w:left="320" w:top="553" w:right="339" w:bottom="1440" w:gutter="0" w:footer="0" w:header="0"/>
          <w:type w:val="continuous"/>
        </w:sectPr>
      </w:pP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Plan, (ii) to provide for the payment by me to you (in the manner designated by you) of your withholding obligation, if any, relating to the exercise of this 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spacing w:after="0" w:line="2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82"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-130175</wp:posOffset>
            </wp:positionV>
            <wp:extent cx="2674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-130175</wp:posOffset>
            </wp:positionV>
            <wp:extent cx="26746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306070</wp:posOffset>
            </wp:positionV>
            <wp:extent cx="2674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160655</wp:posOffset>
            </wp:positionV>
            <wp:extent cx="2674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14230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6"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28"/>
          <w:szCs w:val="28"/>
          <w:color w:val="auto"/>
          <w:vertAlign w:val="superscript"/>
        </w:rPr>
      </w:pPr>
      <w:r>
        <w:rPr>
          <w:rFonts w:ascii="Arial" w:cs="Arial" w:eastAsia="Arial" w:hAnsi="Arial"/>
          <w:sz w:val="16"/>
          <w:szCs w:val="16"/>
          <w:color w:val="auto"/>
        </w:rPr>
        <w:t>If left blank, will be issued in the name of the option holder.</w:t>
      </w:r>
    </w:p>
    <w:p>
      <w:pPr>
        <w:ind w:left="120" w:hanging="112"/>
        <w:spacing w:after="0" w:line="183" w:lineRule="auto"/>
        <w:tabs>
          <w:tab w:leader="none" w:pos="120" w:val="left"/>
        </w:tabs>
        <w:numPr>
          <w:ilvl w:val="0"/>
          <w:numId w:val="90"/>
        </w:numPr>
        <w:rPr>
          <w:rFonts w:ascii="Arial" w:cs="Arial" w:eastAsia="Arial" w:hAnsi="Arial"/>
          <w:sz w:val="23"/>
          <w:szCs w:val="23"/>
          <w:color w:val="auto"/>
          <w:vertAlign w:val="superscript"/>
        </w:rPr>
      </w:pPr>
      <w:r>
        <w:rPr>
          <w:rFonts w:ascii="Arial" w:cs="Arial" w:eastAsia="Arial" w:hAnsi="Arial"/>
          <w:sz w:val="14"/>
          <w:szCs w:val="14"/>
          <w:color w:val="auto"/>
        </w:rPr>
        <w:t>Cash may be in the form of cash, check, bank draft, electronic funds transfer or money order payment.</w:t>
      </w:r>
    </w:p>
    <w:p>
      <w:pPr>
        <w:spacing w:after="0" w:line="6" w:lineRule="exact"/>
        <w:rPr>
          <w:sz w:val="20"/>
          <w:szCs w:val="20"/>
          <w:color w:val="auto"/>
        </w:rPr>
      </w:pPr>
    </w:p>
    <w:p>
      <w:pPr>
        <w:ind w:left="120" w:right="20" w:hanging="112"/>
        <w:spacing w:after="0" w:line="189" w:lineRule="auto"/>
        <w:tabs>
          <w:tab w:leader="none" w:pos="120" w:val="left"/>
        </w:tabs>
        <w:numPr>
          <w:ilvl w:val="0"/>
          <w:numId w:val="91"/>
        </w:numPr>
        <w:rPr>
          <w:rFonts w:ascii="Arial" w:cs="Arial" w:eastAsia="Arial" w:hAnsi="Arial"/>
          <w:sz w:val="28"/>
          <w:szCs w:val="28"/>
          <w:color w:val="auto"/>
          <w:vertAlign w:val="superscript"/>
        </w:rPr>
      </w:pPr>
      <w:r>
        <w:rPr>
          <w:rFonts w:ascii="Arial" w:cs="Arial" w:eastAsia="Arial" w:hAnsi="Arial"/>
          <w:sz w:val="16"/>
          <w:szCs w:val="16"/>
          <w:color w:val="auto"/>
        </w:rPr>
        <w:t>Shares must be valued in accordance with the terms of the option being exercised, and must be owned free and clear of any liens, claims, encumbrances or security interests.</w:t>
      </w:r>
    </w:p>
    <w:p>
      <w:pPr>
        <w:sectPr>
          <w:pgSz w:w="11900" w:h="16838" w:orient="portrait"/>
          <w:cols w:equalWidth="0" w:num="1">
            <w:col w:w="11240"/>
          </w:cols>
          <w:pgMar w:left="320" w:top="553" w:right="33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(No. 333-249805) on Form S-8 of Biodesix, Inc. of our report dated March 16, 2021, with respect to the balance sheets of Biodesix, Inc. as of December 31, 2020 and 2019, the related statements of operations, convertible preferred stock and stockholders’ equity (deficit), and cash flows for each of the years in the two-year period ended December 31, 2020, and the related notes, which report appears in the December 31, 2020 annual report on Form 10-K of Biodesix, Inc.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25" w:lineRule="exact"/>
        <w:rPr>
          <w:sz w:val="20"/>
          <w:szCs w:val="20"/>
          <w:color w:val="auto"/>
        </w:rPr>
      </w:pPr>
    </w:p>
    <w:p>
      <w:pPr>
        <w:ind w:left="1420" w:hanging="854"/>
        <w:spacing w:after="0"/>
        <w:tabs>
          <w:tab w:leader="none" w:pos="1420" w:val="left"/>
        </w:tabs>
        <w:numPr>
          <w:ilvl w:val="0"/>
          <w:numId w:val="92"/>
        </w:numPr>
        <w:rPr>
          <w:rFonts w:ascii="Arial" w:cs="Arial" w:eastAsia="Arial" w:hAnsi="Arial"/>
          <w:sz w:val="20"/>
          <w:szCs w:val="20"/>
          <w:color w:val="auto"/>
        </w:rPr>
      </w:pPr>
      <w:r>
        <w:rPr>
          <w:rFonts w:ascii="Arial" w:cs="Arial" w:eastAsia="Arial" w:hAnsi="Arial"/>
          <w:sz w:val="18"/>
          <w:szCs w:val="18"/>
          <w:color w:val="auto"/>
        </w:rPr>
        <w:t>I have reviewed this Annual Report on Form 10-K of Biodesix, Inc.;</w:t>
      </w:r>
    </w:p>
    <w:p>
      <w:pPr>
        <w:spacing w:after="0" w:line="21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92"/>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92"/>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9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2260" w:hanging="844"/>
        <w:spacing w:after="0"/>
        <w:tabs>
          <w:tab w:leader="none" w:pos="2260" w:val="left"/>
        </w:tabs>
        <w:numPr>
          <w:ilvl w:val="1"/>
          <w:numId w:val="92"/>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121"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92"/>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92"/>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92"/>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92"/>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92"/>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March 16, 2021</w:t>
            </w:r>
          </w:p>
        </w:tc>
        <w:tc>
          <w:tcPr>
            <w:tcW w:w="2240" w:type="dxa"/>
            <w:vAlign w:val="bottom"/>
          </w:tcPr>
          <w:p>
            <w:pPr>
              <w:ind w:left="18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SCOTT HUTTON</w:t>
            </w:r>
          </w:p>
        </w:tc>
      </w:tr>
      <w:tr>
        <w:trPr>
          <w:trHeight w:val="195"/>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540" w:type="dxa"/>
            <w:vAlign w:val="bottom"/>
          </w:tcPr>
          <w:p>
            <w:pPr>
              <w:jc w:val="center"/>
              <w:spacing w:after="0" w:line="195" w:lineRule="exact"/>
              <w:rPr>
                <w:sz w:val="20"/>
                <w:szCs w:val="20"/>
                <w:color w:val="auto"/>
              </w:rPr>
            </w:pPr>
            <w:r>
              <w:rPr>
                <w:rFonts w:ascii="Arial" w:cs="Arial" w:eastAsia="Arial" w:hAnsi="Arial"/>
                <w:sz w:val="18"/>
                <w:szCs w:val="18"/>
                <w:color w:val="auto"/>
                <w:w w:val="92"/>
              </w:rPr>
              <w:t>Scott Hutton</w:t>
            </w:r>
          </w:p>
        </w:tc>
      </w:t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25" w:lineRule="exact"/>
        <w:rPr>
          <w:sz w:val="20"/>
          <w:szCs w:val="20"/>
          <w:color w:val="auto"/>
        </w:rPr>
      </w:pPr>
    </w:p>
    <w:p>
      <w:pPr>
        <w:ind w:left="1420" w:hanging="854"/>
        <w:spacing w:after="0"/>
        <w:tabs>
          <w:tab w:leader="none" w:pos="1420" w:val="left"/>
        </w:tabs>
        <w:numPr>
          <w:ilvl w:val="0"/>
          <w:numId w:val="93"/>
        </w:numPr>
        <w:rPr>
          <w:rFonts w:ascii="Arial" w:cs="Arial" w:eastAsia="Arial" w:hAnsi="Arial"/>
          <w:sz w:val="20"/>
          <w:szCs w:val="20"/>
          <w:color w:val="auto"/>
        </w:rPr>
      </w:pPr>
      <w:r>
        <w:rPr>
          <w:rFonts w:ascii="Arial" w:cs="Arial" w:eastAsia="Arial" w:hAnsi="Arial"/>
          <w:sz w:val="18"/>
          <w:szCs w:val="18"/>
          <w:color w:val="auto"/>
        </w:rPr>
        <w:t>I have reviewed this Annual Report on Form 10-K of Biodesix, Inc.;</w:t>
      </w:r>
    </w:p>
    <w:p>
      <w:pPr>
        <w:spacing w:after="0" w:line="21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93"/>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93"/>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9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2260" w:hanging="844"/>
        <w:spacing w:after="0"/>
        <w:tabs>
          <w:tab w:leader="none" w:pos="2260" w:val="left"/>
        </w:tabs>
        <w:numPr>
          <w:ilvl w:val="1"/>
          <w:numId w:val="93"/>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121"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93"/>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9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93"/>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93"/>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93"/>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March 16, 2021</w:t>
            </w:r>
          </w:p>
        </w:tc>
        <w:tc>
          <w:tcPr>
            <w:tcW w:w="2240" w:type="dxa"/>
            <w:vAlign w:val="bottom"/>
          </w:tcPr>
          <w:p>
            <w:pPr>
              <w:ind w:left="18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ROBIN HARPER COWIE</w:t>
            </w:r>
          </w:p>
        </w:tc>
      </w:tr>
      <w:tr>
        <w:trPr>
          <w:trHeight w:val="195"/>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540" w:type="dxa"/>
            <w:vAlign w:val="bottom"/>
          </w:tcPr>
          <w:p>
            <w:pPr>
              <w:jc w:val="center"/>
              <w:spacing w:after="0" w:line="195" w:lineRule="exact"/>
              <w:rPr>
                <w:sz w:val="20"/>
                <w:szCs w:val="20"/>
                <w:color w:val="auto"/>
              </w:rPr>
            </w:pPr>
            <w:r>
              <w:rPr>
                <w:rFonts w:ascii="Arial" w:cs="Arial" w:eastAsia="Arial" w:hAnsi="Arial"/>
                <w:sz w:val="18"/>
                <w:szCs w:val="18"/>
                <w:color w:val="auto"/>
                <w:w w:val="92"/>
              </w:rPr>
              <w:t>Robin Harper Cowie</w:t>
            </w:r>
          </w:p>
        </w:tc>
      </w:t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connection with the Annual Report of Biodesix, Inc. (the “Company”) on Form 10-K for the year ending December 31,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2260" w:hanging="844"/>
        <w:spacing w:after="0"/>
        <w:tabs>
          <w:tab w:leader="none" w:pos="2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3" w:lineRule="exact"/>
        <w:rPr>
          <w:rFonts w:ascii="Arial" w:cs="Arial" w:eastAsia="Arial" w:hAnsi="Arial"/>
          <w:sz w:val="17"/>
          <w:szCs w:val="17"/>
          <w:color w:val="auto"/>
        </w:rPr>
      </w:pPr>
    </w:p>
    <w:p>
      <w:pPr>
        <w:ind w:left="2260" w:right="20" w:hanging="844"/>
        <w:spacing w:after="0" w:line="277" w:lineRule="auto"/>
        <w:tabs>
          <w:tab w:leader="none" w:pos="2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March 16, 2021</w:t>
            </w:r>
          </w:p>
        </w:tc>
        <w:tc>
          <w:tcPr>
            <w:tcW w:w="252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SCOTT HUTTON</w:t>
            </w: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92"/>
              </w:rPr>
              <w:t>Scott Hutton</w:t>
            </w: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connection with the Annual Report of Biodesix, Inc. (the “Company”) on Form 10-K for the year ending December 31,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2260" w:hanging="844"/>
        <w:spacing w:after="0"/>
        <w:tabs>
          <w:tab w:leader="none" w:pos="2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3" w:lineRule="exact"/>
        <w:rPr>
          <w:rFonts w:ascii="Arial" w:cs="Arial" w:eastAsia="Arial" w:hAnsi="Arial"/>
          <w:sz w:val="17"/>
          <w:szCs w:val="17"/>
          <w:color w:val="auto"/>
        </w:rPr>
      </w:pPr>
    </w:p>
    <w:p>
      <w:pPr>
        <w:ind w:left="2260" w:right="20" w:hanging="844"/>
        <w:spacing w:after="0" w:line="277" w:lineRule="auto"/>
        <w:tabs>
          <w:tab w:leader="none" w:pos="2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March 16, 2021</w:t>
            </w:r>
          </w:p>
        </w:tc>
        <w:tc>
          <w:tcPr>
            <w:tcW w:w="252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ROBIN HARPER COWIE</w:t>
            </w: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92"/>
              </w:rPr>
              <w:t>Robin Harper Cowie</w:t>
            </w: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lvl w:ilvl="1">
      <w:lvlJc w:val="left"/>
      <w:lvlText w:val="•"/>
      <w:numFmt w:val="bullet"/>
      <w:start w:val="1"/>
    </w:lvl>
  </w:abstractNum>
  <w:abstractNum w:abstractNumId="18">
    <w:nsid w:val="1CF10FD8"/>
    <w:multiLevelType w:val="hybridMultilevel"/>
    <w:lvl w:ilvl="0">
      <w:lvlJc w:val="left"/>
      <w:lvlText w:val="•"/>
      <w:numFmt w:val="bullet"/>
      <w:start w:val="1"/>
    </w:lvl>
    <w:lvl w:ilvl="1">
      <w:lvlJc w:val="left"/>
      <w:lvlText w:val="•"/>
      <w:numFmt w:val="bullet"/>
      <w:start w:val="1"/>
    </w:lvl>
  </w:abstractNum>
  <w:abstractNum w:abstractNumId="19">
    <w:nsid w:val="180115BE"/>
    <w:multiLevelType w:val="hybridMultilevel"/>
    <w:lvl w:ilvl="0">
      <w:lvlJc w:val="left"/>
      <w:lvlText w:val="%1)"/>
      <w:numFmt w:val="decimal"/>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1"/>
      <w:numFmt w:val="upperLetter"/>
      <w:start w:val="6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lvl w:ilvl="1">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lowerLetter"/>
      <w:start w:val="1"/>
    </w:lvl>
    <w:lvl w:ilvl="1">
      <w:lvlJc w:val="left"/>
      <w:lvlText w:val="%2."/>
      <w:numFmt w:val="decimal"/>
      <w:start w:val="1"/>
    </w:lvl>
  </w:abstractNum>
  <w:abstractNum w:abstractNumId="64">
    <w:nsid w:val="68EB2F63"/>
    <w:multiLevelType w:val="hybridMultilevel"/>
    <w:lvl w:ilvl="0">
      <w:lvlJc w:val="left"/>
      <w:lvlText w:val="%1."/>
      <w:numFmt w:val="decimal"/>
      <w:start w:val="2"/>
    </w:lvl>
  </w:abstractNum>
  <w:abstractNum w:abstractNumId="65">
    <w:nsid w:val="4962813B"/>
    <w:multiLevelType w:val="hybridMultilevel"/>
    <w:lvl w:ilvl="0">
      <w:lvlJc w:val="left"/>
      <w:lvlText w:val="%1."/>
      <w:numFmt w:val="decimal"/>
      <w:start w:val="3"/>
    </w:lvl>
  </w:abstractNum>
  <w:abstractNum w:abstractNumId="66">
    <w:nsid w:val="60B6DF70"/>
    <w:multiLevelType w:val="hybridMultilevel"/>
    <w:lvl w:ilvl="0">
      <w:lvlJc w:val="left"/>
      <w:lvlText w:val="(%1)"/>
      <w:numFmt w:val="lowerLetter"/>
      <w:start w:val="2"/>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bullet"/>
      <w:start w:val="1"/>
    </w:lvl>
  </w:abstractNum>
  <w:abstractNum w:abstractNumId="72">
    <w:nsid w:val="100F59DC"/>
    <w:multiLevelType w:val="hybridMultilevel"/>
    <w:lvl w:ilvl="0">
      <w:lvlJc w:val="left"/>
      <w:lvlText w:val="2"/>
      <w:numFmt w:val="bullet"/>
      <w:start w:val="1"/>
    </w:lvl>
  </w:abstractNum>
  <w:abstractNum w:abstractNumId="73">
    <w:nsid w:val="7FB7E0AA"/>
    <w:multiLevelType w:val="hybridMultilevel"/>
    <w:lvl w:ilvl="0">
      <w:lvlJc w:val="left"/>
      <w:lvlText w:val="3"/>
      <w:numFmt w:val="bullet"/>
      <w:start w:val="1"/>
    </w:lvl>
  </w:abstractNum>
  <w:abstractNum w:abstractNumId="74">
    <w:nsid w:val="6EB5BD4"/>
    <w:multiLevelType w:val="hybridMultilevel"/>
    <w:lvl w:ilvl="0">
      <w:lvlJc w:val="left"/>
      <w:lvlText w:val="%1"/>
      <w:numFmt w:val="upperLetter"/>
      <w:start w:val="68"/>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1"/>
      <w:numFmt w:val="bullet"/>
      <w:start w:val="1"/>
    </w:lvl>
  </w:abstractNum>
  <w:abstractNum w:abstractNumId="80">
    <w:nsid w:val="1716703B"/>
    <w:multiLevelType w:val="hybridMultilevel"/>
    <w:lvl w:ilvl="0">
      <w:lvlJc w:val="left"/>
      <w:lvlText w:val="2"/>
      <w:numFmt w:val="bullet"/>
      <w:start w:val="1"/>
    </w:lvl>
  </w:abstractNum>
  <w:abstractNum w:abstractNumId="81">
    <w:nsid w:val="14E17E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2">
    <w:nsid w:val="3222E7C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83">
    <w:nsid w:val="74DE0EE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4">
    <w:nsid w:val="68EBC550"/>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85">
    <w:nsid w:val="2DF6D648"/>
    <w:multiLevelType w:val="hybridMultilevel"/>
    <w:lvl w:ilvl="0">
      <w:lvlJc w:val="left"/>
      <w:lvlText w:val="%1."/>
      <w:numFmt w:val="decimal"/>
      <w:start w:val="7"/>
    </w:lvl>
    <w:lvl w:ilvl="1">
      <w:lvlJc w:val="left"/>
      <w:lvlText w:val="(%2)"/>
      <w:numFmt w:val="lowerLetter"/>
      <w:start w:val="1"/>
    </w:lvl>
  </w:abstractNum>
  <w:abstractNum w:abstractNumId="86">
    <w:nsid w:val="46B7D447"/>
    <w:multiLevelType w:val="hybridMultilevel"/>
    <w:lvl w:ilvl="0">
      <w:lvlJc w:val="left"/>
      <w:lvlText w:val="%1."/>
      <w:numFmt w:val="decimal"/>
      <w:start w:val="11"/>
    </w:lvl>
    <w:lvl w:ilvl="1">
      <w:lvlJc w:val="left"/>
      <w:lvlText w:val="(%2)"/>
      <w:numFmt w:val="lowerLetter"/>
      <w:start w:val="1"/>
    </w:lvl>
  </w:abstractNum>
  <w:abstractNum w:abstractNumId="87">
    <w:nsid w:val="4A2AC315"/>
    <w:multiLevelType w:val="hybridMultilevel"/>
    <w:lvl w:ilvl="0">
      <w:lvlJc w:val="left"/>
      <w:lvlText w:val="%1."/>
      <w:numFmt w:val="decimal"/>
      <w:start w:val="17"/>
    </w:lvl>
  </w:abstractNum>
  <w:abstractNum w:abstractNumId="88">
    <w:nsid w:val="39EE015C"/>
    <w:multiLevelType w:val="hybridMultilevel"/>
    <w:lvl w:ilvl="0">
      <w:lvlJc w:val="left"/>
      <w:lvlText w:val="3"/>
      <w:numFmt w:val="bullet"/>
      <w:start w:val="1"/>
    </w:lvl>
  </w:abstractNum>
  <w:abstractNum w:abstractNumId="89">
    <w:nsid w:val="57FC4FBB"/>
    <w:multiLevelType w:val="hybridMultilevel"/>
    <w:lvl w:ilvl="0">
      <w:lvlJc w:val="left"/>
      <w:lvlText w:val="4"/>
      <w:numFmt w:val="bullet"/>
      <w:start w:val="1"/>
    </w:lvl>
  </w:abstractNum>
  <w:abstractNum w:abstractNumId="90">
    <w:nsid w:val="CC1016F"/>
    <w:multiLevelType w:val="hybridMultilevel"/>
    <w:lvl w:ilvl="0">
      <w:lvlJc w:val="left"/>
      <w:lvlText w:val="5"/>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148" Type="http://schemas.openxmlformats.org/officeDocument/2006/relationships/hyperlink" Target="http://www.sec.gov/Archives/edgar/data/1439725/000119312520273369/d937421dex11.htm" TargetMode="External"/><Relationship Id="rId149" Type="http://schemas.openxmlformats.org/officeDocument/2006/relationships/hyperlink" Target="http://www.sec.gov/Archives/edgar/data/1439725/000156459020056735/bdsx-ex31_716.htm" TargetMode="External"/><Relationship Id="rId150" Type="http://schemas.openxmlformats.org/officeDocument/2006/relationships/hyperlink" Target="http://www.sec.gov/Archives/edgar/data/1439725/000156459020056735/bdsx-ex32_717.htm" TargetMode="External"/><Relationship Id="rId151" Type="http://schemas.openxmlformats.org/officeDocument/2006/relationships/hyperlink" Target="http://www.sec.gov/Archives/edgar/data/1439725/000119312520273369/d937421dex41.htm" TargetMode="External"/><Relationship Id="rId152" Type="http://schemas.openxmlformats.org/officeDocument/2006/relationships/hyperlink" Target="http://www.sec.gov/Archives/edgar/data/1439725/000119312520262422/d937421dex42.htm" TargetMode="External"/><Relationship Id="rId153" Type="http://schemas.openxmlformats.org/officeDocument/2006/relationships/hyperlink" Target="http://www.sec.gov/Archives/edgar/data/1439725/000119312520262422/d937421dex43.htm" TargetMode="External"/><Relationship Id="rId154" Type="http://schemas.openxmlformats.org/officeDocument/2006/relationships/hyperlink" Target="http://www.sec.gov/Archives/edgar/data/1439725/000119312520262422/d937421dex44.htm" TargetMode="External"/><Relationship Id="rId155" Type="http://schemas.openxmlformats.org/officeDocument/2006/relationships/hyperlink" Target="http://www.sec.gov/Archives/edgar/data/1439725/000119312520266992/d937421dex101.htm" TargetMode="External"/><Relationship Id="rId156" Type="http://schemas.openxmlformats.org/officeDocument/2006/relationships/hyperlink" Target="http://www.sec.gov/Archives/edgar/data/1439725/000119312520266992/d937421dex1021.htm" TargetMode="External"/><Relationship Id="rId157" Type="http://schemas.openxmlformats.org/officeDocument/2006/relationships/hyperlink" Target="http://www.sec.gov/Archives/edgar/data/1439725/000119312520266992/d937421dex1022.htm" TargetMode="External"/><Relationship Id="rId158" Type="http://schemas.openxmlformats.org/officeDocument/2006/relationships/hyperlink" Target="http://www.sec.gov/Archives/edgar/data/1439725/000119312520266992/d937421dex1023.htm" TargetMode="External"/><Relationship Id="rId159" Type="http://schemas.openxmlformats.org/officeDocument/2006/relationships/hyperlink" Target="http://www.sec.gov/Archives/edgar/data/1439725/000119312520262422/d937421dex103.htm" TargetMode="External"/><Relationship Id="rId160" Type="http://schemas.openxmlformats.org/officeDocument/2006/relationships/hyperlink" Target="http://www.sec.gov/Archives/edgar/data/1439725/000119312520266992/d937421dex1041.htm" TargetMode="External"/><Relationship Id="rId161" Type="http://schemas.openxmlformats.org/officeDocument/2006/relationships/hyperlink" Target="http://www.sec.gov/Archives/edgar/data/1439725/000119312520266992/d937421dex1042.htm" TargetMode="External"/><Relationship Id="rId164" Type="http://schemas.openxmlformats.org/officeDocument/2006/relationships/hyperlink" Target="http://www.sec.gov/Archives/edgar/data/1439725/000119312520266992/d937421dex1043.htm" TargetMode="External"/><Relationship Id="rId165" Type="http://schemas.openxmlformats.org/officeDocument/2006/relationships/hyperlink" Target="http://www.sec.gov/Archives/edgar/data/1439725/000119312520275630/d937421dex105.htm" TargetMode="External"/><Relationship Id="rId166" Type="http://schemas.openxmlformats.org/officeDocument/2006/relationships/hyperlink" Target="http://www.sec.gov/Archives/edgar/data/1439725/000119312520275630/d937421dex106.htm" TargetMode="External"/><Relationship Id="rId167" Type="http://schemas.openxmlformats.org/officeDocument/2006/relationships/hyperlink" Target="http://www.sec.gov/Archives/edgar/data/1439725/000119312520262422/d937421dex1051.htm" TargetMode="External"/><Relationship Id="rId168" Type="http://schemas.openxmlformats.org/officeDocument/2006/relationships/hyperlink" Target="http://www.sec.gov/Archives/edgar/data/1439725/000119312520262422/d937421dex1052.htm" TargetMode="External"/><Relationship Id="rId169" Type="http://schemas.openxmlformats.org/officeDocument/2006/relationships/hyperlink" Target="http://www.sec.gov/Archives/edgar/data/1439725/000119312520262422/d937421dex1053.htm" TargetMode="External"/><Relationship Id="rId170" Type="http://schemas.openxmlformats.org/officeDocument/2006/relationships/hyperlink" Target="http://www.sec.gov/Archives/edgar/data/1439725/000119312520266992/d937421dex1061.htm" TargetMode="External"/><Relationship Id="rId171" Type="http://schemas.openxmlformats.org/officeDocument/2006/relationships/hyperlink" Target="http://www.sec.gov/Archives/edgar/data/1439725/000119312520266992/d937421dex1062.htm" TargetMode="External"/><Relationship Id="rId172" Type="http://schemas.openxmlformats.org/officeDocument/2006/relationships/hyperlink" Target="http://www.sec.gov/Archives/edgar/data/1439725/000119312520268763/d937421dex107.htm" TargetMode="External"/><Relationship Id="rId173" Type="http://schemas.openxmlformats.org/officeDocument/2006/relationships/hyperlink" Target="http://www.sec.gov/Archives/edgar/data/1439725/000119312520262422/d937421dex1091.htm" TargetMode="External"/><Relationship Id="rId174" Type="http://schemas.openxmlformats.org/officeDocument/2006/relationships/hyperlink" Target="http://www.sec.gov/Archives/edgar/data/1439725/000119312520262422/d937421dex1092.htm" TargetMode="External"/><Relationship Id="rId175" Type="http://schemas.openxmlformats.org/officeDocument/2006/relationships/hyperlink" Target="http://www.sec.gov/Archives/edgar/data/1439725/000119312520262422/d937421dex10101.htm" TargetMode="External"/><Relationship Id="rId176" Type="http://schemas.openxmlformats.org/officeDocument/2006/relationships/hyperlink" Target="http://www.sec.gov/Archives/edgar/data/1439725/000119312520262422/d937421dex10102.htm" TargetMode="External"/><Relationship Id="rId177" Type="http://schemas.openxmlformats.org/officeDocument/2006/relationships/hyperlink" Target="http://www.sec.gov/Archives/edgar/data/1439725/000119312520262422/d937421dex1011.htm" TargetMode="External"/><Relationship Id="rId178" Type="http://schemas.openxmlformats.org/officeDocument/2006/relationships/hyperlink" Target="http://www.sec.gov/Archives/edgar/data/1439725/000119312520266992/d937421dex1011.htm" TargetMode="External"/><Relationship Id="rId181" Type="http://schemas.openxmlformats.org/officeDocument/2006/relationships/hyperlink" Target="http://www.sec.gov/Archives/edgar/data/1439725/000119312520262422/d937421dex1013.htm" TargetMode="External"/><Relationship Id="rId182" Type="http://schemas.openxmlformats.org/officeDocument/2006/relationships/hyperlink" Target="http://www.sec.gov/Archives/edgar/data/1439725/000119312520266992/d937421dex10131.htm" TargetMode="External"/><Relationship Id="rId183" Type="http://schemas.openxmlformats.org/officeDocument/2006/relationships/hyperlink" Target="http://www.sec.gov/Archives/edgar/data/0001439725/000119312520262422/d937421dex10142.htm" TargetMode="External"/><Relationship Id="rId184" Type="http://schemas.openxmlformats.org/officeDocument/2006/relationships/hyperlink" Target="http://www.sec.gov/Archives/edgar/data/1439725/000119312520262422/d937421dex1015.htm" TargetMode="External"/><Relationship Id="rId185" Type="http://schemas.openxmlformats.org/officeDocument/2006/relationships/hyperlink" Target="http://www.sec.gov/Archives/edgar/data/1439725/000119312520266992/d937421dex1015.htm" TargetMode="External"/><Relationship Id="rId186" Type="http://schemas.openxmlformats.org/officeDocument/2006/relationships/hyperlink" Target="http://www.sec.gov/Archives/edgar/data/1439725/000119312520266992/d937421dex1016.htm" TargetMode="External"/><Relationship Id="rId187" Type="http://schemas.openxmlformats.org/officeDocument/2006/relationships/hyperlink" Target="http://www.sec.gov/Archives/edgar/data/1439725/000119312520266992/d937421dex1017.htm" TargetMode="External"/><Relationship Id="rId188" Type="http://schemas.openxmlformats.org/officeDocument/2006/relationships/hyperlink" Target="http://www.sec.gov/Archives/edgar/data/1439725/000119312520266992/d937421dex1018.htm" TargetMode="External"/><Relationship Id="rId189" Type="http://schemas.openxmlformats.org/officeDocument/2006/relationships/hyperlink" Target="http://www.sec.gov/Archives/edgar/data/1439725/000119312520266992/d937421dex1019.htm" TargetMode="External"/><Relationship Id="rId190" Type="http://schemas.openxmlformats.org/officeDocument/2006/relationships/hyperlink" Target="http://www.sec.gov/Archives/edgar/data/1439725/000119312520266992/d937421dex1020.htm" TargetMode="External"/><Relationship Id="rId191" Type="http://schemas.openxmlformats.org/officeDocument/2006/relationships/hyperlink" Target="http://www.sec.gov/Archives/edgar/data/1439725/000119312520262422/d937421dex1022.htm" TargetMode="External"/><Relationship Id="rId192" Type="http://schemas.openxmlformats.org/officeDocument/2006/relationships/hyperlink" Target="http://www.sec.gov/Archives/edgar/data/1439725/000119312520262422/d937421dex1023.htm" TargetMode="External"/><Relationship Id="rId193" Type="http://schemas.openxmlformats.org/officeDocument/2006/relationships/hyperlink" Target="http://www.sec.gov/Archives/edgar/data/1439725/000119312520262422/d937421dex1024.htm" TargetMode="External"/><Relationship Id="rId196" Type="http://schemas.openxmlformats.org/officeDocument/2006/relationships/hyperlink" Target="http://www.sec.gov/Archives/edgar/data/1439725/000119312520262422/d937421dex1025.htm" TargetMode="External"/><Relationship Id="rId197" Type="http://schemas.openxmlformats.org/officeDocument/2006/relationships/hyperlink" Target="http://www.sec.gov/Archives/edgar/data/1439725/000119312520262422/d937421dex1026.htm" TargetMode="External"/><Relationship Id="rId198" Type="http://schemas.openxmlformats.org/officeDocument/2006/relationships/hyperlink" Target="http://www.sec.gov/Archives/edgar/data/1439725/000119312520262422/d937421dex1027.htm" TargetMode="External"/><Relationship Id="rId199" Type="http://schemas.openxmlformats.org/officeDocument/2006/relationships/hyperlink" Target="http://www.sec.gov/Archives/edgar/data/1439725/000119312520262422/d937421dex1028.htm" TargetMode="External"/><Relationship Id="rId200" Type="http://schemas.openxmlformats.org/officeDocument/2006/relationships/hyperlink" Target="http://www.sec.gov/Archives/edgar/data/1439725/000119312520262422/d937421dex1029.htm" TargetMode="External"/><Relationship Id="rId201" Type="http://schemas.openxmlformats.org/officeDocument/2006/relationships/hyperlink" Target="http://www.sec.gov/Archives/edgar/data/1439725/000119312520262422/d937421dex1030.htm" TargetMode="External"/><Relationship Id="rId202" Type="http://schemas.openxmlformats.org/officeDocument/2006/relationships/hyperlink" Target="http://www.sec.gov/Archives/edgar/data/1439725/000119312520262422/d937421dex1031.htm" TargetMode="External"/><Relationship Id="rId203" Type="http://schemas.openxmlformats.org/officeDocument/2006/relationships/hyperlink" Target="http://www.sec.gov/Archives/edgar/data/1439725/000119312520262422/d937421dex1032.htm" TargetMode="External"/><Relationship Id="rId204" Type="http://schemas.openxmlformats.org/officeDocument/2006/relationships/hyperlink" Target="http://www.sec.gov/Archives/edgar/data/1439725/000119312520262422/d937421dex1033.htm" TargetMode="External"/><Relationship Id="rId205" Type="http://schemas.openxmlformats.org/officeDocument/2006/relationships/hyperlink" Target="http://www.sec.gov/Archives/edgar/data/1439725/000119312520273369/d937421dex1033.htm" TargetMode="External"/><Relationship Id="rId206" Type="http://schemas.openxmlformats.org/officeDocument/2006/relationships/hyperlink" Target="http://www.sec.gov/Archives/edgar/data/1439725/000119312520273369/d937421d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2021-03-16T14:06:00Z</dcterms:created>
  <dcterms:modified xsi:type="dcterms:W3CDTF">2021-03-16T14:06:00Z</dcterms:modified>
</cp:coreProperties>
</file>