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21, 2020.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333-249260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3</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jc w:val="center"/>
        <w:spacing w:after="0" w:line="221" w:lineRule="auto"/>
        <w:rPr>
          <w:sz w:val="20"/>
          <w:szCs w:val="20"/>
          <w:color w:val="auto"/>
        </w:rPr>
      </w:pPr>
      <w:r>
        <w:rPr>
          <w:rFonts w:ascii="Arial" w:cs="Arial" w:eastAsia="Arial" w:hAnsi="Arial"/>
          <w:sz w:val="14"/>
          <w:szCs w:val="14"/>
          <w:color w:val="auto"/>
        </w:rPr>
        <w:t>REGISTRATION STATEMENT</w:t>
      </w:r>
    </w:p>
    <w:p>
      <w:pPr>
        <w:jc w:val="center"/>
        <w:spacing w:after="0" w:line="221" w:lineRule="auto"/>
        <w:rPr>
          <w:sz w:val="20"/>
          <w:szCs w:val="20"/>
          <w:color w:val="auto"/>
        </w:rPr>
      </w:pPr>
      <w:r>
        <w:rPr>
          <w:rFonts w:ascii="Arial" w:cs="Arial" w:eastAsia="Arial" w:hAnsi="Arial"/>
          <w:sz w:val="14"/>
          <w:szCs w:val="14"/>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6"/>
          <w:szCs w:val="26"/>
          <w:b w:val="1"/>
          <w:bCs w:val="1"/>
          <w:color w:val="auto"/>
        </w:rPr>
        <w:t>IODESIX</w:t>
      </w:r>
      <w:r>
        <w:rPr>
          <w:rFonts w:ascii="Arial" w:cs="Arial" w:eastAsia="Arial" w:hAnsi="Arial"/>
          <w:sz w:val="32"/>
          <w:szCs w:val="32"/>
          <w:b w:val="1"/>
          <w:bCs w:val="1"/>
          <w:color w:val="auto"/>
        </w:rPr>
        <w:t>, I</w:t>
      </w:r>
      <w:r>
        <w:rPr>
          <w:rFonts w:ascii="Arial" w:cs="Arial" w:eastAsia="Arial" w:hAnsi="Arial"/>
          <w:sz w:val="26"/>
          <w:szCs w:val="26"/>
          <w:b w:val="1"/>
          <w:bCs w:val="1"/>
          <w:color w:val="auto"/>
        </w:rPr>
        <w:t>NC</w:t>
      </w:r>
      <w:r>
        <w:rPr>
          <w:rFonts w:ascii="Arial" w:cs="Arial" w:eastAsia="Arial" w:hAnsi="Arial"/>
          <w:sz w:val="32"/>
          <w:szCs w:val="32"/>
          <w:b w:val="1"/>
          <w:bCs w:val="1"/>
          <w:color w:val="auto"/>
        </w:rPr>
        <w: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0"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40" w:type="dxa"/>
            <w:vAlign w:val="bottom"/>
          </w:tcPr>
          <w:p>
            <w:pPr>
              <w:jc w:val="center"/>
              <w:ind w:right="1028"/>
              <w:spacing w:after="0"/>
              <w:rPr>
                <w:sz w:val="20"/>
                <w:szCs w:val="20"/>
                <w:color w:val="auto"/>
              </w:rPr>
            </w:pPr>
            <w:r>
              <w:rPr>
                <w:rFonts w:ascii="Arial" w:cs="Arial" w:eastAsia="Arial" w:hAnsi="Arial"/>
                <w:sz w:val="14"/>
                <w:szCs w:val="14"/>
                <w:b w:val="1"/>
                <w:bCs w:val="1"/>
                <w:color w:val="auto"/>
                <w:w w:val="94"/>
              </w:rPr>
              <w:t>Delaware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6"/>
              </w:rPr>
              <w:t>8071</w:t>
            </w:r>
          </w:p>
        </w:tc>
        <w:tc>
          <w:tcPr>
            <w:tcW w:w="24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20-3986492</w:t>
            </w:r>
          </w:p>
        </w:tc>
      </w:tr>
      <w:tr>
        <w:trPr>
          <w:trHeight w:val="149"/>
        </w:trPr>
        <w:tc>
          <w:tcPr>
            <w:tcW w:w="2840" w:type="dxa"/>
            <w:vAlign w:val="bottom"/>
          </w:tcPr>
          <w:p>
            <w:pPr>
              <w:jc w:val="center"/>
              <w:ind w:right="10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40" w:type="dxa"/>
            <w:vAlign w:val="bottom"/>
          </w:tcPr>
          <w:p>
            <w:pPr>
              <w:jc w:val="center"/>
              <w:spacing w:after="0" w:line="149" w:lineRule="exact"/>
              <w:rPr>
                <w:sz w:val="20"/>
                <w:szCs w:val="20"/>
                <w:color w:val="auto"/>
              </w:rPr>
            </w:pPr>
            <w:r>
              <w:rPr>
                <w:rFonts w:ascii="Arial" w:cs="Arial" w:eastAsia="Arial" w:hAnsi="Arial"/>
                <w:sz w:val="14"/>
                <w:szCs w:val="14"/>
                <w:color w:val="auto"/>
                <w:w w:val="95"/>
              </w:rPr>
              <w:t>(Primary Standard Industrial</w:t>
            </w:r>
          </w:p>
        </w:tc>
        <w:tc>
          <w:tcPr>
            <w:tcW w:w="2400" w:type="dxa"/>
            <w:vAlign w:val="bottom"/>
          </w:tcPr>
          <w:p>
            <w:pPr>
              <w:jc w:val="center"/>
              <w:ind w:left="9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40" w:type="dxa"/>
            <w:vAlign w:val="bottom"/>
          </w:tcPr>
          <w:p>
            <w:pPr>
              <w:jc w:val="center"/>
              <w:ind w:right="1008"/>
              <w:spacing w:after="0"/>
              <w:rPr>
                <w:sz w:val="20"/>
                <w:szCs w:val="20"/>
                <w:color w:val="auto"/>
              </w:rPr>
            </w:pPr>
            <w:r>
              <w:rPr>
                <w:rFonts w:ascii="Arial" w:cs="Arial" w:eastAsia="Arial" w:hAnsi="Arial"/>
                <w:sz w:val="14"/>
                <w:szCs w:val="14"/>
                <w:color w:val="auto"/>
                <w:w w:val="94"/>
              </w:rPr>
              <w:t>Incorporation or Organization)</w:t>
            </w:r>
          </w:p>
        </w:tc>
        <w:tc>
          <w:tcPr>
            <w:tcW w:w="3840" w:type="dxa"/>
            <w:vAlign w:val="bottom"/>
          </w:tcPr>
          <w:p>
            <w:pPr>
              <w:jc w:val="center"/>
              <w:spacing w:after="0"/>
              <w:rPr>
                <w:sz w:val="20"/>
                <w:szCs w:val="20"/>
                <w:color w:val="auto"/>
              </w:rPr>
            </w:pPr>
            <w:r>
              <w:rPr>
                <w:rFonts w:ascii="Arial" w:cs="Arial" w:eastAsia="Arial" w:hAnsi="Arial"/>
                <w:sz w:val="14"/>
                <w:szCs w:val="14"/>
                <w:color w:val="auto"/>
                <w:w w:val="95"/>
              </w:rPr>
              <w:t>Classification Code Number)</w:t>
            </w:r>
          </w:p>
        </w:tc>
        <w:tc>
          <w:tcPr>
            <w:tcW w:w="2400" w:type="dxa"/>
            <w:vAlign w:val="bottom"/>
          </w:tcPr>
          <w:p>
            <w:pPr>
              <w:jc w:val="center"/>
              <w:ind w:left="988"/>
              <w:spacing w:after="0"/>
              <w:rPr>
                <w:sz w:val="20"/>
                <w:szCs w:val="20"/>
                <w:color w:val="auto"/>
              </w:rPr>
            </w:pPr>
            <w:r>
              <w:rPr>
                <w:rFonts w:ascii="Arial" w:cs="Arial" w:eastAsia="Arial" w:hAnsi="Arial"/>
                <w:sz w:val="14"/>
                <w:szCs w:val="14"/>
                <w:color w:val="auto"/>
                <w:w w:val="97"/>
              </w:rPr>
              <w:t>Identification Number)</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Biodesix, Inc.</w:t>
      </w:r>
    </w:p>
    <w:p>
      <w:pPr>
        <w:jc w:val="center"/>
        <w:spacing w:after="0" w:line="226" w:lineRule="auto"/>
        <w:rPr>
          <w:sz w:val="20"/>
          <w:szCs w:val="20"/>
          <w:color w:val="auto"/>
        </w:rPr>
      </w:pPr>
      <w:r>
        <w:rPr>
          <w:rFonts w:ascii="Arial" w:cs="Arial" w:eastAsia="Arial" w:hAnsi="Arial"/>
          <w:sz w:val="14"/>
          <w:szCs w:val="14"/>
          <w:b w:val="1"/>
          <w:bCs w:val="1"/>
          <w:color w:val="auto"/>
        </w:rPr>
        <w:t>2970 Wilderness Place, Suite 100</w:t>
      </w:r>
    </w:p>
    <w:p>
      <w:pPr>
        <w:jc w:val="center"/>
        <w:spacing w:after="0" w:line="221" w:lineRule="auto"/>
        <w:rPr>
          <w:sz w:val="20"/>
          <w:szCs w:val="20"/>
          <w:color w:val="auto"/>
        </w:rPr>
      </w:pPr>
      <w:r>
        <w:rPr>
          <w:rFonts w:ascii="Arial" w:cs="Arial" w:eastAsia="Arial" w:hAnsi="Arial"/>
          <w:sz w:val="14"/>
          <w:szCs w:val="14"/>
          <w:b w:val="1"/>
          <w:bCs w:val="1"/>
          <w:color w:val="auto"/>
        </w:rPr>
        <w:t>Boulder, Colorado 80301</w:t>
      </w:r>
    </w:p>
    <w:p>
      <w:pPr>
        <w:jc w:val="center"/>
        <w:spacing w:after="0" w:line="222" w:lineRule="auto"/>
        <w:rPr>
          <w:sz w:val="20"/>
          <w:szCs w:val="20"/>
          <w:color w:val="auto"/>
        </w:rPr>
      </w:pPr>
      <w:r>
        <w:rPr>
          <w:rFonts w:ascii="Arial" w:cs="Arial" w:eastAsia="Arial" w:hAnsi="Arial"/>
          <w:sz w:val="14"/>
          <w:szCs w:val="14"/>
          <w:b w:val="1"/>
          <w:bCs w:val="1"/>
          <w:color w:val="auto"/>
        </w:rPr>
        <w:t>(303) 417-0500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Scott Hutton</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Biodesix, Inc.</w:t>
      </w:r>
    </w:p>
    <w:p>
      <w:pPr>
        <w:jc w:val="center"/>
        <w:spacing w:after="0" w:line="222" w:lineRule="auto"/>
        <w:rPr>
          <w:sz w:val="20"/>
          <w:szCs w:val="20"/>
          <w:color w:val="auto"/>
        </w:rPr>
      </w:pPr>
      <w:r>
        <w:rPr>
          <w:rFonts w:ascii="Arial" w:cs="Arial" w:eastAsia="Arial" w:hAnsi="Arial"/>
          <w:sz w:val="14"/>
          <w:szCs w:val="14"/>
          <w:b w:val="1"/>
          <w:bCs w:val="1"/>
          <w:color w:val="auto"/>
        </w:rPr>
        <w:t>2970 Wilderness Place, Suite 100</w:t>
      </w:r>
    </w:p>
    <w:p>
      <w:pPr>
        <w:jc w:val="center"/>
        <w:spacing w:after="0" w:line="221" w:lineRule="auto"/>
        <w:rPr>
          <w:sz w:val="20"/>
          <w:szCs w:val="20"/>
          <w:color w:val="auto"/>
        </w:rPr>
      </w:pPr>
      <w:r>
        <w:rPr>
          <w:rFonts w:ascii="Arial" w:cs="Arial" w:eastAsia="Arial" w:hAnsi="Arial"/>
          <w:sz w:val="14"/>
          <w:szCs w:val="14"/>
          <w:b w:val="1"/>
          <w:bCs w:val="1"/>
          <w:color w:val="auto"/>
        </w:rPr>
        <w:t>Boulder, Colorado 80301</w:t>
      </w:r>
    </w:p>
    <w:p>
      <w:pPr>
        <w:jc w:val="center"/>
        <w:spacing w:after="0" w:line="222" w:lineRule="auto"/>
        <w:rPr>
          <w:sz w:val="20"/>
          <w:szCs w:val="20"/>
          <w:color w:val="auto"/>
        </w:rPr>
      </w:pPr>
      <w:r>
        <w:rPr>
          <w:rFonts w:ascii="Arial" w:cs="Arial" w:eastAsia="Arial" w:hAnsi="Arial"/>
          <w:sz w:val="14"/>
          <w:szCs w:val="14"/>
          <w:b w:val="1"/>
          <w:bCs w:val="1"/>
          <w:color w:val="auto"/>
        </w:rPr>
        <w:t>(303) 417-0500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9" w:lineRule="exact"/>
        <w:rPr>
          <w:sz w:val="24"/>
          <w:szCs w:val="24"/>
          <w:color w:val="auto"/>
        </w:rPr>
      </w:pPr>
    </w:p>
    <w:tbl>
      <w:tblPr>
        <w:tblLayout w:type="fixed"/>
        <w:tblInd w:w="1840" w:type="dxa"/>
        <w:tblCellMar>
          <w:top w:w="0" w:type="dxa"/>
          <w:left w:w="0" w:type="dxa"/>
          <w:bottom w:w="0" w:type="dxa"/>
          <w:right w:w="0" w:type="dxa"/>
        </w:tblCellMar>
      </w:tblPr>
      <w:tr>
        <w:trPr>
          <w:trHeight w:val="182"/>
        </w:trPr>
        <w:tc>
          <w:tcPr>
            <w:tcW w:w="2740" w:type="dxa"/>
            <w:vAlign w:val="bottom"/>
          </w:tcPr>
          <w:p>
            <w:pPr>
              <w:spacing w:after="0"/>
              <w:rPr>
                <w:sz w:val="15"/>
                <w:szCs w:val="15"/>
                <w:color w:val="auto"/>
              </w:rPr>
            </w:pPr>
          </w:p>
        </w:tc>
        <w:tc>
          <w:tcPr>
            <w:tcW w:w="4860" w:type="dxa"/>
            <w:vAlign w:val="bottom"/>
          </w:tcPr>
          <w:p>
            <w:pPr>
              <w:ind w:left="74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5"/>
              </w:rPr>
              <w:t>Frank F. Rahmani, Esq.</w:t>
            </w:r>
          </w:p>
        </w:tc>
        <w:tc>
          <w:tcPr>
            <w:tcW w:w="4860" w:type="dxa"/>
            <w:vAlign w:val="bottom"/>
          </w:tcPr>
          <w:p>
            <w:pPr>
              <w:jc w:val="center"/>
              <w:ind w:left="2928"/>
              <w:spacing w:after="0"/>
              <w:rPr>
                <w:sz w:val="20"/>
                <w:szCs w:val="20"/>
                <w:color w:val="auto"/>
              </w:rPr>
            </w:pPr>
            <w:r>
              <w:rPr>
                <w:rFonts w:ascii="Arial" w:cs="Arial" w:eastAsia="Arial" w:hAnsi="Arial"/>
                <w:sz w:val="14"/>
                <w:szCs w:val="14"/>
                <w:b w:val="1"/>
                <w:bCs w:val="1"/>
                <w:color w:val="auto"/>
                <w:w w:val="93"/>
              </w:rPr>
              <w:t>Richard D. Truesdell, Jr., Esq.</w:t>
            </w:r>
          </w:p>
        </w:tc>
      </w:tr>
      <w:tr>
        <w:trPr>
          <w:trHeight w:val="149"/>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5"/>
              </w:rPr>
              <w:t>Samir A. Gandhi, Esq.</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1"/>
              </w:rPr>
              <w:t>Yasin Keshvargar, Esq.</w:t>
            </w:r>
          </w:p>
        </w:tc>
      </w:tr>
      <w:tr>
        <w:trPr>
          <w:trHeight w:val="148"/>
        </w:trPr>
        <w:tc>
          <w:tcPr>
            <w:tcW w:w="274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5"/>
              </w:rPr>
              <w:t>Sidley Austin LLP</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4"/>
              </w:rPr>
              <w:t>555 California Street, Suite 2000</w:t>
            </w:r>
          </w:p>
        </w:tc>
        <w:tc>
          <w:tcPr>
            <w:tcW w:w="486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9"/>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2"/>
              </w:rPr>
              <w:t>San Francisco, California 94104</w:t>
            </w:r>
          </w:p>
        </w:tc>
        <w:tc>
          <w:tcPr>
            <w:tcW w:w="486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1"/>
              </w:rPr>
              <w:t>Telephone: (415) 772-1200</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2"/>
              </w:rPr>
              <w:t>Telephone: (212) 450-4000</w:t>
            </w:r>
          </w:p>
        </w:tc>
      </w:tr>
      <w:tr>
        <w:trPr>
          <w:trHeight w:val="186"/>
        </w:trPr>
        <w:tc>
          <w:tcPr>
            <w:tcW w:w="2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2"/>
              </w:rPr>
              <w:t>Facsimile: (415) 772-7400</w:t>
            </w:r>
          </w:p>
        </w:tc>
        <w:tc>
          <w:tcPr>
            <w:tcW w:w="4860" w:type="dxa"/>
            <w:vAlign w:val="bottom"/>
          </w:tcPr>
          <w:p>
            <w:pPr>
              <w:jc w:val="center"/>
              <w:ind w:left="2948"/>
              <w:spacing w:after="0"/>
              <w:rPr>
                <w:sz w:val="20"/>
                <w:szCs w:val="20"/>
                <w:color w:val="auto"/>
              </w:rPr>
            </w:pPr>
            <w:r>
              <w:rPr>
                <w:rFonts w:ascii="Arial" w:cs="Arial" w:eastAsia="Arial" w:hAnsi="Arial"/>
                <w:sz w:val="14"/>
                <w:szCs w:val="14"/>
                <w:b w:val="1"/>
                <w:bCs w:val="1"/>
                <w:color w:val="auto"/>
                <w:w w:val="92"/>
              </w:rPr>
              <w:t>Facsimile: (212) 701-5800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110490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6"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80" w:type="dxa"/>
            <w:vAlign w:val="bottom"/>
          </w:tcPr>
          <w:p>
            <w:pPr>
              <w:ind w:left="352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143510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8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38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jc w:val="center"/>
              <w:ind w:left="9"/>
              <w:spacing w:after="0" w:line="116" w:lineRule="exact"/>
              <w:rPr>
                <w:sz w:val="20"/>
                <w:szCs w:val="20"/>
                <w:color w:val="auto"/>
              </w:rPr>
            </w:pPr>
            <w:r>
              <w:rPr>
                <w:rFonts w:ascii="Arial" w:cs="Arial" w:eastAsia="Arial" w:hAnsi="Arial"/>
                <w:sz w:val="13"/>
                <w:szCs w:val="13"/>
                <w:b w:val="1"/>
                <w:bCs w:val="1"/>
                <w:color w:val="auto"/>
                <w:w w:val="96"/>
              </w:rPr>
              <w:t>Proposed</w:t>
            </w:r>
          </w:p>
        </w:tc>
        <w:tc>
          <w:tcPr>
            <w:tcW w:w="21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7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Shares to be</w:t>
            </w:r>
          </w:p>
        </w:tc>
        <w:tc>
          <w:tcPr>
            <w:tcW w:w="17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9"/>
              </w:rPr>
              <w:t>Maximum</w:t>
            </w:r>
          </w:p>
        </w:tc>
        <w:tc>
          <w:tcPr>
            <w:tcW w:w="212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9"/>
              </w:rPr>
              <w:t>Maximum</w:t>
            </w:r>
          </w:p>
        </w:tc>
        <w:tc>
          <w:tcPr>
            <w:tcW w:w="18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8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7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Registered(1)</w:t>
            </w:r>
          </w:p>
        </w:tc>
        <w:tc>
          <w:tcPr>
            <w:tcW w:w="17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4"/>
              </w:rPr>
              <w:t>Per Share(2)</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Price(1)(2)</w:t>
            </w:r>
          </w:p>
        </w:tc>
        <w:tc>
          <w:tcPr>
            <w:tcW w:w="18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700" w:type="dxa"/>
            <w:vAlign w:val="bottom"/>
            <w:tcBorders>
              <w:bottom w:val="single" w:sz="8" w:color="auto"/>
              <w:right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4,791,667</w:t>
            </w:r>
          </w:p>
        </w:tc>
        <w:tc>
          <w:tcPr>
            <w:tcW w:w="1700" w:type="dxa"/>
            <w:vAlign w:val="bottom"/>
            <w:tcBorders>
              <w:bottom w:val="single" w:sz="8" w:color="auto"/>
              <w:right w:val="single" w:sz="8" w:color="auto"/>
            </w:tcBorders>
          </w:tcPr>
          <w:p>
            <w:pPr>
              <w:jc w:val="center"/>
              <w:ind w:left="29"/>
              <w:spacing w:after="0" w:line="142" w:lineRule="exact"/>
              <w:rPr>
                <w:sz w:val="20"/>
                <w:szCs w:val="20"/>
                <w:color w:val="auto"/>
              </w:rPr>
            </w:pPr>
            <w:r>
              <w:rPr>
                <w:rFonts w:ascii="Arial" w:cs="Arial" w:eastAsia="Arial" w:hAnsi="Arial"/>
                <w:sz w:val="14"/>
                <w:szCs w:val="14"/>
                <w:color w:val="auto"/>
                <w:w w:val="93"/>
              </w:rPr>
              <w:t>$19.00</w:t>
            </w:r>
          </w:p>
        </w:tc>
        <w:tc>
          <w:tcPr>
            <w:tcW w:w="212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w w:val="92"/>
              </w:rPr>
              <w:t>$91,041,673</w:t>
            </w:r>
          </w:p>
        </w:tc>
        <w:tc>
          <w:tcPr>
            <w:tcW w:w="188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3"/>
              </w:rPr>
              <w:t>$9,932.65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3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an additional 625,000 shares of our common stock that the underwriters have an option to purchase. See “Underwriters.”</w:t>
      </w:r>
    </w:p>
    <w:p>
      <w:pPr>
        <w:ind w:left="460" w:hanging="452"/>
        <w:spacing w:after="0" w:line="22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$8,182.50 of this amount in connection with a prior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5"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PRELIMINARY PROSPECTUS (Subject to Completion)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Issued October 21,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32"/>
          <w:szCs w:val="32"/>
          <w:i w:val="1"/>
          <w:iCs w:val="1"/>
          <w:color w:val="auto"/>
        </w:rPr>
        <w:t>4,166,667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173355</wp:posOffset>
            </wp:positionV>
            <wp:extent cx="199707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238760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Biodesix, Inc. is offering 4,166,667 shares of its common stock. This is our initial public offering and no public market currently exists for our shares of common stock. We anticipate that the initial public offering price will be between $17.00 and $19.00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applied for listing of our common stock on The Nasdaq Global Market under the symbol “BDSX.”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237490</wp:posOffset>
            </wp:positionV>
            <wp:extent cx="149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16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common stock involves risks. See “</w:t>
      </w:r>
      <w:hyperlink w:anchor="page19">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40" w:type="dxa"/>
            <w:vAlign w:val="bottom"/>
          </w:tcPr>
          <w:p>
            <w:pPr>
              <w:spacing w:after="0"/>
              <w:rPr>
                <w:sz w:val="23"/>
                <w:szCs w:val="23"/>
                <w:color w:val="auto"/>
              </w:rPr>
            </w:pPr>
          </w:p>
        </w:tc>
        <w:tc>
          <w:tcPr>
            <w:tcW w:w="1160" w:type="dxa"/>
            <w:vAlign w:val="bottom"/>
          </w:tcPr>
          <w:p>
            <w:pPr>
              <w:ind w:left="200"/>
              <w:spacing w:after="0"/>
              <w:rPr>
                <w:sz w:val="20"/>
                <w:szCs w:val="20"/>
                <w:color w:val="auto"/>
              </w:rPr>
            </w:pPr>
            <w:r>
              <w:rPr>
                <w:rFonts w:ascii="Arial" w:cs="Arial" w:eastAsia="Arial" w:hAnsi="Arial"/>
                <w:sz w:val="18"/>
                <w:szCs w:val="18"/>
                <w:i w:val="1"/>
                <w:iCs w:val="1"/>
                <w:color w:val="auto"/>
              </w:rPr>
              <w:t xml:space="preserve">PRICE </w:t>
            </w:r>
            <w:r>
              <w:rPr>
                <w:rFonts w:ascii="Arial" w:cs="Arial" w:eastAsia="Arial" w:hAnsi="Arial"/>
                <w:sz w:val="21"/>
                <w:szCs w:val="21"/>
                <w:i w:val="1"/>
                <w:iCs w:val="1"/>
                <w:color w:val="auto"/>
              </w:rPr>
              <w:t>$</w:t>
            </w:r>
          </w:p>
        </w:tc>
        <w:tc>
          <w:tcPr>
            <w:tcW w:w="1960" w:type="dxa"/>
            <w:vAlign w:val="bottom"/>
            <w:gridSpan w:val="3"/>
          </w:tcPr>
          <w:p>
            <w:pPr>
              <w:jc w:val="right"/>
              <w:ind w:right="882"/>
              <w:spacing w:after="0"/>
              <w:rPr>
                <w:sz w:val="20"/>
                <w:szCs w:val="20"/>
                <w:color w:val="auto"/>
              </w:rPr>
            </w:pPr>
            <w:r>
              <w:rPr>
                <w:rFonts w:ascii="Arial" w:cs="Arial" w:eastAsia="Arial" w:hAnsi="Arial"/>
                <w:sz w:val="18"/>
                <w:szCs w:val="18"/>
                <w:i w:val="1"/>
                <w:iCs w:val="1"/>
                <w:color w:val="auto"/>
              </w:rPr>
              <w:t>A SHARE</w:t>
            </w: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4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9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67"/>
        </w:trPr>
        <w:tc>
          <w:tcPr>
            <w:tcW w:w="5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share</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Public</w:t>
            </w:r>
          </w:p>
        </w:tc>
        <w:tc>
          <w:tcPr>
            <w:tcW w:w="10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9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Biodesix</w:t>
            </w:r>
          </w:p>
        </w:tc>
        <w:tc>
          <w:tcPr>
            <w:tcW w:w="0" w:type="dxa"/>
            <w:vAlign w:val="bottom"/>
          </w:tcPr>
          <w:p>
            <w:pPr>
              <w:spacing w:after="0"/>
              <w:rPr>
                <w:sz w:val="1"/>
                <w:szCs w:val="1"/>
                <w:color w:val="auto"/>
              </w:rPr>
            </w:pPr>
          </w:p>
        </w:tc>
      </w:tr>
      <w:tr>
        <w:trPr>
          <w:trHeight w:val="195"/>
        </w:trPr>
        <w:tc>
          <w:tcPr>
            <w:tcW w:w="5600" w:type="dxa"/>
            <w:vAlign w:val="bottom"/>
            <w:gridSpan w:val="2"/>
            <w:vMerge w:val="continue"/>
          </w:tcPr>
          <w:p>
            <w:pPr>
              <w:spacing w:after="0"/>
              <w:rPr>
                <w:sz w:val="16"/>
                <w:szCs w:val="16"/>
                <w:color w:val="auto"/>
              </w:rPr>
            </w:pPr>
          </w:p>
        </w:tc>
        <w:tc>
          <w:tcPr>
            <w:tcW w:w="1500" w:type="dxa"/>
            <w:vAlign w:val="bottom"/>
            <w:gridSpan w:val="2"/>
          </w:tcPr>
          <w:p>
            <w:pPr>
              <w:spacing w:after="0"/>
              <w:rPr>
                <w:sz w:val="16"/>
                <w:szCs w:val="16"/>
                <w:color w:val="auto"/>
              </w:rPr>
            </w:pPr>
          </w:p>
        </w:tc>
        <w:tc>
          <w:tcPr>
            <w:tcW w:w="460" w:type="dxa"/>
            <w:vAlign w:val="bottom"/>
          </w:tcPr>
          <w:p>
            <w:pPr>
              <w:jc w:val="right"/>
              <w:ind w:right="142"/>
              <w:spacing w:after="0" w:line="195" w:lineRule="exact"/>
              <w:rPr>
                <w:sz w:val="20"/>
                <w:szCs w:val="20"/>
                <w:color w:val="auto"/>
              </w:rPr>
            </w:pPr>
            <w:r>
              <w:rPr>
                <w:rFonts w:ascii="Arial" w:cs="Arial" w:eastAsia="Arial" w:hAnsi="Arial"/>
                <w:sz w:val="18"/>
                <w:szCs w:val="18"/>
                <w:i w:val="1"/>
                <w:iCs w:val="1"/>
                <w:color w:val="auto"/>
              </w:rPr>
              <w:t>$</w:t>
            </w:r>
          </w:p>
        </w:tc>
        <w:tc>
          <w:tcPr>
            <w:tcW w:w="1020" w:type="dxa"/>
            <w:vAlign w:val="bottom"/>
          </w:tcPr>
          <w:p>
            <w:pPr>
              <w:spacing w:after="0"/>
              <w:rPr>
                <w:sz w:val="16"/>
                <w:szCs w:val="16"/>
                <w:color w:val="auto"/>
              </w:rPr>
            </w:pPr>
          </w:p>
        </w:tc>
        <w:tc>
          <w:tcPr>
            <w:tcW w:w="940" w:type="dxa"/>
            <w:vAlign w:val="bottom"/>
          </w:tcPr>
          <w:p>
            <w:pPr>
              <w:jc w:val="right"/>
              <w:ind w:right="244"/>
              <w:spacing w:after="0" w:line="195" w:lineRule="exact"/>
              <w:rPr>
                <w:sz w:val="20"/>
                <w:szCs w:val="20"/>
                <w:color w:val="auto"/>
              </w:rPr>
            </w:pPr>
            <w:r>
              <w:rPr>
                <w:rFonts w:ascii="Arial" w:cs="Arial" w:eastAsia="Arial" w:hAnsi="Arial"/>
                <w:sz w:val="18"/>
                <w:szCs w:val="18"/>
                <w:i w:val="1"/>
                <w:iCs w:val="1"/>
                <w:color w:val="auto"/>
              </w:rPr>
              <w:t>$</w:t>
            </w:r>
          </w:p>
        </w:tc>
        <w:tc>
          <w:tcPr>
            <w:tcW w:w="920" w:type="dxa"/>
            <w:vAlign w:val="bottom"/>
          </w:tcPr>
          <w:p>
            <w:pPr>
              <w:spacing w:after="0"/>
              <w:rPr>
                <w:sz w:val="16"/>
                <w:szCs w:val="16"/>
                <w:color w:val="auto"/>
              </w:rPr>
            </w:pPr>
          </w:p>
        </w:tc>
        <w:tc>
          <w:tcPr>
            <w:tcW w:w="7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1960" w:type="dxa"/>
            <w:vAlign w:val="bottom"/>
            <w:gridSpan w:val="3"/>
          </w:tcPr>
          <w:p>
            <w:pPr>
              <w:jc w:val="right"/>
              <w:ind w:right="322"/>
              <w:spacing w:after="0"/>
              <w:rPr>
                <w:sz w:val="20"/>
                <w:szCs w:val="20"/>
                <w:color w:val="auto"/>
              </w:rPr>
            </w:pPr>
            <w:r>
              <w:rPr>
                <w:rFonts w:ascii="Arial" w:cs="Arial" w:eastAsia="Arial" w:hAnsi="Arial"/>
                <w:sz w:val="18"/>
                <w:szCs w:val="18"/>
                <w:i w:val="1"/>
                <w:iCs w:val="1"/>
                <w:color w:val="auto"/>
              </w:rPr>
              <w:t>$</w:t>
            </w:r>
          </w:p>
        </w:tc>
        <w:tc>
          <w:tcPr>
            <w:tcW w:w="1960" w:type="dxa"/>
            <w:vAlign w:val="bottom"/>
            <w:gridSpan w:val="2"/>
          </w:tcPr>
          <w:p>
            <w:pPr>
              <w:jc w:val="right"/>
              <w:ind w:right="424"/>
              <w:spacing w:after="0"/>
              <w:rPr>
                <w:sz w:val="20"/>
                <w:szCs w:val="20"/>
                <w:color w:val="auto"/>
              </w:rPr>
            </w:pPr>
            <w:r>
              <w:rPr>
                <w:rFonts w:ascii="Arial" w:cs="Arial" w:eastAsia="Arial" w:hAnsi="Arial"/>
                <w:sz w:val="18"/>
                <w:szCs w:val="18"/>
                <w:i w:val="1"/>
                <w:iCs w:val="1"/>
                <w:color w:val="auto"/>
              </w:rPr>
              <w:t>$</w:t>
            </w:r>
          </w:p>
        </w:tc>
        <w:tc>
          <w:tcPr>
            <w:tcW w:w="1620" w:type="dxa"/>
            <w:vAlign w:val="bottom"/>
            <w:gridSpan w:val="2"/>
          </w:tcPr>
          <w:p>
            <w:pPr>
              <w:jc w:val="right"/>
              <w:ind w:right="42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980" w:hanging="452"/>
        <w:spacing w:after="0" w:line="277"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FINRA-related expenses. See “Underwriters” for a detailed description of the compensation payable to the underwriters.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have granted the underwriters an option to purchase up to an additional 625,000 shares of common stock to cover over-allotments at the initial public offering price less underwriting discounts and commissions.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i w:val="1"/>
                <w:iCs w:val="1"/>
                <w:color w:val="auto"/>
                <w:w w:val="95"/>
              </w:rPr>
              <w:t>The underwriters expect to deliver the shares of common stock to purchasers on</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20"/>
        <w:spacing w:after="0"/>
        <w:rPr>
          <w:sz w:val="20"/>
          <w:szCs w:val="20"/>
          <w:color w:val="auto"/>
        </w:rPr>
      </w:pPr>
      <w:r>
        <w:rPr>
          <w:rFonts w:ascii="Arial" w:cs="Arial" w:eastAsia="Arial" w:hAnsi="Arial"/>
          <w:sz w:val="29"/>
          <w:szCs w:val="29"/>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31"/>
          <w:szCs w:val="31"/>
          <w:i w:val="1"/>
          <w:iCs w:val="1"/>
          <w:color w:val="auto"/>
        </w:rPr>
        <w:t>WILLIAM BLAIR</w:t>
      </w:r>
    </w:p>
    <w:p>
      <w:pPr>
        <w:spacing w:after="0" w:line="200" w:lineRule="exact"/>
        <w:rPr>
          <w:sz w:val="20"/>
          <w:szCs w:val="20"/>
          <w:color w:val="auto"/>
        </w:rPr>
      </w:pPr>
    </w:p>
    <w:p>
      <w:pPr>
        <w:sectPr>
          <w:pgSz w:w="11900" w:h="16838" w:orient="portrait"/>
          <w:cols w:equalWidth="0" w:num="2">
            <w:col w:w="6740" w:space="720"/>
            <w:col w:w="3780"/>
          </w:cols>
          <w:pgMar w:left="320" w:top="459" w:right="339" w:bottom="1440" w:gutter="0" w:footer="0" w:header="0"/>
          <w:type w:val="continuous"/>
        </w:sectPr>
      </w:pPr>
    </w:p>
    <w:p>
      <w:pPr>
        <w:spacing w:after="0" w:line="33" w:lineRule="exact"/>
        <w:rPr>
          <w:sz w:val="20"/>
          <w:szCs w:val="20"/>
          <w:color w:val="auto"/>
        </w:rPr>
      </w:pPr>
    </w:p>
    <w:p>
      <w:pPr>
        <w:ind w:left="1380"/>
        <w:spacing w:after="0"/>
        <w:rPr>
          <w:sz w:val="20"/>
          <w:szCs w:val="20"/>
          <w:color w:val="auto"/>
        </w:rPr>
      </w:pPr>
      <w:r>
        <w:rPr>
          <w:rFonts w:ascii="Arial" w:cs="Arial" w:eastAsia="Arial" w:hAnsi="Arial"/>
          <w:sz w:val="26"/>
          <w:szCs w:val="26"/>
          <w:i w:val="1"/>
          <w:iCs w:val="1"/>
          <w:color w:val="auto"/>
        </w:rPr>
        <w:t>CANACCORD GENUITY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7"/>
          <w:szCs w:val="27"/>
          <w:i w:val="1"/>
          <w:iCs w:val="1"/>
          <w:color w:val="auto"/>
        </w:rPr>
        <w:t>BTIG</w:t>
      </w:r>
    </w:p>
    <w:p>
      <w:pPr>
        <w:spacing w:after="0" w:line="200" w:lineRule="exact"/>
        <w:rPr>
          <w:sz w:val="20"/>
          <w:szCs w:val="20"/>
          <w:color w:val="auto"/>
        </w:rPr>
      </w:pPr>
    </w:p>
    <w:p>
      <w:pPr>
        <w:sectPr>
          <w:pgSz w:w="11900" w:h="16838" w:orient="portrait"/>
          <w:cols w:equalWidth="0" w:num="2">
            <w:col w:w="7560" w:space="720"/>
            <w:col w:w="2960"/>
          </w:cols>
          <w:pgMar w:left="320" w:top="459" w:right="339"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220345</wp:posOffset>
            </wp:positionV>
            <wp:extent cx="5366385" cy="6943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200"/>
          </w:cols>
          <w:pgMar w:left="320" w:top="459" w:right="379" w:bottom="1440" w:gutter="0" w:footer="0" w:header="0"/>
        </w:sect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80" w:type="dxa"/>
            <w:vAlign w:val="bottom"/>
            <w:gridSpan w:val="8"/>
            <w:vMerge w:val="restart"/>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980" w:type="dxa"/>
            <w:vAlign w:val="bottom"/>
            <w:gridSpan w:val="8"/>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0"/>
        </w:trPr>
        <w:tc>
          <w:tcPr>
            <w:tcW w:w="4980" w:type="dxa"/>
            <w:vAlign w:val="bottom"/>
            <w:gridSpan w:val="8"/>
          </w:tcPr>
          <w:p>
            <w:pPr>
              <w:spacing w:after="0" w:line="190" w:lineRule="exact"/>
              <w:rPr>
                <w:rFonts w:ascii="Arial" w:cs="Arial" w:eastAsia="Arial" w:hAnsi="Arial"/>
                <w:sz w:val="18"/>
                <w:szCs w:val="18"/>
                <w:color w:val="0000EE"/>
              </w:rPr>
            </w:pPr>
            <w:hyperlink w:anchor="page79">
              <w:r>
                <w:rPr>
                  <w:rFonts w:ascii="Arial" w:cs="Arial" w:eastAsia="Arial" w:hAnsi="Arial"/>
                  <w:sz w:val="18"/>
                  <w:szCs w:val="18"/>
                  <w:color w:val="0000EE"/>
                </w:rPr>
                <w:t>SPECIAL NOTE REGARDING FORWARD-LOOKING</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STATEMENTS</w:t>
              </w:r>
            </w:hyperlink>
          </w:p>
        </w:tc>
        <w:tc>
          <w:tcPr>
            <w:tcW w:w="8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8"/>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0"/>
        </w:trPr>
        <w:tc>
          <w:tcPr>
            <w:tcW w:w="4500" w:type="dxa"/>
            <w:vAlign w:val="bottom"/>
            <w:tcBorders>
              <w:bottom w:val="single" w:sz="8" w:color="0000EE"/>
            </w:tcBorders>
            <w:gridSpan w:val="7"/>
          </w:tcPr>
          <w:p>
            <w:pPr>
              <w:spacing w:after="0" w:line="190"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SELECTED HISTORICAL FINANCIAL AND OPERATING</w:t>
              </w:r>
            </w:hyperlink>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DATA</w:t>
              </w:r>
            </w:hyperlink>
          </w:p>
        </w:tc>
        <w:tc>
          <w:tcPr>
            <w:tcW w:w="43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980" w:type="dxa"/>
            <w:vAlign w:val="bottom"/>
            <w:gridSpan w:val="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FINANCIAL CONDITION AND RESULTS OF</w:t>
              </w:r>
            </w:hyperlink>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OPERATIONS</w:t>
              </w:r>
            </w:hyperlink>
          </w:p>
        </w:tc>
        <w:tc>
          <w:tcPr>
            <w:tcW w:w="12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8"/>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30"/>
        </w:trPr>
        <w:tc>
          <w:tcPr>
            <w:tcW w:w="4980" w:type="dxa"/>
            <w:vAlign w:val="bottom"/>
            <w:gridSpan w:val="8"/>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7"/>
            <w:vMerge w:val="restart"/>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CERTAIN RELATIONSHIPS AND RELATED PERSON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5100" w:type="dxa"/>
            <w:vAlign w:val="bottom"/>
            <w:gridSpan w:val="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189">
              <w:r>
                <w:rPr>
                  <w:rFonts w:ascii="Arial" w:cs="Arial" w:eastAsia="Arial" w:hAnsi="Arial"/>
                  <w:sz w:val="18"/>
                  <w:szCs w:val="18"/>
                  <w:color w:val="0000EE"/>
                  <w:w w:val="96"/>
                </w:rPr>
                <w:t>TRANSACTIONS</w:t>
              </w:r>
            </w:hyperlink>
          </w:p>
        </w:tc>
        <w:tc>
          <w:tcPr>
            <w:tcW w:w="2620" w:type="dxa"/>
            <w:vAlign w:val="bottom"/>
            <w:tcBorders>
              <w:top w:val="single" w:sz="8" w:color="0000EE"/>
            </w:tcBorders>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22"/>
        </w:trPr>
        <w:tc>
          <w:tcPr>
            <w:tcW w:w="5100" w:type="dxa"/>
            <w:vAlign w:val="bottom"/>
            <w:gridSpan w:val="7"/>
          </w:tcPr>
          <w:p>
            <w:pPr>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PRINCIPAL STOCKHOLDERS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192</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190"/>
        </w:trPr>
        <w:tc>
          <w:tcPr>
            <w:tcW w:w="5100" w:type="dxa"/>
            <w:vAlign w:val="bottom"/>
            <w:gridSpan w:val="7"/>
          </w:tcPr>
          <w:p>
            <w:pPr>
              <w:spacing w:after="0" w:line="190" w:lineRule="exact"/>
              <w:rPr>
                <w:rFonts w:ascii="Arial" w:cs="Arial" w:eastAsia="Arial" w:hAnsi="Arial"/>
                <w:sz w:val="18"/>
                <w:szCs w:val="18"/>
                <w:color w:val="0000EE"/>
              </w:rPr>
            </w:pPr>
            <w:hyperlink w:anchor="page209">
              <w:r>
                <w:rPr>
                  <w:rFonts w:ascii="Arial" w:cs="Arial" w:eastAsia="Arial" w:hAnsi="Arial"/>
                  <w:sz w:val="18"/>
                  <w:szCs w:val="18"/>
                  <w:color w:val="0000EE"/>
                </w:rPr>
                <w:t>MATERIAL UNITED STATES FEDERAL INCOME TAX</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20" w:type="dxa"/>
            <w:vAlign w:val="bottom"/>
            <w:gridSpan w:val="6"/>
          </w:tcPr>
          <w:p>
            <w:pPr>
              <w:spacing w:after="0" w:line="196" w:lineRule="exact"/>
              <w:rPr>
                <w:rFonts w:ascii="Arial" w:cs="Arial" w:eastAsia="Arial" w:hAnsi="Arial"/>
                <w:sz w:val="18"/>
                <w:szCs w:val="18"/>
                <w:color w:val="0000EE"/>
                <w:w w:val="98"/>
              </w:rPr>
            </w:pPr>
            <w:hyperlink w:anchor="page209">
              <w:r>
                <w:rPr>
                  <w:rFonts w:ascii="Arial" w:cs="Arial" w:eastAsia="Arial" w:hAnsi="Arial"/>
                  <w:sz w:val="18"/>
                  <w:szCs w:val="18"/>
                  <w:color w:val="0000EE"/>
                  <w:w w:val="98"/>
                </w:rPr>
                <w:t>CONSEQUENCES TO NON-UNITED STATES HOLDERS OF</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OUR COMMON STOCK</w:t>
              </w:r>
            </w:hyperlink>
          </w:p>
        </w:tc>
        <w:tc>
          <w:tcPr>
            <w:tcW w:w="2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203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7"/>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UNDERWRITERS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207</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LEGAL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EXPERTS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r>
        <w:trPr>
          <w:trHeight w:val="230"/>
        </w:trPr>
        <w:tc>
          <w:tcPr>
            <w:tcW w:w="5100" w:type="dxa"/>
            <w:vAlign w:val="bottom"/>
            <w:gridSpan w:val="7"/>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INDEX TO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737235</wp:posOffset>
            </wp:positionV>
            <wp:extent cx="1491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320" w:space="420"/>
            <w:col w:w="5460"/>
          </w:cols>
          <w:pgMar w:left="320" w:top="459" w:right="37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information that others may give you. We and the underwriters are not offering to sell, or seeking offers to buy, shares of our common stock in any jurisdiction where such offer or sale is not permitted.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Persons in jurisdictions outside the United States who come into possession of this prospectus and any applicable free writing prospectus must inform themselves about, and observe any restrictions relating to, the offering of the shares of our common stock and the distribution of this prospectus and any applicable free writing prospectus applicable to such jurisdictions.</w:t>
      </w:r>
    </w:p>
    <w:p>
      <w:pPr>
        <w:spacing w:after="0" w:line="180" w:lineRule="exact"/>
        <w:rPr>
          <w:sz w:val="20"/>
          <w:szCs w:val="20"/>
          <w:color w:val="auto"/>
        </w:rPr>
      </w:pPr>
    </w:p>
    <w:p>
      <w:pPr>
        <w:jc w:val="both"/>
        <w:ind w:right="180" w:firstLine="449"/>
        <w:spacing w:after="0" w:line="289" w:lineRule="auto"/>
        <w:rPr>
          <w:sz w:val="20"/>
          <w:szCs w:val="20"/>
          <w:color w:val="auto"/>
        </w:rPr>
      </w:pPr>
      <w:r>
        <w:rPr>
          <w:rFonts w:ascii="Arial" w:cs="Arial" w:eastAsia="Arial" w:hAnsi="Arial"/>
          <w:sz w:val="17"/>
          <w:szCs w:val="17"/>
          <w:b w:val="1"/>
          <w:bCs w:val="1"/>
          <w:color w:val="auto"/>
        </w:rPr>
        <w:t>Until , 2020 (25 days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459" w:right="3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As used in this prospectus, unless the context otherwise requires, the terms “Biodesix,” “company,” “our,” “us,” and “we” in this prospectus refer to Biodesix, Inc., the issuer of the shares of common stock offered hereby.</w:t>
      </w:r>
    </w:p>
    <w:p>
      <w:pPr>
        <w:spacing w:after="0" w:line="170"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Neither we nor any of the underwriters has authorized anyone to provide you any information or to make any representations other than those contained in this prospectus or in any free writing prospectus we have prepared. Neither we, nor any of the underwriters, take responsibility for, or can provide any assurance as to the reliability of, any information that others may give you. This prospectus is an offer to sell only the shares of common stock offered hereby, and only under circumstances and in jurisdictions where it is lawful to do so. You should assume the information contained in this prospectus and any free writing prospectus we authorize to be delivered to you is accurate only as of their respective dates or the date or dates specified in those documents. Our business, financial condition, results of operations and prospects may have changed since those dates.</w:t>
      </w:r>
    </w:p>
    <w:p>
      <w:pPr>
        <w:spacing w:after="0" w:line="164" w:lineRule="exact"/>
        <w:rPr>
          <w:sz w:val="20"/>
          <w:szCs w:val="20"/>
          <w:color w:val="auto"/>
        </w:rPr>
      </w:pPr>
    </w:p>
    <w:p>
      <w:pPr>
        <w:ind w:right="200" w:firstLine="449"/>
        <w:spacing w:after="0" w:line="301" w:lineRule="auto"/>
        <w:rPr>
          <w:sz w:val="20"/>
          <w:szCs w:val="20"/>
          <w:color w:val="auto"/>
        </w:rPr>
      </w:pPr>
      <w:r>
        <w:rPr>
          <w:rFonts w:ascii="Arial" w:cs="Arial" w:eastAsia="Arial" w:hAnsi="Arial"/>
          <w:sz w:val="16"/>
          <w:szCs w:val="16"/>
          <w:color w:val="auto"/>
        </w:rPr>
        <w:t>For investors outside the United States: neither we nor any of the underwriters has done anything that would permit this offering or possession or distribution of this prospectus or the offer and sale of the shares of common stock in any jurisdiction where action for that purpose is required, other than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Unless otherwise indicated, all references in this prospectus to the number and percentages of shares of our common stock outstanding following the completion of this offering:</w:t>
      </w:r>
    </w:p>
    <w:p>
      <w:pPr>
        <w:spacing w:after="0" w:line="76" w:lineRule="exact"/>
        <w:rPr>
          <w:sz w:val="20"/>
          <w:szCs w:val="20"/>
          <w:color w:val="auto"/>
        </w:rPr>
      </w:pPr>
    </w:p>
    <w:p>
      <w:pPr>
        <w:ind w:left="1000" w:right="140" w:hanging="54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the initial public offering price of $18.00 per share of common stock, which is the midpoint of the estimated offering price range set forth on the cover of this prospectus;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that our amended and restated certificate of incorporation, which we will file in connection with the closing of this offering, and our amended and restated bylaws adopted in connection with this offering, are effective;</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the conversion of all outstanding shares of our preferred stock into an aggregate of 20,090,745 shares of common stock immediately upon the closing of this offering;</w:t>
      </w:r>
    </w:p>
    <w:p>
      <w:pPr>
        <w:spacing w:after="0" w:line="75"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the conversion of all convertible debt into an aggregate of 1,848,280 shares of common stock immediately upon the closing of this offering, based on the assumed initial public offering price of $18.00 per share, which is the midpoint of the estimated offering price range set forth on the cover page of this prospectus;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no exercise of the outstanding options or warrants described in this prospectus;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a 0.1684664-for-1 reverse stock split, which became effective October 19,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data included in this prospectus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64"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we believe the market position, market opportunity, market size and medical information included in this prospectus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estimates and beliefs based on that data, may not be reliable and are subject to change based on various factors, including those discussed under “Risk Factors” and “Special Note Regarding Forward-Looking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“Biodesix,” the Biodesix logo and other trademarks or service marks of Biodesix appearing in this prospectus such as GeneStrat</w:t>
      </w:r>
      <w:r>
        <w:rPr>
          <w:rFonts w:ascii="Arial" w:cs="Arial" w:eastAsia="Arial" w:hAnsi="Arial"/>
          <w:sz w:val="15"/>
          <w:szCs w:val="15"/>
          <w:color w:val="auto"/>
        </w:rPr>
        <w:t>®</w:t>
      </w:r>
      <w:r>
        <w:rPr>
          <w:rFonts w:ascii="Arial" w:cs="Arial" w:eastAsia="Arial" w:hAnsi="Arial"/>
          <w:sz w:val="18"/>
          <w:szCs w:val="18"/>
          <w:color w:val="auto"/>
        </w:rPr>
        <w:t>, VeriStrat</w:t>
      </w:r>
      <w:r>
        <w:rPr>
          <w:rFonts w:ascii="Arial" w:cs="Arial" w:eastAsia="Arial" w:hAnsi="Arial"/>
          <w:sz w:val="15"/>
          <w:szCs w:val="15"/>
          <w:color w:val="auto"/>
        </w:rPr>
        <w:t>®</w:t>
      </w:r>
      <w:r>
        <w:rPr>
          <w:rFonts w:ascii="Arial" w:cs="Arial" w:eastAsia="Arial" w:hAnsi="Arial"/>
          <w:sz w:val="18"/>
          <w:szCs w:val="18"/>
          <w:color w:val="auto"/>
        </w:rPr>
        <w:t>, Nodify XL2</w:t>
      </w:r>
      <w:r>
        <w:rPr>
          <w:rFonts w:ascii="Arial" w:cs="Arial" w:eastAsia="Arial" w:hAnsi="Arial"/>
          <w:sz w:val="15"/>
          <w:szCs w:val="15"/>
          <w:color w:val="auto"/>
        </w:rPr>
        <w:t>®</w:t>
      </w:r>
      <w:r>
        <w:rPr>
          <w:rFonts w:ascii="Arial" w:cs="Arial" w:eastAsia="Arial" w:hAnsi="Arial"/>
          <w:sz w:val="18"/>
          <w:szCs w:val="18"/>
          <w:color w:val="auto"/>
        </w:rPr>
        <w:t>, Nodify CDT</w:t>
      </w:r>
      <w:r>
        <w:rPr>
          <w:rFonts w:ascii="Arial" w:cs="Arial" w:eastAsia="Arial" w:hAnsi="Arial"/>
          <w:sz w:val="15"/>
          <w:szCs w:val="15"/>
          <w:color w:val="auto"/>
        </w:rPr>
        <w:t>™</w:t>
      </w:r>
      <w:r>
        <w:rPr>
          <w:rFonts w:ascii="Arial" w:cs="Arial" w:eastAsia="Arial" w:hAnsi="Arial"/>
          <w:sz w:val="18"/>
          <w:szCs w:val="18"/>
          <w:color w:val="auto"/>
        </w:rPr>
        <w:t>, Diagnostic Cortex</w:t>
      </w:r>
      <w:r>
        <w:rPr>
          <w:rFonts w:ascii="Arial" w:cs="Arial" w:eastAsia="Arial" w:hAnsi="Arial"/>
          <w:sz w:val="15"/>
          <w:szCs w:val="15"/>
          <w:color w:val="auto"/>
        </w:rPr>
        <w:t>®</w:t>
      </w:r>
      <w:r>
        <w:rPr>
          <w:rFonts w:ascii="Arial" w:cs="Arial" w:eastAsia="Arial" w:hAnsi="Arial"/>
          <w:sz w:val="18"/>
          <w:szCs w:val="18"/>
          <w:color w:val="auto"/>
        </w:rPr>
        <w:t>, and DeepMALDI</w:t>
      </w:r>
      <w:r>
        <w:rPr>
          <w:rFonts w:ascii="Arial" w:cs="Arial" w:eastAsia="Arial" w:hAnsi="Arial"/>
          <w:sz w:val="15"/>
          <w:szCs w:val="15"/>
          <w:color w:val="auto"/>
        </w:rPr>
        <w:t>®</w:t>
      </w:r>
      <w:r>
        <w:rPr>
          <w:rFonts w:ascii="Arial" w:cs="Arial" w:eastAsia="Arial" w:hAnsi="Arial"/>
          <w:sz w:val="18"/>
          <w:szCs w:val="18"/>
          <w:color w:val="auto"/>
        </w:rPr>
        <w:t>, among others, are our property. We will assert, to the fullest extent under applicable law, our rights to these trademarks, service marks, trade names and copyrights.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Although trademark and registered mark symbols are not used throughout, this does not in any way indicate that we are disclaiming ownership of the words and images with which these trademarks and registered marks are associated.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33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i w:val="1"/>
          <w:iCs w:val="1"/>
          <w:color w:val="auto"/>
        </w:rPr>
        <w:t>This summary highlights information contained in greater detail elsewhere in this prospectus. This summary is not complete and does not contain all of the information you should consider before investing in our common stock. You should read the entire prospectus carefully, especially the risks of investing in our common stock discussed under the heading “Risk Factors,” and our financial statements and related notes included elsewhere in this prospectus. Unless the context otherwise requires, the terms “Biodesix,” “company,” “our,” “us,” and “we” in this prospectus refer to Biodesix, Inc.</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140" w:firstLine="434"/>
        <w:spacing w:after="0" w:line="254" w:lineRule="auto"/>
        <w:rPr>
          <w:sz w:val="20"/>
          <w:szCs w:val="20"/>
          <w:color w:val="auto"/>
        </w:rPr>
      </w:pPr>
      <w:r>
        <w:rPr>
          <w:rFonts w:ascii="Arial" w:cs="Arial" w:eastAsia="Arial" w:hAnsi="Arial"/>
          <w:sz w:val="18"/>
          <w:szCs w:val="18"/>
          <w:color w:val="auto"/>
        </w:rPr>
        <w:t>We are a leading data-driven diagnostic solutions company leveraging state of the art technologies with our proprietary artificial intelligence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left="200" w:right="40" w:firstLine="434"/>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w:t>
      </w:r>
      <w:r>
        <w:rPr>
          <w:rFonts w:ascii="Arial" w:cs="Arial" w:eastAsia="Arial" w:hAnsi="Arial"/>
          <w:sz w:val="13"/>
          <w:szCs w:val="13"/>
          <w:color w:val="auto"/>
        </w:rPr>
        <w:t>®</w:t>
      </w:r>
      <w:r>
        <w:rPr>
          <w:rFonts w:ascii="Arial" w:cs="Arial" w:eastAsia="Arial" w:hAnsi="Arial"/>
          <w:sz w:val="16"/>
          <w:szCs w:val="16"/>
          <w:color w:val="auto"/>
        </w:rPr>
        <w:t>, to discover innovative diagnostic tests for clinical use. Because of this approach, we believe we are unique in the diagnostics market as this approach allows for a broader and more holistic understanding of each patient’s disease state.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left="200" w:right="240" w:firstLine="434"/>
        <w:spacing w:after="0" w:line="279" w:lineRule="auto"/>
        <w:rPr>
          <w:sz w:val="20"/>
          <w:szCs w:val="20"/>
          <w:color w:val="auto"/>
        </w:rPr>
      </w:pPr>
      <w:r>
        <w:rPr>
          <w:rFonts w:ascii="Arial" w:cs="Arial" w:eastAsia="Arial" w:hAnsi="Arial"/>
          <w:sz w:val="17"/>
          <w:szCs w:val="17"/>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71" w:lineRule="exact"/>
        <w:rPr>
          <w:sz w:val="20"/>
          <w:szCs w:val="20"/>
          <w:color w:val="auto"/>
        </w:rPr>
      </w:pPr>
    </w:p>
    <w:p>
      <w:pPr>
        <w:ind w:left="200" w:right="500" w:firstLine="434"/>
        <w:spacing w:after="0" w:line="277" w:lineRule="auto"/>
        <w:rPr>
          <w:sz w:val="20"/>
          <w:szCs w:val="20"/>
          <w:color w:val="auto"/>
        </w:rPr>
      </w:pPr>
      <w:r>
        <w:rPr>
          <w:rFonts w:ascii="Arial" w:cs="Arial" w:eastAsia="Arial" w:hAnsi="Arial"/>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four diagnostic blood-based tests across the lung cancer continuum of care.</w:t>
      </w:r>
    </w:p>
    <w:p>
      <w:pPr>
        <w:spacing w:after="0" w:line="131" w:lineRule="exact"/>
        <w:rPr>
          <w:sz w:val="20"/>
          <w:szCs w:val="20"/>
          <w:color w:val="auto"/>
        </w:rPr>
      </w:pPr>
    </w:p>
    <w:p>
      <w:pPr>
        <w:ind w:left="1160" w:right="20" w:hanging="534"/>
        <w:spacing w:after="0" w:line="286"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Nodify XL2</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Nodify CDT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part of our Nodify Lung</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Nodule Risk Assessment testing strategy, assess the risk of</w:t>
      </w:r>
      <w:r>
        <w:rPr>
          <w:rFonts w:ascii="Arial" w:cs="Arial" w:eastAsia="Arial" w:hAnsi="Arial"/>
          <w:sz w:val="17"/>
          <w:szCs w:val="17"/>
          <w:i w:val="1"/>
          <w:iCs w:val="1"/>
          <w:color w:val="auto"/>
        </w:rPr>
        <w:t xml:space="preserve"> </w:t>
      </w:r>
      <w:r>
        <w:rPr>
          <w:rFonts w:ascii="Arial" w:cs="Arial" w:eastAsia="Arial" w:hAnsi="Arial"/>
          <w:sz w:val="17"/>
          <w:szCs w:val="17"/>
          <w:color w:val="auto"/>
        </w:rPr>
        <w:t>lung cancer to help identify the most appropriate treatment pathway. We believe we are the only company to offer two commercial blood-based tests to help physicians reclassify risk of malignancy in patients with suspicious lung nodules.</w:t>
      </w:r>
    </w:p>
    <w:p>
      <w:pPr>
        <w:spacing w:after="0" w:line="70" w:lineRule="exact"/>
        <w:rPr>
          <w:rFonts w:ascii="Arial" w:cs="Arial" w:eastAsia="Arial" w:hAnsi="Arial"/>
          <w:sz w:val="17"/>
          <w:szCs w:val="17"/>
          <w:color w:val="auto"/>
        </w:rPr>
      </w:pPr>
    </w:p>
    <w:p>
      <w:pPr>
        <w:ind w:left="1160" w:right="200" w:hanging="53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GeneStrat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tests, marketed as part of our Biodesix Lung Reflex</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strategy, are used following diagnosis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measure the presence of mutations in the tumor and the state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99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60"/>
        <w:spacing w:after="0" w:line="263" w:lineRule="auto"/>
        <w:rPr>
          <w:sz w:val="20"/>
          <w:szCs w:val="20"/>
          <w:color w:val="auto"/>
        </w:rPr>
      </w:pPr>
      <w:r>
        <w:rPr>
          <w:rFonts w:ascii="Arial" w:cs="Arial" w:eastAsia="Arial" w:hAnsi="Arial"/>
          <w:sz w:val="18"/>
          <w:szCs w:val="18"/>
          <w:color w:val="auto"/>
        </w:rPr>
        <w:t>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184" w:lineRule="exact"/>
        <w:rPr>
          <w:sz w:val="20"/>
          <w:szCs w:val="20"/>
          <w:color w:val="auto"/>
        </w:rPr>
      </w:pPr>
    </w:p>
    <w:p>
      <w:pPr>
        <w:jc w:val="both"/>
        <w:ind w:left="200" w:right="60" w:firstLine="434"/>
        <w:spacing w:after="0" w:line="286" w:lineRule="auto"/>
        <w:rPr>
          <w:sz w:val="20"/>
          <w:szCs w:val="20"/>
          <w:color w:val="auto"/>
        </w:rPr>
      </w:pPr>
      <w:r>
        <w:rPr>
          <w:rFonts w:ascii="Arial" w:cs="Arial" w:eastAsia="Arial" w:hAnsi="Arial"/>
          <w:sz w:val="16"/>
          <w:szCs w:val="16"/>
          <w:color w:val="auto"/>
        </w:rPr>
        <w:t>In response to the COVID-19 pandemic, through our partnership with Bio-Rad, we commercialized the Biodesix WorkSafe</w:t>
      </w:r>
      <w:r>
        <w:rPr>
          <w:rFonts w:ascii="Arial" w:cs="Arial" w:eastAsia="Arial" w:hAnsi="Arial"/>
          <w:sz w:val="13"/>
          <w:szCs w:val="13"/>
          <w:color w:val="auto"/>
        </w:rPr>
        <w:t>™</w:t>
      </w:r>
      <w:r>
        <w:rPr>
          <w:rFonts w:ascii="Arial" w:cs="Arial" w:eastAsia="Arial" w:hAnsi="Arial"/>
          <w:sz w:val="16"/>
          <w:szCs w:val="16"/>
          <w:color w:val="auto"/>
        </w:rPr>
        <w:t xml:space="preserve"> testing program. Our scientific diagnostic expertise, technologies, and existing commercial infrastructure enabled us to rapidly commercialize two United States Food and Drug Administration (FDA) Emergency Use Authorization (EUA)-authorized tests, a part of our customizable program. Both diagnostic tests are owned and were developed by Bio-Rad and Bio-Rad has granted us permission to utilize both tests for commercial diagnostic services.</w:t>
      </w:r>
    </w:p>
    <w:p>
      <w:pPr>
        <w:spacing w:after="0" w:line="1" w:lineRule="exact"/>
        <w:rPr>
          <w:sz w:val="20"/>
          <w:szCs w:val="20"/>
          <w:color w:val="auto"/>
        </w:rPr>
      </w:pPr>
    </w:p>
    <w:p>
      <w:pPr>
        <w:ind w:left="200" w:right="140"/>
        <w:spacing w:after="0" w:line="285" w:lineRule="auto"/>
        <w:rPr>
          <w:sz w:val="20"/>
          <w:szCs w:val="20"/>
          <w:color w:val="auto"/>
        </w:rPr>
      </w:pPr>
      <w:r>
        <w:rPr>
          <w:rFonts w:ascii="Arial" w:cs="Arial" w:eastAsia="Arial" w:hAnsi="Arial"/>
          <w:sz w:val="16"/>
          <w:szCs w:val="16"/>
          <w:color w:val="auto"/>
        </w:rPr>
        <w:t>U.S. Department of Health and Human Services Secretary Alex Azar II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 will remain in place. Using the Bio-Rad SARS-CoV-2 ddPCR test and the Platelia SARS-CoV-2 Total Ab tests, we operate and have commercialized the Biodesix WorkSafe testing program.</w:t>
      </w:r>
    </w:p>
    <w:p>
      <w:pPr>
        <w:spacing w:after="0" w:line="174" w:lineRule="exact"/>
        <w:rPr>
          <w:sz w:val="20"/>
          <w:szCs w:val="20"/>
          <w:color w:val="auto"/>
        </w:rPr>
      </w:pPr>
    </w:p>
    <w:p>
      <w:pPr>
        <w:ind w:left="200" w:right="100" w:firstLine="434"/>
        <w:spacing w:after="0" w:line="293" w:lineRule="auto"/>
        <w:rPr>
          <w:sz w:val="20"/>
          <w:szCs w:val="20"/>
          <w:color w:val="auto"/>
        </w:rPr>
      </w:pPr>
      <w:r>
        <w:rPr>
          <w:rFonts w:ascii="Arial" w:cs="Arial" w:eastAsia="Arial" w:hAnsi="Arial"/>
          <w:sz w:val="16"/>
          <w:szCs w:val="16"/>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64" w:lineRule="exact"/>
        <w:rPr>
          <w:sz w:val="20"/>
          <w:szCs w:val="20"/>
          <w:color w:val="auto"/>
        </w:rPr>
      </w:pPr>
    </w:p>
    <w:p>
      <w:pPr>
        <w:ind w:left="200" w:right="20" w:firstLine="434"/>
        <w:spacing w:after="0" w:line="296" w:lineRule="auto"/>
        <w:rPr>
          <w:sz w:val="20"/>
          <w:szCs w:val="20"/>
          <w:color w:val="auto"/>
        </w:rPr>
      </w:pPr>
      <w:r>
        <w:rPr>
          <w:rFonts w:ascii="Arial" w:cs="Arial" w:eastAsia="Arial" w:hAnsi="Arial"/>
          <w:sz w:val="16"/>
          <w:szCs w:val="16"/>
          <w:color w:val="auto"/>
        </w:rPr>
        <w:t>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61"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Since our inception, we have performed over 245,000 tests and continue to generate a large and growing body of clinical evidence. We have participated in 27 clinical studies, four of which are ongoing, and have published over 275 peer-reviewed publications and presentations. We have over 140,000 samples and data in our biobank, including tumor profiles and immune profiles, which are used for both internal and external research and development (R&amp;D) initiatives.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00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Diagnostic Testing</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Biomarker Discovery &amp; Companion Diagnostics</w:t>
      </w:r>
    </w:p>
    <w:p>
      <w:pPr>
        <w:spacing w:after="0" w:line="117"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chances of drug development success. We estimate that the biopharmaceutical partnering and research opportunities represent over a $2 billion market annually.</w:t>
      </w: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64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 and Technologies</w:t>
      </w:r>
    </w:p>
    <w:p>
      <w:pPr>
        <w:spacing w:after="0" w:line="121" w:lineRule="exact"/>
        <w:rPr>
          <w:sz w:val="20"/>
          <w:szCs w:val="20"/>
          <w:color w:val="auto"/>
        </w:rPr>
      </w:pPr>
    </w:p>
    <w:p>
      <w:pPr>
        <w:ind w:left="200" w:firstLine="434"/>
        <w:spacing w:after="0" w:line="291" w:lineRule="auto"/>
        <w:rPr>
          <w:sz w:val="20"/>
          <w:szCs w:val="20"/>
          <w:color w:val="auto"/>
        </w:rPr>
      </w:pPr>
      <w:r>
        <w:rPr>
          <w:rFonts w:ascii="Arial" w:cs="Arial" w:eastAsia="Arial" w:hAnsi="Arial"/>
          <w:sz w:val="16"/>
          <w:szCs w:val="16"/>
          <w:color w:val="auto"/>
        </w:rPr>
        <w:t>We use combinations of tumor, immune and host profiling, radiological imaging, patient clinical profiling, and our proprietary AI platform, the Diagnostic Cortex, to provide a holistic view of each patient’s dynamic disease state. The Diagnostic Cortex is an extensively validated deep learning platform optimized for the discovery of clinical diagnostic tests, which we believe overcomes standard machine learning challenges faced in life sciences research. We employ multiple technologies, as illustrated below, including genomics, proteomics, transcriptomics, and radiomics, generated by different assay techniques, including Droplet Digital</w:t>
      </w:r>
      <w:r>
        <w:rPr>
          <w:rFonts w:ascii="Arial" w:cs="Arial" w:eastAsia="Arial" w:hAnsi="Arial"/>
          <w:sz w:val="13"/>
          <w:szCs w:val="13"/>
          <w:color w:val="auto"/>
        </w:rPr>
        <w:t>™</w:t>
      </w:r>
      <w:r>
        <w:rPr>
          <w:rFonts w:ascii="Arial" w:cs="Arial" w:eastAsia="Arial" w:hAnsi="Arial"/>
          <w:sz w:val="16"/>
          <w:szCs w:val="16"/>
          <w:color w:val="auto"/>
        </w:rPr>
        <w:t xml:space="preserve"> (ddPCR), next generation sequencing (NGS), liquid chromatography mass spectrometry (LC-MS), enzyme-linked immunosorbent assay (ELISA), and our proprietary DeepMALDI</w:t>
      </w:r>
      <w:r>
        <w:rPr>
          <w:rFonts w:ascii="Arial" w:cs="Arial" w:eastAsia="Arial" w:hAnsi="Arial"/>
          <w:sz w:val="13"/>
          <w:szCs w:val="13"/>
          <w:color w:val="auto"/>
        </w:rPr>
        <w:t>®</w:t>
      </w:r>
      <w:r>
        <w:rPr>
          <w:rFonts w:ascii="Arial" w:cs="Arial" w:eastAsia="Arial" w:hAnsi="Arial"/>
          <w:sz w:val="16"/>
          <w:szCs w:val="16"/>
          <w:color w:val="auto"/>
        </w:rPr>
        <w:t xml:space="preserve"> mass spectrometry platform for the blood-based molecular analysis of the tumor, immune system, and host-status of each patient and/or clinical dataset.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31" w:lineRule="exact"/>
        <w:rPr>
          <w:sz w:val="20"/>
          <w:szCs w:val="20"/>
          <w:color w:val="auto"/>
        </w:rPr>
      </w:pPr>
    </w:p>
    <w:p>
      <w:pPr>
        <w:ind w:left="1160" w:right="38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proprietary extensively validated deep learning platform, which is tailored to discover clinical diagnostics that address clinical unmet needs;</w:t>
      </w:r>
    </w:p>
    <w:p>
      <w:pPr>
        <w:spacing w:after="0" w:line="75" w:lineRule="exact"/>
        <w:rPr>
          <w:rFonts w:ascii="Arial" w:cs="Arial" w:eastAsia="Arial" w:hAnsi="Arial"/>
          <w:sz w:val="18"/>
          <w:szCs w:val="18"/>
          <w:color w:val="auto"/>
        </w:rPr>
      </w:pPr>
    </w:p>
    <w:p>
      <w:pPr>
        <w:ind w:left="1160" w:right="20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data-driven approach to precision medicine combined with our data biobank, which enables us to accelerate development of new tests;</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leadership in clinical proteomics, demonstrated research, development, and scientific expertise, combined with our intellectual property portfolio;</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demonstrated success commercializing diagnostic tests across a broad continuum of care in lung disease;</w:t>
      </w:r>
    </w:p>
    <w:p>
      <w:pPr>
        <w:spacing w:after="0" w:line="130" w:lineRule="exact"/>
        <w:rPr>
          <w:rFonts w:ascii="Arial" w:cs="Arial" w:eastAsia="Arial" w:hAnsi="Arial"/>
          <w:sz w:val="18"/>
          <w:szCs w:val="18"/>
          <w:color w:val="auto"/>
        </w:rPr>
      </w:pPr>
    </w:p>
    <w:p>
      <w:pPr>
        <w:ind w:left="1160" w:right="8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depth and breadth of point of care access to physicians allows us to drive adoption of our diagnostic tests while incorporating real-life feedback to inform new product development; and</w:t>
      </w:r>
    </w:p>
    <w:p>
      <w:pPr>
        <w:spacing w:after="0" w:line="75" w:lineRule="exact"/>
        <w:rPr>
          <w:rFonts w:ascii="Arial" w:cs="Arial" w:eastAsia="Arial" w:hAnsi="Arial"/>
          <w:sz w:val="18"/>
          <w:szCs w:val="18"/>
          <w:color w:val="auto"/>
        </w:rPr>
      </w:pPr>
    </w:p>
    <w:p>
      <w:pPr>
        <w:ind w:left="1160" w:right="70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 infrastructure, which is built on extensive knowledge and experience in sales, marketing, reimbursement, and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120" w:firstLine="434"/>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76" w:lineRule="exact"/>
        <w:rPr>
          <w:sz w:val="20"/>
          <w:szCs w:val="20"/>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Drive increased awareness, adoption, and reimbursement coverage of our diagnostic tests;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Deepen our relationships with current biopharmaceutical customers and establish new customer opportunities;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41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Introduce new diagnostic tests in lung disease;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demonstrate the clinical utility and economic benefits of our diagnostic tests;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our proprietary AI platform and expand our technology portfolio;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leverage and expand our biobank.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92" w:lineRule="exact"/>
        <w:rPr>
          <w:sz w:val="20"/>
          <w:szCs w:val="20"/>
          <w:color w:val="auto"/>
        </w:rPr>
      </w:pPr>
    </w:p>
    <w:p>
      <w:pPr>
        <w:ind w:left="200" w:right="100" w:firstLine="434"/>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 See “Risk Factors” for a description of how the COVID-19 pandemic may adversely affect our business, financial condition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Results for Third Quarter 2020</w:t>
      </w:r>
    </w:p>
    <w:p>
      <w:pPr>
        <w:spacing w:after="0" w:line="121" w:lineRule="exact"/>
        <w:rPr>
          <w:sz w:val="20"/>
          <w:szCs w:val="20"/>
          <w:color w:val="auto"/>
        </w:rPr>
      </w:pPr>
    </w:p>
    <w:p>
      <w:pPr>
        <w:ind w:left="200" w:right="220" w:firstLine="434"/>
        <w:spacing w:after="0" w:line="259" w:lineRule="auto"/>
        <w:rPr>
          <w:sz w:val="20"/>
          <w:szCs w:val="20"/>
          <w:color w:val="auto"/>
        </w:rPr>
      </w:pPr>
      <w:r>
        <w:rPr>
          <w:rFonts w:ascii="Arial" w:cs="Arial" w:eastAsia="Arial" w:hAnsi="Arial"/>
          <w:sz w:val="18"/>
          <w:szCs w:val="18"/>
          <w:color w:val="auto"/>
        </w:rPr>
        <w:t>The following presents our preliminary unaudited estimates of our revenues, operating expenses and net loss for the three months and nine months ended September 30, 2020, our actual unaudited revenues, operating expenses and net loss for the three months and nine months ended September 30, 2019, and our unaudited estimate for cash and cash equivalents as of September 30, 2020. Our financial statements as of, and for the three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7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months and nine months ended, September 30, 2020 are not yet available and are subject to completion of our financial closing procedures. The following information reflects our preliminary estimates based on currently available information and is subject to change as we complete our quarter end procedures. We have provided ranges, rather than specific amounts, for revenues, operating expenses and net loss for the periods described below primarily because we are still in the process of finalizing our financial results as of, and for the three months and nine months ended, September 30, 2020. Our final actual reported results may vary from these preliminary estimates and may not be indicative of our final reported financial results for these periods or for the remainder of 2020.</w:t>
      </w:r>
    </w:p>
    <w:p>
      <w:pPr>
        <w:spacing w:after="0" w:line="98" w:lineRule="exact"/>
        <w:rPr>
          <w:sz w:val="20"/>
          <w:szCs w:val="20"/>
          <w:color w:val="auto"/>
        </w:rPr>
      </w:pPr>
    </w:p>
    <w:p>
      <w:pPr>
        <w:ind w:left="1160" w:right="20" w:hanging="534"/>
        <w:spacing w:after="0" w:line="25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months ended September 30, 2020, we estimate that we generated total revenue of $8.7 million to $9.2 million compared to $3.9 million for the three months ended September 30, 2019. For the three months ended September 30, 2020, our diagnostic test revenue comprised an estimated 93% of our total revenues and services revenue comprised an estimated 7% of our total revenues compared to 96% and 4%, respectively, for the three months ended September 30, 2019. COVID-19 diagnostic testing revenue comprised $5.3 million to $5.6 million of our diagnostic test revenue for the three months ended September 30, 2020. We had cash and cash equivalents of $6.5 million as of September 30, 2020.</w:t>
      </w:r>
    </w:p>
    <w:p>
      <w:pPr>
        <w:spacing w:after="0" w:line="97" w:lineRule="exact"/>
        <w:rPr>
          <w:rFonts w:ascii="Arial" w:cs="Arial" w:eastAsia="Arial" w:hAnsi="Arial"/>
          <w:sz w:val="18"/>
          <w:szCs w:val="18"/>
          <w:color w:val="auto"/>
        </w:rPr>
      </w:pPr>
    </w:p>
    <w:p>
      <w:pPr>
        <w:ind w:left="1160" w:right="60" w:hanging="534"/>
        <w:spacing w:after="0" w:line="296"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nine months ended September 30, 2020, we estimate that we generated total revenue of $18.1 million to $18.5 million compared to $16.3 million for the nine months ended September 30, 2019. For the nine months ended September 30, 2020, our diagnostic test revenue comprised an estimated 85% of our total revenues and services revenue comprised an estimated 15% of our total revenues compared to 78% and 22%, respectively, for the nine months ended September 30, 2019. COVID-19 diagnostic testing revenue comprised $6.6 million to $6.9 million of our diagnostic test revenue for the nine months ended September 30, 2020.</w:t>
      </w:r>
    </w:p>
    <w:p>
      <w:pPr>
        <w:spacing w:after="0" w:line="161" w:lineRule="exact"/>
        <w:rPr>
          <w:sz w:val="20"/>
          <w:szCs w:val="20"/>
          <w:color w:val="auto"/>
        </w:rPr>
      </w:pPr>
    </w:p>
    <w:p>
      <w:pPr>
        <w:ind w:left="200" w:right="100" w:firstLine="434"/>
        <w:spacing w:after="0" w:line="272" w:lineRule="auto"/>
        <w:rPr>
          <w:sz w:val="20"/>
          <w:szCs w:val="20"/>
          <w:color w:val="auto"/>
        </w:rPr>
      </w:pPr>
      <w:r>
        <w:rPr>
          <w:rFonts w:ascii="Arial" w:cs="Arial" w:eastAsia="Arial" w:hAnsi="Arial"/>
          <w:sz w:val="17"/>
          <w:szCs w:val="17"/>
          <w:color w:val="auto"/>
        </w:rPr>
        <w:t>Due in large part to the COVID-19 pandemic, our revenues for the six months ended June 30, 2020 were substantially reduced as compared to the six months ended June 30, 2019. Total revenues were down 24% for the six month period ended June 30, 2020 compared to the six month period ended June 30, 2019 due to shelter-in-place orders which reduced our non-COVID-19 testing revenues by 34%. In the nine months ended September 30, 2020, our revenues increased as a result of our COVID-19 testing program revenue and an increase in non-COVID-19 testing revenue as more shelter-in-place orders were withdrawn and more lung diagnostic testing was undertaken. We estimate that our total revenues increased by 106% to 117% for the third quarter of 2020 compared to the second quarter of 2020 driven largely by increases in revenue from COVID-19 testing and a 25% to 32% increase in non-COVID-19 testing revenues.</w:t>
      </w:r>
    </w:p>
    <w:p>
      <w:pPr>
        <w:spacing w:after="0" w:line="83" w:lineRule="exact"/>
        <w:rPr>
          <w:sz w:val="20"/>
          <w:szCs w:val="20"/>
          <w:color w:val="auto"/>
        </w:rPr>
      </w:pPr>
    </w:p>
    <w:p>
      <w:pPr>
        <w:ind w:left="1160" w:right="20" w:hanging="534"/>
        <w:spacing w:after="0" w:line="311"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three months ended September 30, 2020, we estimate that we incurred total operating expense of $15.5 million to $16.3 million compared to $13.0 million for the three months ended September 30, 2019. For the three months ended September 30, 2020, we estimate we incurred net losses of $8.8 million to $9.2 million compared to $9.6 million for the three months ended September 30, 2019.</w:t>
      </w:r>
    </w:p>
    <w:p>
      <w:pPr>
        <w:spacing w:after="0" w:line="54" w:lineRule="exact"/>
        <w:rPr>
          <w:rFonts w:ascii="Arial" w:cs="Arial" w:eastAsia="Arial" w:hAnsi="Arial"/>
          <w:sz w:val="16"/>
          <w:szCs w:val="16"/>
          <w:color w:val="auto"/>
        </w:rPr>
      </w:pPr>
    </w:p>
    <w:p>
      <w:pPr>
        <w:ind w:left="1160" w:right="100" w:hanging="534"/>
        <w:spacing w:after="0" w:line="311"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nine months ended September 30, 2020, we estimate that we incurred total operating expense of $38.8 million to $39.6 million compared to $39.5 million for the nine months ended September 30, 2019. For the nine months ended September 30, 2020, we estimate we incurred net losses of $26.8 million to $27.2 million compared to $24.2 million for the nine months ended September 30, 2019.</w:t>
      </w:r>
    </w:p>
    <w:p>
      <w:pPr>
        <w:spacing w:after="0" w:line="149"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The information above should be read in conjunction with our financial statements and the related notes and “Management’s Discussion and Analysis of Financial Condition and Results of Operations” for prior periods included elsewhere in this prospectus. Our actual results for the nine months ended September 30, 2020 are not yet available as a result of quarter-end closing and review procedures not being completed and may not necessarily be indicative of the results to be expected for the remainder of 2020 or any future period. Accordingly, you should not place undue reliance upon these preliminary estimates, which are subject to risks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62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311" w:lineRule="auto"/>
        <w:rPr>
          <w:sz w:val="20"/>
          <w:szCs w:val="20"/>
          <w:color w:val="auto"/>
        </w:rPr>
      </w:pPr>
      <w:r>
        <w:rPr>
          <w:rFonts w:ascii="Arial" w:cs="Arial" w:eastAsia="Arial" w:hAnsi="Arial"/>
          <w:sz w:val="16"/>
          <w:szCs w:val="16"/>
          <w:color w:val="auto"/>
        </w:rPr>
        <w:t>and uncertainties, many of which are not within our control. Please see “Risk Factors” and “Special Note Regarding Forward-Looking Statements” for additional information regarding factors that could result in differences between the preliminary estimates of certain of our financial results presented above and the actual financial results and other information we will report as of and for the nine months ended September 30, 2020.</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640" w:firstLine="434"/>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without limitation, the following:</w:t>
      </w:r>
    </w:p>
    <w:p>
      <w:pPr>
        <w:spacing w:after="0" w:line="76" w:lineRule="exact"/>
        <w:rPr>
          <w:sz w:val="20"/>
          <w:szCs w:val="20"/>
          <w:color w:val="auto"/>
        </w:rPr>
      </w:pPr>
    </w:p>
    <w:p>
      <w:pPr>
        <w:ind w:left="1160" w:right="14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net losses, and we expect to continue to incur losses for the foreseeable future. If we achieve profitability, we may not be able to sustain it.</w:t>
      </w:r>
    </w:p>
    <w:p>
      <w:pPr>
        <w:spacing w:after="0" w:line="75" w:lineRule="exact"/>
        <w:rPr>
          <w:rFonts w:ascii="Arial" w:cs="Arial" w:eastAsia="Arial" w:hAnsi="Arial"/>
          <w:sz w:val="18"/>
          <w:szCs w:val="18"/>
          <w:color w:val="auto"/>
        </w:rPr>
      </w:pPr>
    </w:p>
    <w:p>
      <w:pPr>
        <w:ind w:left="1160" w:right="32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30" w:lineRule="exact"/>
        <w:rPr>
          <w:rFonts w:ascii="Arial" w:cs="Arial" w:eastAsia="Arial" w:hAnsi="Arial"/>
          <w:sz w:val="18"/>
          <w:szCs w:val="18"/>
          <w:color w:val="auto"/>
        </w:rPr>
      </w:pPr>
    </w:p>
    <w:p>
      <w:pPr>
        <w:ind w:left="1160" w:right="120" w:hanging="534"/>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rFonts w:ascii="Arial" w:cs="Arial" w:eastAsia="Arial" w:hAnsi="Arial"/>
          <w:sz w:val="17"/>
          <w:szCs w:val="17"/>
          <w:color w:val="auto"/>
        </w:rPr>
      </w:pPr>
    </w:p>
    <w:p>
      <w:pPr>
        <w:ind w:left="1160" w:right="68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cannot maintain our current relationships, or enter into new relationships, with biopharmaceutical companies, our revenue prospects could be reduced.</w:t>
      </w:r>
    </w:p>
    <w:p>
      <w:pPr>
        <w:spacing w:after="0" w:line="75" w:lineRule="exact"/>
        <w:rPr>
          <w:rFonts w:ascii="Arial" w:cs="Arial" w:eastAsia="Arial" w:hAnsi="Arial"/>
          <w:sz w:val="18"/>
          <w:szCs w:val="18"/>
          <w:color w:val="auto"/>
        </w:rPr>
      </w:pPr>
    </w:p>
    <w:p>
      <w:pPr>
        <w:ind w:left="1160" w:right="26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 success and revenue growth are highly dependent on the demand for, and increased adoption of, our diagnostic tests, including our COVID-19 testing program, which are subject to a number of risks and uncertainty.</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need to ensure strong product performance and reliability to maintain and grow our business.</w:t>
      </w:r>
    </w:p>
    <w:p>
      <w:pPr>
        <w:spacing w:after="0" w:line="130"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third-party suppliers, including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160" w:right="22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89" w:lineRule="exact"/>
        <w:rPr>
          <w:rFonts w:ascii="Arial" w:cs="Arial" w:eastAsia="Arial" w:hAnsi="Arial"/>
          <w:sz w:val="18"/>
          <w:szCs w:val="18"/>
          <w:color w:val="auto"/>
        </w:rPr>
      </w:pPr>
    </w:p>
    <w:p>
      <w:pPr>
        <w:ind w:left="1160" w:right="24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89" w:lineRule="exact"/>
        <w:rPr>
          <w:rFonts w:ascii="Arial" w:cs="Arial" w:eastAsia="Arial" w:hAnsi="Arial"/>
          <w:sz w:val="18"/>
          <w:szCs w:val="18"/>
          <w:color w:val="auto"/>
        </w:rPr>
      </w:pPr>
    </w:p>
    <w:p>
      <w:pPr>
        <w:ind w:left="1160" w:right="8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89" w:lineRule="exact"/>
        <w:rPr>
          <w:rFonts w:ascii="Arial" w:cs="Arial" w:eastAsia="Arial" w:hAnsi="Arial"/>
          <w:sz w:val="18"/>
          <w:szCs w:val="18"/>
          <w:color w:val="auto"/>
        </w:rPr>
      </w:pPr>
    </w:p>
    <w:p>
      <w:pPr>
        <w:ind w:left="1160" w:right="26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40" w:firstLine="434"/>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10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40" w:firstLine="434"/>
        <w:spacing w:after="0" w:line="277"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68"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200" w:right="180" w:firstLine="434"/>
        <w:spacing w:after="0" w:line="279"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71"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 xml:space="preserve">Additionally, we </w:t>
      </w:r>
      <w:r>
        <w:rPr>
          <w:rFonts w:ascii="Arial" w:cs="Arial" w:eastAsia="Arial" w:hAnsi="Arial"/>
          <w:sz w:val="18"/>
          <w:szCs w:val="18"/>
          <w:i w:val="1"/>
          <w:iCs w:val="1"/>
          <w:color w:val="auto"/>
        </w:rPr>
        <w:t>are a “smaller reporting company” as defined in Item 10(f)(1) of Regulation S-K. Smaller reporting companies may take</w:t>
      </w:r>
      <w:r>
        <w:rPr>
          <w:rFonts w:ascii="Arial" w:cs="Arial" w:eastAsia="Arial" w:hAnsi="Arial"/>
          <w:sz w:val="18"/>
          <w:szCs w:val="18"/>
          <w:color w:val="auto"/>
        </w:rPr>
        <w:t xml:space="preserve"> </w:t>
      </w:r>
      <w:r>
        <w:rPr>
          <w:rFonts w:ascii="Arial" w:cs="Arial" w:eastAsia="Arial" w:hAnsi="Arial"/>
          <w:sz w:val="18"/>
          <w:szCs w:val="18"/>
          <w:i w:val="1"/>
          <w:iCs w:val="1"/>
          <w:color w:val="auto"/>
        </w:rPr>
        <w:t>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jc w:val="both"/>
        <w:ind w:left="200" w:right="620" w:firstLine="434"/>
        <w:spacing w:after="0" w:line="286" w:lineRule="auto"/>
        <w:rPr>
          <w:sz w:val="20"/>
          <w:szCs w:val="20"/>
          <w:color w:val="auto"/>
        </w:rPr>
      </w:pPr>
      <w:r>
        <w:rPr>
          <w:rFonts w:ascii="Arial" w:cs="Arial" w:eastAsia="Arial" w:hAnsi="Arial"/>
          <w:sz w:val="17"/>
          <w:szCs w:val="17"/>
          <w:color w:val="auto"/>
        </w:rPr>
        <w:t>For certain risks related to our status as an emerging growth company, see “Risk Factors—Risks Related to our Common Stock and this Offering—We are an “emerging growth company” and a “smaller reporting company,” and the reduced disclosure requirements applicable to emerging growth companies and smaller reporting companies may make our common stock less attractive to investors.”</w:t>
      </w: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5815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Over-allotment option</w:t>
      </w:r>
    </w:p>
    <w:p>
      <w:pPr>
        <w:spacing w:after="0" w:line="77" w:lineRule="exact"/>
        <w:rPr>
          <w:sz w:val="20"/>
          <w:szCs w:val="20"/>
          <w:color w:val="auto"/>
        </w:rPr>
      </w:pPr>
    </w:p>
    <w:p>
      <w:pPr>
        <w:ind w:left="200" w:right="340"/>
        <w:spacing w:after="0" w:line="355" w:lineRule="auto"/>
        <w:rPr>
          <w:sz w:val="20"/>
          <w:szCs w:val="20"/>
          <w:color w:val="auto"/>
        </w:rPr>
      </w:pPr>
      <w:r>
        <w:rPr>
          <w:rFonts w:ascii="Arial" w:cs="Arial" w:eastAsia="Arial" w:hAnsi="Arial"/>
          <w:sz w:val="18"/>
          <w:szCs w:val="18"/>
          <w:color w:val="auto"/>
        </w:rPr>
        <w:t>Common stock to be outstanding after this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4,166,667 shares</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625,000 shares</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26,420,739 shares</w:t>
      </w:r>
    </w:p>
    <w:p>
      <w:pPr>
        <w:spacing w:after="0" w:line="77" w:lineRule="exact"/>
        <w:rPr>
          <w:sz w:val="20"/>
          <w:szCs w:val="20"/>
          <w:color w:val="auto"/>
        </w:rPr>
      </w:pPr>
    </w:p>
    <w:p>
      <w:pPr>
        <w:ind w:left="1020" w:right="120"/>
        <w:spacing w:after="0" w:line="290" w:lineRule="auto"/>
        <w:rPr>
          <w:sz w:val="20"/>
          <w:szCs w:val="20"/>
          <w:color w:val="auto"/>
        </w:rPr>
      </w:pPr>
      <w:r>
        <w:rPr>
          <w:rFonts w:ascii="Arial" w:cs="Arial" w:eastAsia="Arial" w:hAnsi="Arial"/>
          <w:sz w:val="16"/>
          <w:szCs w:val="16"/>
          <w:color w:val="auto"/>
        </w:rPr>
        <w:t>We estimate that the net proceeds from the sale of shares of our common stock that we are selling in this offering will be approximately $65.8 million (or approximately $76.2 million if the underwriters’ over-allotment option is exercised in full), based upon an assumed initial public offering price of $18.00 per share, the midpoint of the estimated offering price range set forth on the cover page of this prospectus, after deducting underwriting discounts and commissions and estimated offering expenses payable by us.</w:t>
      </w:r>
    </w:p>
    <w:p>
      <w:pPr>
        <w:spacing w:after="0" w:line="17" w:lineRule="exact"/>
        <w:rPr>
          <w:sz w:val="20"/>
          <w:szCs w:val="20"/>
          <w:color w:val="auto"/>
        </w:rPr>
      </w:pPr>
    </w:p>
    <w:p>
      <w:pPr>
        <w:ind w:left="1020"/>
        <w:spacing w:after="0" w:line="272" w:lineRule="auto"/>
        <w:rPr>
          <w:sz w:val="20"/>
          <w:szCs w:val="20"/>
          <w:color w:val="auto"/>
        </w:rPr>
      </w:pPr>
      <w:r>
        <w:rPr>
          <w:rFonts w:ascii="Arial" w:cs="Arial" w:eastAsia="Arial" w:hAnsi="Arial"/>
          <w:sz w:val="17"/>
          <w:szCs w:val="17"/>
          <w:color w:val="auto"/>
        </w:rPr>
        <w:t>We currently expect to use the net proceeds from this offering: (1) to support our commercial expansion of sales, marketing, reimbursement, customer support and business development; (2) to support our product pipeline and research and development; (3) for our Integrated Diagnostics acquisition milestone payment; and (4) for working capital and general corporate purposes. See the section titled “Use of Proceeds” for additional information.</w:t>
      </w:r>
    </w:p>
    <w:p>
      <w:pPr>
        <w:spacing w:after="0" w:line="29" w:lineRule="exact"/>
        <w:rPr>
          <w:sz w:val="20"/>
          <w:szCs w:val="20"/>
          <w:color w:val="auto"/>
        </w:rPr>
      </w:pPr>
    </w:p>
    <w:p>
      <w:pPr>
        <w:ind w:left="1020"/>
        <w:spacing w:after="0" w:line="268" w:lineRule="auto"/>
        <w:rPr>
          <w:sz w:val="20"/>
          <w:szCs w:val="20"/>
          <w:color w:val="auto"/>
        </w:rPr>
      </w:pPr>
      <w:r>
        <w:rPr>
          <w:rFonts w:ascii="Arial" w:cs="Arial" w:eastAsia="Arial" w:hAnsi="Arial"/>
          <w:sz w:val="17"/>
          <w:szCs w:val="17"/>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Shares purchased through the directed share program will not be subject to lockup restrictions with the underwriters, except in the case of shares purchased by any of our officers or directors, employees and certain of our existing stockholders.</w:t>
      </w:r>
    </w:p>
    <w:p>
      <w:pPr>
        <w:spacing w:after="0" w:line="85" w:lineRule="exact"/>
        <w:rPr>
          <w:sz w:val="20"/>
          <w:szCs w:val="20"/>
          <w:color w:val="auto"/>
        </w:rPr>
      </w:pPr>
    </w:p>
    <w:p>
      <w:pPr>
        <w:ind w:left="1020" w:right="300"/>
        <w:spacing w:after="0" w:line="277" w:lineRule="auto"/>
        <w:rPr>
          <w:sz w:val="20"/>
          <w:szCs w:val="20"/>
          <w:color w:val="auto"/>
        </w:rPr>
      </w:pPr>
      <w:r>
        <w:rPr>
          <w:rFonts w:ascii="Arial" w:cs="Arial" w:eastAsia="Arial" w:hAnsi="Arial"/>
          <w:sz w:val="18"/>
          <w:szCs w:val="18"/>
          <w:color w:val="auto"/>
        </w:rPr>
        <w:t>For additional information, see the section titled “Underwriters— Directed Share Program.”</w:t>
      </w:r>
    </w:p>
    <w:p>
      <w:pPr>
        <w:spacing w:after="0" w:line="200" w:lineRule="exact"/>
        <w:rPr>
          <w:sz w:val="20"/>
          <w:szCs w:val="20"/>
          <w:color w:val="auto"/>
        </w:rPr>
      </w:pPr>
    </w:p>
    <w:p>
      <w:pPr>
        <w:sectPr>
          <w:pgSz w:w="11900" w:h="16838" w:orient="portrait"/>
          <w:cols w:equalWidth="0" w:num="2">
            <w:col w:w="4220" w:space="720"/>
            <w:col w:w="6040"/>
          </w:cols>
          <w:pgMar w:left="320" w:top="459" w:right="59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980"/>
          </w:cols>
          <w:pgMar w:left="320" w:top="459" w:right="59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5156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515620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and the other information included in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you should carefully consider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before deciding to invest in our common stock.</w:t>
      </w:r>
    </w:p>
    <w:p>
      <w:pPr>
        <w:spacing w:after="0" w:line="62" w:lineRule="exact"/>
        <w:rPr>
          <w:sz w:val="20"/>
          <w:szCs w:val="20"/>
          <w:color w:val="auto"/>
        </w:rPr>
      </w:pPr>
    </w:p>
    <w:p>
      <w:pPr>
        <w:sectPr>
          <w:pgSz w:w="11900" w:h="16838" w:orient="portrait"/>
          <w:cols w:equalWidth="0" w:num="2">
            <w:col w:w="5240" w:space="720"/>
            <w:col w:w="5080"/>
          </w:cols>
          <w:pgMar w:left="320" w:top="459"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“BDSX”</w:t>
      </w:r>
    </w:p>
    <w:p>
      <w:pPr>
        <w:spacing w:after="0" w:line="200" w:lineRule="exact"/>
        <w:rPr>
          <w:sz w:val="20"/>
          <w:szCs w:val="20"/>
          <w:color w:val="auto"/>
        </w:rPr>
      </w:pPr>
    </w:p>
    <w:p>
      <w:pPr>
        <w:sectPr>
          <w:pgSz w:w="11900" w:h="16838" w:orient="portrait"/>
          <w:cols w:equalWidth="0" w:num="2">
            <w:col w:w="5240" w:space="720"/>
            <w:col w:w="5080"/>
          </w:cols>
          <w:pgMar w:left="320" w:top="459" w:right="539" w:bottom="1440" w:gutter="0" w:footer="0" w:header="0"/>
          <w:type w:val="continuous"/>
        </w:sectPr>
      </w:pPr>
    </w:p>
    <w:p>
      <w:pPr>
        <w:spacing w:after="0" w:line="25" w:lineRule="exact"/>
        <w:rPr>
          <w:sz w:val="20"/>
          <w:szCs w:val="20"/>
          <w:color w:val="auto"/>
        </w:rPr>
      </w:pPr>
    </w:p>
    <w:p>
      <w:pPr>
        <w:ind w:left="200" w:right="500" w:firstLine="434"/>
        <w:spacing w:after="0" w:line="263" w:lineRule="auto"/>
        <w:rPr>
          <w:sz w:val="20"/>
          <w:szCs w:val="20"/>
          <w:color w:val="auto"/>
        </w:rPr>
      </w:pPr>
      <w:r>
        <w:rPr>
          <w:rFonts w:ascii="Arial" w:cs="Arial" w:eastAsia="Arial" w:hAnsi="Arial"/>
          <w:sz w:val="18"/>
          <w:szCs w:val="18"/>
          <w:color w:val="auto"/>
        </w:rPr>
        <w:t>The number of shares of common stock that will be outstanding after this offering is based on 22,254,072 shares of our common stock (reflecting the conversion of all of our shares of preferred stock and convertible debt into shares of our common stock on an as-converted basis) outstanding as of October 15, 2020, and excludes:</w:t>
      </w:r>
    </w:p>
    <w:p>
      <w:pPr>
        <w:spacing w:after="0" w:line="89" w:lineRule="exact"/>
        <w:rPr>
          <w:sz w:val="20"/>
          <w:szCs w:val="20"/>
          <w:color w:val="auto"/>
        </w:rPr>
      </w:pPr>
    </w:p>
    <w:p>
      <w:pPr>
        <w:ind w:left="1160" w:right="36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2,817,440 shares of common stock issuable upon the exercise of outstanding stock options as of October 15, 2020, with a weighted-average exercise price of $2.80 per share;</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79,104 shares of common stock that will be outstanding upon the vesting of restricted stock units;</w:t>
      </w:r>
    </w:p>
    <w:p>
      <w:pPr>
        <w:spacing w:after="0" w:line="130" w:lineRule="exact"/>
        <w:rPr>
          <w:rFonts w:ascii="Arial" w:cs="Arial" w:eastAsia="Arial" w:hAnsi="Arial"/>
          <w:sz w:val="18"/>
          <w:szCs w:val="18"/>
          <w:color w:val="auto"/>
        </w:rPr>
      </w:pPr>
    </w:p>
    <w:p>
      <w:pPr>
        <w:ind w:left="1160" w:right="6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103,326 shares of common stock issuable upon the exercise of outstanding warrants to purchase shares of Series G Preferred Stock as of October 15, 2020, with a weighted-average exercise price of $4.46 per share;</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1,893,395 shares of common stock reserved for future issuance under our 2020 Equity Incentive Plan (the 2020 Incentive Plan), which will become effective immediately prior to the completion of this offering; and</w:t>
      </w:r>
    </w:p>
    <w:p>
      <w:pPr>
        <w:spacing w:after="0" w:line="75" w:lineRule="exact"/>
        <w:rPr>
          <w:rFonts w:ascii="Arial" w:cs="Arial" w:eastAsia="Arial" w:hAnsi="Arial"/>
          <w:sz w:val="18"/>
          <w:szCs w:val="18"/>
          <w:color w:val="auto"/>
        </w:rPr>
      </w:pPr>
    </w:p>
    <w:p>
      <w:pPr>
        <w:ind w:left="116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338,106 shares of common stock reserved for future issuance under our 2020 Employee Stock Purchase Plan (ESPP), which will become effective immediately prior to the completion of this offering.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unless we specifically state otherwise, all information in this prospectus assumes:</w:t>
      </w:r>
    </w:p>
    <w:p>
      <w:pPr>
        <w:spacing w:after="0" w:line="131" w:lineRule="exact"/>
        <w:rPr>
          <w:sz w:val="20"/>
          <w:szCs w:val="20"/>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0.1684664-for-1 reverse stock split, which became effective October 19, 2020;</w:t>
      </w:r>
    </w:p>
    <w:p>
      <w:pPr>
        <w:spacing w:after="0" w:line="130" w:lineRule="exact"/>
        <w:rPr>
          <w:rFonts w:ascii="Arial" w:cs="Arial" w:eastAsia="Arial" w:hAnsi="Arial"/>
          <w:sz w:val="18"/>
          <w:szCs w:val="18"/>
          <w:color w:val="auto"/>
        </w:rPr>
      </w:pPr>
    </w:p>
    <w:p>
      <w:pPr>
        <w:ind w:left="1160" w:right="38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our amended and restated certificate of incorporation, which we will file in connection with the closing of this offering, and our amended and restated bylaws adopted in connection with this offering, are effective;</w:t>
      </w:r>
    </w:p>
    <w:p>
      <w:pPr>
        <w:spacing w:after="0" w:line="75" w:lineRule="exact"/>
        <w:rPr>
          <w:rFonts w:ascii="Arial" w:cs="Arial" w:eastAsia="Arial" w:hAnsi="Arial"/>
          <w:sz w:val="18"/>
          <w:szCs w:val="18"/>
          <w:color w:val="auto"/>
        </w:rPr>
      </w:pPr>
    </w:p>
    <w:p>
      <w:pPr>
        <w:ind w:left="1160" w:right="34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an aggregate of 20,090,745 shares of common stock immediately upon the closing of this offering;</w:t>
      </w:r>
    </w:p>
    <w:p>
      <w:pPr>
        <w:spacing w:after="0" w:line="75" w:lineRule="exact"/>
        <w:rPr>
          <w:rFonts w:ascii="Arial" w:cs="Arial" w:eastAsia="Arial" w:hAnsi="Arial"/>
          <w:sz w:val="18"/>
          <w:szCs w:val="18"/>
          <w:color w:val="auto"/>
        </w:rPr>
      </w:pPr>
    </w:p>
    <w:p>
      <w:pPr>
        <w:ind w:left="1160" w:right="100" w:hanging="534"/>
        <w:spacing w:after="0" w:line="263"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convertible debt into an aggregate of 1,848,280 shares of common stock immediately upon the closing of this offering, based on interest accrued through October 15, 2020 and the assumed initial public offering price of $18 per share, which is the midpoint of the estimated offering price range set forth on the cover page of this prospectus;</w:t>
      </w:r>
    </w:p>
    <w:p>
      <w:pPr>
        <w:spacing w:after="0" w:line="89" w:lineRule="exact"/>
        <w:rPr>
          <w:rFonts w:ascii="Arial" w:cs="Arial" w:eastAsia="Arial" w:hAnsi="Arial"/>
          <w:sz w:val="18"/>
          <w:szCs w:val="18"/>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options or warrants described above;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99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AND OPERATING DATA</w:t>
      </w:r>
    </w:p>
    <w:p>
      <w:pPr>
        <w:spacing w:after="0" w:line="229" w:lineRule="exact"/>
        <w:rPr>
          <w:sz w:val="20"/>
          <w:szCs w:val="20"/>
          <w:color w:val="auto"/>
        </w:rPr>
      </w:pPr>
    </w:p>
    <w:p>
      <w:pPr>
        <w:ind w:left="200" w:right="220" w:firstLine="434"/>
        <w:spacing w:after="0" w:line="257" w:lineRule="auto"/>
        <w:rPr>
          <w:sz w:val="20"/>
          <w:szCs w:val="20"/>
          <w:color w:val="auto"/>
        </w:rPr>
      </w:pPr>
      <w:r>
        <w:rPr>
          <w:rFonts w:ascii="Arial" w:cs="Arial" w:eastAsia="Arial" w:hAnsi="Arial"/>
          <w:sz w:val="18"/>
          <w:szCs w:val="18"/>
          <w:color w:val="auto"/>
        </w:rPr>
        <w:t>The following table sets forth Biodesix, Inc.’s summary historical financial and operating data as of the dates and for the periods indicated. The summary historical financial and operating data as of June 30, 2020 and 2019 and for the six months ended June 30, 2020 and 2019 have been derived from our unaudited condensed financial statements included elsewhere in this prospectus. The summary historical financial and operating data as of December 31, 2019 and 2018 and for the years ended December 31, 2019 and 2018 have been derived from our audited financial statements included elsewhere in this prospectus.</w:t>
      </w:r>
    </w:p>
    <w:p>
      <w:pPr>
        <w:spacing w:after="0" w:line="188" w:lineRule="exact"/>
        <w:rPr>
          <w:sz w:val="20"/>
          <w:szCs w:val="20"/>
          <w:color w:val="auto"/>
        </w:rPr>
      </w:pPr>
    </w:p>
    <w:p>
      <w:pPr>
        <w:ind w:left="200" w:right="280" w:firstLine="434"/>
        <w:spacing w:after="0" w:line="254" w:lineRule="auto"/>
        <w:rPr>
          <w:sz w:val="20"/>
          <w:szCs w:val="20"/>
          <w:color w:val="auto"/>
        </w:rPr>
      </w:pPr>
      <w:r>
        <w:rPr>
          <w:rFonts w:ascii="Arial" w:cs="Arial" w:eastAsia="Arial" w:hAnsi="Arial"/>
          <w:sz w:val="18"/>
          <w:szCs w:val="18"/>
          <w:color w:val="auto"/>
        </w:rPr>
        <w:t>The summary historical financial information is not necessarily indicative of the results that may be expected in any future period, and our results of operations for any interim period are not necessarily indicative of the results to be expected for the full year. Our preliminary revenues and cash for each of the nine months ended September 30, 2020 and September 30, 2019 are included in “—Preliminary Results for Third Quarter 2020.” Such results are preliminary and are subject to change and are not necessarily indicative of the results expected for the full year. The following summary historical financial and operating data should be read in conjunction with “Capitalization,” “Selected Historical Financial and Operating Data” and “Management’s Discussion and Analysis of Financial Condition and Results of Operations” and the financial statements and related notes appearing elsewhere in this prospectus.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For the Six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left="353"/>
              <w:spacing w:after="0" w:line="142" w:lineRule="exact"/>
              <w:rPr>
                <w:sz w:val="20"/>
                <w:szCs w:val="20"/>
                <w:color w:val="auto"/>
              </w:rPr>
            </w:pPr>
            <w:r>
              <w:rPr>
                <w:rFonts w:ascii="Arial" w:cs="Arial" w:eastAsia="Arial" w:hAnsi="Arial"/>
                <w:sz w:val="14"/>
                <w:szCs w:val="14"/>
                <w:b w:val="1"/>
                <w:bCs w:val="1"/>
                <w:color w:val="auto"/>
                <w:w w:val="94"/>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20,432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10,468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(14,041)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(26,741)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(23,461)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200"/>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200"/>
              <w:spacing w:after="0"/>
              <w:rPr>
                <w:sz w:val="20"/>
                <w:szCs w:val="20"/>
                <w:color w:val="auto"/>
              </w:rPr>
            </w:pPr>
            <w:r>
              <w:rPr>
                <w:rFonts w:ascii="Arial" w:cs="Arial" w:eastAsia="Arial" w:hAnsi="Arial"/>
                <w:sz w:val="18"/>
                <w:szCs w:val="18"/>
                <w:color w:val="auto"/>
              </w:rPr>
              <w:t>Total other expense</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(17,971)</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(30,726)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 basic and diluted</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(126.97)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(130.83)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9"/>
              </w:rPr>
              <w:t>Pro forma weighted-average shares outstanding, basic and diluted (unaudited)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460" w:type="dxa"/>
            <w:vAlign w:val="bottom"/>
            <w:gridSpan w:val="2"/>
          </w:tcPr>
          <w:p>
            <w:pPr>
              <w:ind w:left="554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152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4152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June 30, 2020</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0"/>
                <w:szCs w:val="10"/>
                <w:color w:val="auto"/>
              </w:rPr>
            </w:pPr>
          </w:p>
        </w:tc>
        <w:tc>
          <w:tcPr>
            <w:tcW w:w="13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12"/>
                <w:szCs w:val="12"/>
                <w:b w:val="1"/>
                <w:bCs w:val="1"/>
                <w:color w:val="auto"/>
                <w:w w:val="94"/>
              </w:rPr>
              <w:t>(1)(3)</w:t>
            </w:r>
          </w:p>
        </w:tc>
        <w:tc>
          <w:tcPr>
            <w:tcW w:w="26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11,674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Working capital</w:t>
            </w:r>
          </w:p>
        </w:tc>
        <w:tc>
          <w:tcPr>
            <w:tcW w:w="3060" w:type="dxa"/>
            <w:vAlign w:val="bottom"/>
            <w:gridSpan w:val="3"/>
          </w:tcPr>
          <w:p>
            <w:pPr>
              <w:jc w:val="right"/>
              <w:ind w:right="260"/>
              <w:spacing w:after="0"/>
              <w:rPr>
                <w:sz w:val="20"/>
                <w:szCs w:val="20"/>
                <w:color w:val="auto"/>
              </w:rPr>
            </w:pPr>
            <w:r>
              <w:rPr>
                <w:rFonts w:ascii="Arial" w:cs="Arial" w:eastAsia="Arial" w:hAnsi="Arial"/>
                <w:sz w:val="18"/>
                <w:szCs w:val="18"/>
                <w:color w:val="auto"/>
              </w:rPr>
              <w:t>(27,429)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68,598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110,228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Current portion of long-term debt payable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4,064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20,163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Convertible debt</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24,676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193,959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(248,835)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(250,564)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(250,564)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060" w:type="dxa"/>
            <w:vAlign w:val="bottom"/>
            <w:gridSpan w:val="3"/>
          </w:tcPr>
          <w:p>
            <w:pPr>
              <w:jc w:val="right"/>
              <w:ind w:right="260"/>
              <w:spacing w:after="0"/>
              <w:rPr>
                <w:sz w:val="20"/>
                <w:szCs w:val="20"/>
                <w:color w:val="auto"/>
              </w:rPr>
            </w:pPr>
            <w:r>
              <w:rPr>
                <w:rFonts w:ascii="Arial" w:cs="Arial" w:eastAsia="Arial" w:hAnsi="Arial"/>
                <w:sz w:val="18"/>
                <w:szCs w:val="18"/>
                <w:color w:val="auto"/>
              </w:rPr>
              <w:t>(246,444)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(20,891)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43,859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right="100" w:hanging="426"/>
        <w:spacing w:after="0" w:line="268"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 forma statement of operations and comprehensive loss data and pro forma balance sheet data give effect to the automatic conversion of all outstanding shares of our preferred stock into an aggregate of 20,090,745 shares of common stock upon the completion of this offering and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2" w:lineRule="exact"/>
        <w:rPr>
          <w:rFonts w:ascii="Arial" w:cs="Arial" w:eastAsia="Arial" w:hAnsi="Arial"/>
          <w:sz w:val="17"/>
          <w:szCs w:val="17"/>
          <w:color w:val="auto"/>
        </w:rPr>
      </w:pPr>
    </w:p>
    <w:p>
      <w:pPr>
        <w:ind w:left="620" w:right="60" w:hanging="426"/>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 forma as adjusted information discussed above gives effect to the adjustment described in footnote (1) and the receipt of $65.8 million in net proceeds from our sale of common stock in this offering at an assumed initial public offering price of $18.00 per share, which is the midpoint of the estimated offering price range set forth on the cover of this prospectus, after deducting underwriting discounts and commissions and estimated offering expenses payable by us.</w:t>
      </w:r>
    </w:p>
    <w:p>
      <w:pPr>
        <w:spacing w:after="0" w:line="1" w:lineRule="exact"/>
        <w:rPr>
          <w:rFonts w:ascii="Arial" w:cs="Arial" w:eastAsia="Arial" w:hAnsi="Arial"/>
          <w:sz w:val="18"/>
          <w:szCs w:val="18"/>
          <w:color w:val="auto"/>
        </w:rPr>
      </w:pPr>
    </w:p>
    <w:p>
      <w:pPr>
        <w:ind w:left="620" w:right="160" w:hanging="426"/>
        <w:spacing w:after="0" w:line="255"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our estimated common stock price as of June 30, 2020, as determined by our board of directors with assistance from a valuation firm. The ultimate conversion price will be based on the fair value of our common stock at the completion of this public offering.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incurred losses since our inception, and expect to continue to incur losses for the foreseeable future. We have reported net losses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$18.0 million, $30.7 million and $26.2 million for the six months ended June 30, 2020 and for the years ended December 31, 2019 and 2018, respectively.</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these losses, as of June 30, 2020, we had $11.7 million in cash and cash equivalents, and an accumulated deficit of approximately $248.8 million. Based on our current planned operations, we expect our cash and cash equivalents, together with amounts raised in 2020, including the proceeds from this offering, will enable us to fund our operating expenses for at least the next twelve months. We have based this estimate on assumptions that in the future may prove to be wrong, and we could use our capital resources sooner than we currently expect. We expect to continue to incur significant net losses for the foreseeable future.</w:t>
      </w:r>
    </w:p>
    <w:p>
      <w:pPr>
        <w:spacing w:after="0" w:line="19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Following this offering, 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for future enhancements to our existing diagnostic tests and services and conduct further clinical trials. In addition, we expect our general and administrative expenses to increase following this offering due to the additional costs associated with scaling our business operations and testing capacity, particularly with respect to our COVID-19 diagnostic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2"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00" w:right="240" w:hanging="54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convenience and ease of use of our diagnostic tests relative to those currently on the market;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provide incremental data that show the clinical benefits and cost effectiveness, and operational benefits, of our diagnostic tests;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coverage and reimbursement acceptance of our products and services;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our diagnostic tests based on the collective bargaining power of the GPO members;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regarding our or our competitors’ diagnostic tests resulting from defects or errors;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of our tests relative to those of our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authorities.</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7"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We expect increased revenues from our COVID-19 diagnostic and antibody testing program over the course of 2020 and the first quarter of 2021, and we expect that such revenue will comprise a significant portion of our revenue over the same period. However, there is no assurance that our COVID-19 diagnostic and antibody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 and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As of June 30, 2020, we had 154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7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Since our inception, we have experienced multiple cycles of growth and anticipate further growth in our business operations. This future growth could create strain on our organizational, administrative and operational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7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may not be able to maintain the quality or expected turnaround times of our diagnostic tests and services,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7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cannot maintain our current relationships, or enter into new relationships, with biopharmaceutical companies, our revenue prospects could be reduced.</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collaborate with biopharmaceutical companies to analyze patient samples for multiple applications primarily to support clinical trials, including patient identification, companion or complementary diagnostics and retrospective testing. In the six months ended June 30, 2020 and 2019, revenue from our top biopharmaceutical customer accounted for 6% and 25% of our total revenue, respectively. In the years ended December 31, 2019 and 2018, revenue from our top biopharmaceutical customer accounted for 21% and 7%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78"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7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54" w:lineRule="exact"/>
        <w:rPr>
          <w:sz w:val="20"/>
          <w:szCs w:val="20"/>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6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positive or negative coverage, or public perception, of our diagnostic tests or those of our competitors or broader industry trends;</w:t>
      </w:r>
    </w:p>
    <w:p>
      <w:pPr>
        <w:spacing w:after="0" w:line="130" w:lineRule="exact"/>
        <w:rPr>
          <w:rFonts w:ascii="Arial" w:cs="Arial" w:eastAsia="Arial" w:hAnsi="Arial"/>
          <w:sz w:val="18"/>
          <w:szCs w:val="18"/>
          <w:color w:val="auto"/>
        </w:rPr>
      </w:pPr>
    </w:p>
    <w:p>
      <w:pPr>
        <w:ind w:left="1000" w:right="106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if any, of the spread of COVID-19, and the resulting effects on the number of patients treated or the demand for our non-COVID-19 diagnostic tests;</w:t>
      </w:r>
    </w:p>
    <w:p>
      <w:pPr>
        <w:spacing w:after="0" w:line="75"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29"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or clearances for planned or future improvements or enhancements to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regulatory approvals or applications;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addition, we expect increased revenue from our COVID-19 diagnostic and antibody testing program over the course of 2020 and the first quarter of 2021, and we expect that such revenue will comprise a significant portion of our revenue over the same period. We can provide no assurances that the demand for our COVID-19 diagnostic and antibody testing program will be sustained, and even if it is, the period of time for which it would be sustained. As a result, the increase in revenue due to any increase in demand for our COVID-19 diagnostic and antibody testing program is not indicative of results expected for any future period.</w:t>
      </w:r>
    </w:p>
    <w:p>
      <w:pPr>
        <w:spacing w:after="0" w:line="188"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need to maintain and continuously improve the performance and reliability of our diagnostic tests, including our Biodesix WorkSafe testing program,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2"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tests and COVID-19 diagnostic and antibody testing program.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78"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76"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8"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In addition, we have separately been granted permission by Bio-Rad to use the Bio-Rad SARS-CoV-2 ddPCR assay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and Platelia SARS-CoV-2 Total Ab assay for commercial diagnostic services. For more information regarding this license and supply agreement and the permission granted to us by Bio-Rad with respect to such assays, please see “Business—Material Agreements—Agreements with Bio-Rad.”</w:t>
      </w:r>
    </w:p>
    <w:p>
      <w:pPr>
        <w:spacing w:after="0" w:line="12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6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3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COVID-19 has spread to most countries and throughout the United States. Numerous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79"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The COVID-19 pandemic has also created an opportunity for our diagnostic tests and we have commercialized two diagnostic tests to test for the presence of COVID-19 and antibodies. We are expecting to increase our testing capacity for our COVID-19 diagnostic and antibody testing program in the near term to meet the rising demand for rapid and accurate testing. We expect that the revenue we generate from this expansion will comprise a significant portion of our revenue for the remainder of 2020 and the first quarter of 2021. However, there is no assurance that our COVID-19 diagnostic and antibody testing program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81"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6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3" w:lineRule="exact"/>
        <w:rPr>
          <w:sz w:val="20"/>
          <w:szCs w:val="20"/>
          <w:color w:val="auto"/>
        </w:rPr>
      </w:pPr>
    </w:p>
    <w:p>
      <w:pPr>
        <w:ind w:right="460"/>
        <w:spacing w:after="0" w:line="375" w:lineRule="auto"/>
        <w:rPr>
          <w:sz w:val="20"/>
          <w:szCs w:val="20"/>
          <w:color w:val="auto"/>
        </w:rPr>
      </w:pPr>
      <w:r>
        <w:rPr>
          <w:rFonts w:ascii="Arial" w:cs="Arial" w:eastAsia="Arial" w:hAnsi="Arial"/>
          <w:sz w:val="15"/>
          <w:szCs w:val="15"/>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5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9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1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3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international laws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6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 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 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payer concentration, with a limited number of customers accounting for a substantial portion of our revenues.</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For the six months ended June 30, 2020, Medicare reimbursed to us 60% of our diagnostic test revenue and one healthcare provider accounted for 13% of our total diagnostic test revenue. For the year ended December 31, 2019, Medicare reimbursed to us 60% of our diagnostic test revenue and one biopharmaceutical customer accounted for 21% of our total revenue and 71% of our service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its relationship with us or our tests are no longer reimbursable by such payer, such termination could negatively affect our revenues and results of operations.</w:t>
      </w: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diagnostic and antibody testing program,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7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76"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9" w:lineRule="exact"/>
        <w:rPr>
          <w:sz w:val="20"/>
          <w:szCs w:val="20"/>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our diagnostic tests and services;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impact on the market price of our common stock;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17" w:lineRule="exact"/>
        <w:rPr>
          <w:sz w:val="20"/>
          <w:szCs w:val="20"/>
          <w:color w:val="auto"/>
        </w:rPr>
      </w:pPr>
    </w:p>
    <w:p>
      <w:pPr>
        <w:jc w:val="both"/>
        <w:ind w:right="140" w:firstLine="449"/>
        <w:spacing w:after="0" w:line="296" w:lineRule="auto"/>
        <w:rPr>
          <w:sz w:val="20"/>
          <w:szCs w:val="20"/>
          <w:color w:val="auto"/>
        </w:rPr>
      </w:pPr>
      <w:r>
        <w:rPr>
          <w:rFonts w:ascii="Arial" w:cs="Arial" w:eastAsia="Arial" w:hAnsi="Arial"/>
          <w:sz w:val="16"/>
          <w:szCs w:val="16"/>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67"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lines of diagnostic tests and the ability to offer rebates or bundle them to offer greater discounts or other incentives to gain a competitive advantage;</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for diagnostic tests;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continued success depends on our ability to:</w:t>
      </w:r>
    </w:p>
    <w:p>
      <w:pPr>
        <w:spacing w:after="0" w:line="131"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penetrate the lung disease diagnostic solutions market and increase utilization of our diagnostic tests;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7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6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6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7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9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or costs of our Co-Development and Collaboration Agreement with AVEO Oncology.</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84"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84"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 Ficlatuzumab is currently being evaluated in squamous cell carcinoma of the head and neck (SCCHN), metastatic</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pancreatic ductal cancer (PDAC), and acute myeloid leukemia (AML). For more information regarding this Collaboration Agreement, please see “Business —Drug Co-Development.”</w:t>
      </w:r>
    </w:p>
    <w:p>
      <w:pPr>
        <w:spacing w:after="0" w:line="170"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6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purchased select assets and liabilities from Integrated Diagnostics, Inc. and IND Funding, LLC (collectively, the Seller)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or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we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17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w:t>
      </w:r>
      <w:r>
        <w:rPr>
          <w:rFonts w:ascii="Arial" w:cs="Arial" w:eastAsia="Arial" w:hAnsi="Arial"/>
          <w:sz w:val="15"/>
          <w:szCs w:val="15"/>
          <w:color w:val="auto"/>
        </w:rPr>
        <w:t>®</w:t>
      </w:r>
      <w:r>
        <w:rPr>
          <w:rFonts w:ascii="Arial" w:cs="Arial" w:eastAsia="Arial" w:hAnsi="Arial"/>
          <w:sz w:val="18"/>
          <w:szCs w:val="18"/>
          <w:color w:val="auto"/>
        </w:rPr>
        <w:t>-Lung. We renamed the test and relaunched the test on February 28, 2020 as the Nodify CDT test and the De Soto, Kansas lab will be the sole United States provider of the Nodify CDT test.</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92"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As consideration for the rights granted to us, we agreed to payments of $1.2 million and further agreed to an option fee for the screening option of $9.0 million due within 30 days of exercising the option. As of June 30, 2020, we have paid $1.0 million of the agreed upon payments. In July 2020, we paid the remaining $0.2 million. We also agreed to a revenue share payment of 8% of recognized revenue for non-screening tests up to an annual minimum volume and 5% thereafter, with an escalating minimum through the first four years of sales. Royalty payments of $0.1 million were paid for the six months ended June 30, 2020. In September 2020, we notified Oncimmune that we would not exercise this option for expansion of the field of use.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6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 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17" w:lineRule="exact"/>
        <w:rPr>
          <w:sz w:val="20"/>
          <w:szCs w:val="20"/>
          <w:color w:val="auto"/>
        </w:rPr>
      </w:pPr>
    </w:p>
    <w:p>
      <w:pPr>
        <w:jc w:val="both"/>
        <w:ind w:right="340" w:firstLine="449"/>
        <w:spacing w:after="0" w:line="311" w:lineRule="auto"/>
        <w:rPr>
          <w:sz w:val="20"/>
          <w:szCs w:val="20"/>
          <w:color w:val="auto"/>
        </w:rPr>
      </w:pPr>
      <w:r>
        <w:rPr>
          <w:rFonts w:ascii="Arial" w:cs="Arial" w:eastAsia="Arial" w:hAnsi="Arial"/>
          <w:sz w:val="16"/>
          <w:szCs w:val="16"/>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(including in connection with this offering),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8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w:t>
      </w:r>
    </w:p>
    <w:p>
      <w:pPr>
        <w:spacing w:after="0" w:line="192"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62"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We will need to raise additional capital in the future to expand our business, to pursue strategic investments, to take advantage of financing opportunities or for other reasons, including to:</w:t>
      </w:r>
    </w:p>
    <w:p>
      <w:pPr>
        <w:spacing w:after="0" w:line="76" w:lineRule="exact"/>
        <w:rPr>
          <w:sz w:val="20"/>
          <w:szCs w:val="20"/>
          <w:color w:val="auto"/>
        </w:rPr>
      </w:pPr>
    </w:p>
    <w:p>
      <w:pPr>
        <w:ind w:left="5540" w:right="2460" w:hanging="5087"/>
        <w:spacing w:after="0" w:line="449" w:lineRule="auto"/>
        <w:tabs>
          <w:tab w:leader="none" w:pos="10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and address competitive developments; 30</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 development and marketing efforts of our diagnostic tests or any other future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technologies into other types of cancer management and lung disease detection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31"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rate of progress in establishing payer coverage and reimbursement arrangements with domestic and international commercial third-party payers and government payers;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and reimbursement for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diagnostic tests in research and early development;</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6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6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Future acquisitions may reduce our cash available for operations and other uses and could result in amortization expense related to identifiable assets acquired. We may have to pay cash, incur debt or issue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78"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Governmental Regulation</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5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8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agencies in Europe may be more conservative than CMS. For example, a number of cancer drugs have been approved for reimbursement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United States and have not been approved for reimbursement, or have been approved under restricted conditions, in certain European countries.</w:t>
      </w:r>
    </w:p>
    <w:p>
      <w:pPr>
        <w:spacing w:after="0" w:line="237"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Outside the United States, the reimbursement process and timelines vary significantly. Certain countries, including a number of member states of the EU, set prices and make reimbursement decisions for diagnostics and pharmaceutical products, or medicinal products, as they are commonly referred to in the EU, with limited participation from the marketing authorization or Conformité Européenne (CE) mark holders, or may take decisions that are unfavorable to the authorization or CE mark holder where they have participated in the process.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attempt to control the healthcare budget by focusing cost-cutting efforts on medicinal products, and to a lesser extent, medical devices, provided under their state-run healthcare systems. These international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7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Moreover, increasing efforts by governmental and third-party payers, in the United States and abroad, to cap or reduce healthcare costs may cause such organizations to limit both coverage and level of reimbursement for newly cleared, authorized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diagnostic tests.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to reduce healthcare costs may hurt our business.</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majority of our customers are healthcare providers who depend upon reimbursement by government and commercial insurance payers for lung cancer diagnostic solutions services. With a vast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diagnostic tests.</w:t>
      </w:r>
    </w:p>
    <w:p>
      <w:pPr>
        <w:spacing w:after="0" w:line="11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8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There have been judicial challenges to certain aspects of the ACA, as well as efforts by the Trump administration and Congress to repeal, replace or alter the implementation of certain aspects of the ACA. For example,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 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part of the Tax Cuts and Jobs Act of 2017 (TCJA),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7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78"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Trump administration and Congress may continue to pursue significant changes to the current healthcare laws.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harm:</w:t>
      </w:r>
    </w:p>
    <w:p>
      <w:pPr>
        <w:spacing w:after="0" w:line="76" w:lineRule="exact"/>
        <w:rPr>
          <w:sz w:val="20"/>
          <w:szCs w:val="20"/>
          <w:color w:val="auto"/>
        </w:rPr>
      </w:pPr>
    </w:p>
    <w:p>
      <w:pPr>
        <w:ind w:left="5540" w:right="5180" w:hanging="5087"/>
        <w:spacing w:after="0" w:line="535" w:lineRule="auto"/>
        <w:tabs>
          <w:tab w:leader="none" w:pos="10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diagnostic tests; 34</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anti-corruption, anti-bribery, anti-money laundering and similar laws.</w:t>
      </w:r>
    </w:p>
    <w:p>
      <w:pPr>
        <w:spacing w:after="0" w:line="117"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6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healthcare fraud and abuse laws.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00" w:hanging="547"/>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92" w:lineRule="exact"/>
        <w:rPr>
          <w:rFonts w:ascii="Arial" w:cs="Arial" w:eastAsia="Arial" w:hAnsi="Arial"/>
          <w:sz w:val="18"/>
          <w:szCs w:val="18"/>
          <w:color w:val="auto"/>
        </w:rPr>
      </w:pPr>
    </w:p>
    <w:p>
      <w:pPr>
        <w:jc w:val="both"/>
        <w:ind w:left="1000" w:right="140" w:hanging="54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9" w:lineRule="exact"/>
        <w:rPr>
          <w:rFonts w:ascii="Arial" w:cs="Arial" w:eastAsia="Arial" w:hAnsi="Arial"/>
          <w:sz w:val="18"/>
          <w:szCs w:val="18"/>
          <w:color w:val="auto"/>
        </w:rPr>
      </w:pPr>
    </w:p>
    <w:p>
      <w:pPr>
        <w:ind w:left="1000" w:right="80" w:hanging="547"/>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29" w:lineRule="exact"/>
        <w:rPr>
          <w:rFonts w:ascii="Arial" w:cs="Arial" w:eastAsia="Arial" w:hAnsi="Arial"/>
          <w:sz w:val="16"/>
          <w:szCs w:val="16"/>
          <w:color w:val="auto"/>
        </w:rPr>
      </w:pPr>
    </w:p>
    <w:p>
      <w:pPr>
        <w:ind w:left="1000" w:right="180" w:hanging="547"/>
        <w:spacing w:after="0" w:line="25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97" w:lineRule="exact"/>
        <w:rPr>
          <w:rFonts w:ascii="Arial" w:cs="Arial" w:eastAsia="Arial" w:hAnsi="Arial"/>
          <w:sz w:val="18"/>
          <w:szCs w:val="18"/>
          <w:color w:val="auto"/>
        </w:rPr>
      </w:pPr>
    </w:p>
    <w:p>
      <w:pPr>
        <w:ind w:left="1000" w:right="20" w:hanging="547"/>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92" w:lineRule="exact"/>
        <w:rPr>
          <w:rFonts w:ascii="Arial" w:cs="Arial" w:eastAsia="Arial" w:hAnsi="Arial"/>
          <w:sz w:val="18"/>
          <w:szCs w:val="18"/>
          <w:color w:val="auto"/>
        </w:rPr>
      </w:pPr>
    </w:p>
    <w:p>
      <w:pPr>
        <w:ind w:left="1000" w:right="580" w:hanging="54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84"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our industry generally or our tests specifically could be disruptive to our business.</w:t>
      </w:r>
    </w:p>
    <w:p>
      <w:pPr>
        <w:spacing w:after="0" w:line="11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78"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18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HHS announcement was made on the Department’s website and we can provide no assurances that the HHS statement will not be rescinded or revised or that it would preclude the FDA from renewing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187"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commercially-developed COVID-19 IVD tests, which apply to test developers and authorized laboratories.</w:t>
      </w:r>
    </w:p>
    <w:p>
      <w:pPr>
        <w:spacing w:after="0" w:line="16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EUA for Bio-Rad’s SARS-CoV-2 Droplet Digital PCR test provides several conditions for authorized laboratories, including that the test result reports will include Fact Sheets that are authorized as part of the EUA,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70" w:lineRule="exact"/>
        <w:rPr>
          <w:sz w:val="20"/>
          <w:szCs w:val="20"/>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test has been authorized only for the detection of nucleic acid from SARS- CoV-2, not for any other viruses or pathogens; and</w:t>
      </w:r>
    </w:p>
    <w:p>
      <w:pPr>
        <w:spacing w:after="0" w:line="142" w:lineRule="exact"/>
        <w:rPr>
          <w:rFonts w:ascii="Arial" w:cs="Arial" w:eastAsia="Arial" w:hAnsi="Arial"/>
          <w:sz w:val="17"/>
          <w:szCs w:val="17"/>
          <w:color w:val="auto"/>
        </w:rPr>
      </w:pPr>
    </w:p>
    <w:p>
      <w:pPr>
        <w:jc w:val="both"/>
        <w:ind w:left="1000" w:right="36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8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Other statements that appear in advertising and promotional materials must not represent or suggest that this test is safe or effective for the detection of SARS-CoV-2.</w:t>
      </w:r>
    </w:p>
    <w:p>
      <w:pPr>
        <w:spacing w:after="0" w:line="170"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89"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total antibodies, including IgM/IgG/IgA, against SARS-CoV-2, not for any other viruses or pathogens; and</w:t>
      </w:r>
    </w:p>
    <w:p>
      <w:pPr>
        <w:spacing w:after="0" w:line="75" w:lineRule="exact"/>
        <w:rPr>
          <w:rFonts w:ascii="Arial" w:cs="Arial" w:eastAsia="Arial" w:hAnsi="Arial"/>
          <w:sz w:val="18"/>
          <w:szCs w:val="18"/>
          <w:color w:val="auto"/>
        </w:rPr>
      </w:pPr>
    </w:p>
    <w:p>
      <w:pPr>
        <w:jc w:val="both"/>
        <w:ind w:left="1000" w:right="360" w:hanging="54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29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6"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diagnostic testing industry is subject to extensive laws and regulations, many of which have not been interpreted by the courts, including the application of the FDA’s EUA authority. As noted above, the EUAs for the COVID-19 tests that are part of our Biodesix WorkSafe testing program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commercially-developed COVID-19 IVD tests, which apply to test developers and authorized laboratories.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6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95"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Our Boulder, Colorado and De Soto, Kansas laboratories are College of American Pathologists (CAP)-accredited (Boulder) or COLA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Laboratory Developed Tests (LDTs) and are not currently subject to FDA regulation, although certain components provided by third parties and used to create and/or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administer the test may be. LDTs are a subset of in vitro diagnostics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 without first receiving FDA premarket review. Failure to adhere to any new FDA regulation would result in fines, product suspensions, warning letters, recalls, injunctions and other civil and criminal penalties.</w:t>
      </w:r>
    </w:p>
    <w:p>
      <w:pPr>
        <w:spacing w:after="0" w:line="2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 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2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current line of diagnostic tests are covered under CLIA and CMS, although our COVID testing program and select partnerships we may enter may cause us to be subject to additional FDA requirements.</w:t>
      </w:r>
    </w:p>
    <w:p>
      <w:pPr>
        <w:spacing w:after="0" w:line="62"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8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57" w:lineRule="auto"/>
        <w:rPr>
          <w:sz w:val="20"/>
          <w:szCs w:val="20"/>
          <w:color w:val="auto"/>
        </w:rPr>
      </w:pPr>
      <w:r>
        <w:rPr>
          <w:rFonts w:ascii="Arial" w:cs="Arial" w:eastAsia="Arial" w:hAnsi="Arial"/>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76"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 design, development, manufacture, and release;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320" w:firstLine="449"/>
        <w:spacing w:after="0" w:line="257"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8"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8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9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510(k), de-novo or PMA process can be expensive, lengthy and unpredictable. The FDA can delay, limit, or deny clearance or approval of a device for many reasons, including:</w:t>
      </w:r>
    </w:p>
    <w:p>
      <w:pPr>
        <w:spacing w:after="0" w:line="76" w:lineRule="exact"/>
        <w:rPr>
          <w:sz w:val="20"/>
          <w:szCs w:val="20"/>
          <w:color w:val="auto"/>
        </w:rPr>
      </w:pPr>
    </w:p>
    <w:p>
      <w:pPr>
        <w:ind w:left="1000" w:right="2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the diagnostic tests are safe or effective for their proposed intended uses;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disagreement of the FDA with the design or implementation of our clinical trials or the interpretation of data from clinical trials;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where required;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70"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76"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adverse publicity, warning letters, untitled letters, it has come to our attention letters, fines, injunctions, consent decrees and civil penalties;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premarket approval of new diagnostic tests or services, new intended uses or modifications to existing diagnostic tests or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regulatory clearance or premarket approvals that have already been granted;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As discussed above, we believe that our current line of diagnostic tests and their components are LDTs, subject to state licensing requirements and federal regulation by CMS under CLIA, although our COVID testing program and select partnerships we may enter may cause us to be subject to additional FDA regulations discussed above.</w:t>
      </w:r>
    </w:p>
    <w:p>
      <w:pPr>
        <w:spacing w:after="0" w:line="184" w:lineRule="exact"/>
        <w:rPr>
          <w:sz w:val="20"/>
          <w:szCs w:val="20"/>
          <w:color w:val="auto"/>
        </w:rPr>
      </w:pPr>
    </w:p>
    <w:p>
      <w:pPr>
        <w:jc w:val="both"/>
        <w:ind w:right="180" w:firstLine="449"/>
        <w:spacing w:after="0" w:line="311" w:lineRule="auto"/>
        <w:rPr>
          <w:sz w:val="20"/>
          <w:szCs w:val="20"/>
          <w:color w:val="auto"/>
        </w:rPr>
      </w:pPr>
      <w:r>
        <w:rPr>
          <w:rFonts w:ascii="Arial" w:cs="Arial" w:eastAsia="Arial" w:hAnsi="Arial"/>
          <w:sz w:val="16"/>
          <w:szCs w:val="16"/>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2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9"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5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success of any new diagnostic test or enhancement to an existing diagnostic test will depend on a number of factors, including our ability to, among others:</w:t>
      </w:r>
    </w:p>
    <w:p>
      <w:pPr>
        <w:spacing w:after="0" w:line="76"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and introduce new diagnostic tests or enhancements to our existing diagnostic tests in a timely manner;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avoid infringing upon, misappropriating or violating the intellectual property rights of third parties;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diagnostic tests with data from clinical studies;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diagnostic tests or enhancements to existing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diagnostic tests or modified diagnostic tests;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diagnostic tests.</w:t>
      </w:r>
    </w:p>
    <w:p>
      <w:pPr>
        <w:spacing w:after="0" w:line="225"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62"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7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 consuming process, and delays in obtaining required future clearances or approvals would adversely affect our ability to introduce new or enhanced diagnostic tests in a timely manner, which in turn would harm our future growth.</w:t>
      </w:r>
    </w:p>
    <w:p>
      <w:pPr>
        <w:spacing w:after="0" w:line="286"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If we or our suppliers fail to comply with ongoing FDA or other domestic and foreign regulatory authority requirements, or if we experience unanticipated problems with our diagnostic tests, they could be subject to restrictions or withdrawal from the market.</w:t>
      </w:r>
    </w:p>
    <w:p>
      <w:pPr>
        <w:spacing w:after="0" w:line="1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Any medical device that we manufacture, including those for which we obtain regulatory clearance or approval, and the manufacturing processes, reporting requirements, post-approval clinical data and promotional activities for such diagnostic test, will be subject to continued regulatory review, oversight, and periodic inspections by the FDA and other domestic and foreign regulatory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one or more of the following enforcement actions:</w:t>
      </w:r>
    </w:p>
    <w:p>
      <w:pPr>
        <w:spacing w:after="0" w:line="72"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detention or seizure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of new diagnostic tests or modified versions of current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grant export approval for our diagnostic tests;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49"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diagnostic tests and services may in the future be subject to product recalls that could harm our reputation, business and financial results.</w:t>
      </w:r>
    </w:p>
    <w:p>
      <w:pPr>
        <w:spacing w:after="0" w:line="140"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or approval of any future diagnostic tests and to manufacture, market and distribute our diagnostic tests after clearance or approval is obtained.</w:t>
      </w:r>
    </w:p>
    <w:p>
      <w:pPr>
        <w:spacing w:after="0" w:line="6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7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32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41"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6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303" w:lineRule="exact"/>
        <w:rPr>
          <w:sz w:val="20"/>
          <w:szCs w:val="20"/>
          <w:color w:val="auto"/>
        </w:rPr>
      </w:pPr>
    </w:p>
    <w:p>
      <w:pPr>
        <w:ind w:right="640"/>
        <w:spacing w:after="0" w:line="375" w:lineRule="auto"/>
        <w:rPr>
          <w:sz w:val="20"/>
          <w:szCs w:val="20"/>
          <w:color w:val="auto"/>
        </w:rPr>
      </w:pPr>
      <w:r>
        <w:rPr>
          <w:rFonts w:ascii="Arial" w:cs="Arial" w:eastAsia="Arial" w:hAnsi="Arial"/>
          <w:sz w:val="15"/>
          <w:szCs w:val="15"/>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diagnostic tests and services.</w:t>
      </w:r>
    </w:p>
    <w:p>
      <w:pPr>
        <w:spacing w:after="0" w:line="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23"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79"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Additionally, a new California ballot initiative, the California Privacy Rights Act, has qualified to be included on the November 2020 ballot, and if voted into law by California voters, would impose additional data protection obligations on companies doing business in California, including additional consumer rights, including regarding certain uses of sensitive data. It would also create a new California data protection agency specifically tasked to enforce the law, which would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even prevent us from providing certain offerings in jurisdictions in which we currently operate and in which we may operate in the future.</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92"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6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9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84"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may eventually operate in a number of countries outside of the United States whose laws may in some cases be more stringent than the requirements in the United States. For example, the EU has specific requirements relating to cross-border transfers of personal data to certain jurisdictions, including to the United States. In addition, some countries have stricter consumer notice or consent requirements relating to personal data collection, use or sharing, have more stringent requirements relating to organizations’ privacy programs and provide stronger individual rights. Moreover, international privacy and data security regulations may become more complex and result in greater penalties. For instance, since May 25, 2018, the GDPR regulates the collection and use of personal data of data subjects in the EU and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member states may result in fines of up to €20 million or up to 4% of the total worldwide annual turnover of our preceding fiscal year, whichever is higher, and other administrative penalties. Further, as the GDPR has only recently become enforceable, enforcement priorities and official interpretations of certain provisions are still unclear. To comply with the new data protection rules imposed by the GDPR, we may be required to put in place additional mechanisms ensuring compliance, which may result in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The GDPR also imposes strict rules on the transfer of personal data out of the EU to the United States. These obligations may be interpreted and applied in a manner that is inconsistent from one jurisdiction to another and may conflict with other requirements or our practices. In addition, these rules are consistently under scrutiny. For example, following a decision of the Court of Justice of the EU (the ECJ) in October 2015, the transfer of personal data to United States companies that had certified as members of the United States Safe Harbor Scheme (Safe Harbor Scheme) was declared invalid. In July 2016, the European Commission adopted the EU-United States Privacy Shield Framework (Privacy Shield Framework) which replaced the Safe Harbor Scheme. The Privacy Shield Framework is reviewed by European authorities annually, and the ECJ recently ruled that the Privacy Shield Framework is no longer a lawful mechanism for EU-United States data transfers under the GDPR. There is currently litigation challenging other EU mechanisms for adequate data transfers. It is uncertain whether and for how long national regulators will permit companies that have relied on the Privacy Shield Framework to come into compliance with the recent ruling and whether alternative methods for EU-United States data transfers or the standard contractual clauses might similarly be invalidated by European courts. The ECJ’s ruling may lead to increased transaction, compliance, and technological costs to support international data transfers.</w:t>
      </w:r>
    </w:p>
    <w:p>
      <w:pPr>
        <w:spacing w:after="0" w:line="182"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89"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6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9"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regulations, including those laws requiring the reporting of true, complete and accurate information to the FDA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225"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8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In connection with this offering, we will adopt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Notified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sponsors, principal investigators and trial sites. If we or any third-party contractor fails to comply with applicable GCPs, the clinical data generated in clinical trials may be deemed unreliable and the FDA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78"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30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38"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77"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49"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92"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6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92"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5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may be impaired if we are unable to obtain, maintain and protect our intellectual property rights.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92" w:lineRule="exact"/>
        <w:rPr>
          <w:sz w:val="20"/>
          <w:szCs w:val="20"/>
          <w:color w:val="auto"/>
        </w:rPr>
      </w:pPr>
    </w:p>
    <w:p>
      <w:pPr>
        <w:ind w:left="1000" w:right="48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prevent our competitors from duplicating our diagnostic tests and products, including our COVID-19 testing program and Nodify XL2, Nodify CDT, GeneStrat and VeriStrat tests;</w:t>
      </w:r>
    </w:p>
    <w:p>
      <w:pPr>
        <w:spacing w:after="0" w:line="75" w:lineRule="exact"/>
        <w:rPr>
          <w:rFonts w:ascii="Arial" w:cs="Arial" w:eastAsia="Arial" w:hAnsi="Arial"/>
          <w:sz w:val="18"/>
          <w:szCs w:val="18"/>
          <w:color w:val="auto"/>
        </w:rPr>
      </w:pPr>
    </w:p>
    <w:p>
      <w:pPr>
        <w:ind w:left="1000" w:right="220" w:hanging="547"/>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 us to gain or maintain a competitive advantage.</w:t>
      </w:r>
    </w:p>
    <w:p>
      <w:pPr>
        <w:spacing w:after="0" w:line="22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95"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95"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or maintain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9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7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7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We cannot guarantee that we have entered into such agreements with each party that has or may have had access to our trade secrets or proprietary information. Additionally, despite these efforts, any of these parties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85"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76"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68"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diagnostic tests or products, if such technologies or features are found to incorporate or be derived from the trade secrets or other proprietary information of the former employers.</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our COVID-19 testing program, either of the Nodify XL2 and Nodify CDT tests, or the VeriStrat and GeneStrat tests.</w:t>
      </w:r>
    </w:p>
    <w:p>
      <w:pPr>
        <w:spacing w:after="0" w:line="184"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6"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95"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8"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2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62"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88"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92"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7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78"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84"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66"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8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priority or inventorship of our patents and other intellectual property rights.</w:t>
      </w:r>
    </w:p>
    <w:p>
      <w:pPr>
        <w:spacing w:after="0" w:line="117"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64"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62"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some of our patents or patent applications, including licensed patents, may be challenged, in courts or patent offices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United States and abroad,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72"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7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may not be aware of all third-party intellectual property rights potentially relating to our current or future diagnostic tests,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6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7"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Furthermore, companies that perceive us to be a competitor may be unwilling to assign or license rights to us. In addition, we expect that competition for the in-licensing or acquisition of third-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7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7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61"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Any of the foregoing could have a material adverse effect on our competitive position, business, financial conditions, results of operations and prospects.</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Moreover, disputes may also arise between us and our current or future licensors regarding intellectual property rights subject to a license agreement, including those relating to:</w:t>
      </w:r>
    </w:p>
    <w:p>
      <w:pPr>
        <w:spacing w:after="0" w:line="76" w:lineRule="exact"/>
        <w:rPr>
          <w:sz w:val="20"/>
          <w:szCs w:val="20"/>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involvement in the prosecution of licensed patents and our licensors’ overall patent enforcement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rights by our licensors and us and our collaborators;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do not prevail in such disputes, we may lose any or all of our rights under such license agreements.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78"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65" w:lineRule="exact"/>
        <w:rPr>
          <w:sz w:val="20"/>
          <w:szCs w:val="20"/>
          <w:color w:val="auto"/>
        </w:rPr>
      </w:pPr>
    </w:p>
    <w:p>
      <w:pPr>
        <w:ind w:right="340"/>
        <w:spacing w:after="0" w:line="340" w:lineRule="auto"/>
        <w:rPr>
          <w:sz w:val="20"/>
          <w:szCs w:val="20"/>
          <w:color w:val="auto"/>
        </w:rPr>
      </w:pPr>
      <w:r>
        <w:rPr>
          <w:rFonts w:ascii="Arial" w:cs="Arial" w:eastAsia="Arial" w:hAnsi="Arial"/>
          <w:sz w:val="15"/>
          <w:szCs w:val="15"/>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23" w:lineRule="exact"/>
        <w:rPr>
          <w:sz w:val="20"/>
          <w:szCs w:val="20"/>
          <w:color w:val="auto"/>
        </w:rPr>
      </w:pPr>
    </w:p>
    <w:p>
      <w:pPr>
        <w:ind w:right="60" w:firstLine="449"/>
        <w:spacing w:after="0" w:line="284" w:lineRule="auto"/>
        <w:rPr>
          <w:sz w:val="20"/>
          <w:szCs w:val="20"/>
          <w:color w:val="auto"/>
        </w:rPr>
      </w:pPr>
      <w:r>
        <w:rPr>
          <w:rFonts w:ascii="Arial" w:cs="Arial" w:eastAsia="Arial" w:hAnsi="Arial"/>
          <w:sz w:val="16"/>
          <w:szCs w:val="16"/>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4" w:lineRule="exact"/>
        <w:rPr>
          <w:sz w:val="20"/>
          <w:szCs w:val="20"/>
          <w:color w:val="auto"/>
        </w:rPr>
      </w:pPr>
    </w:p>
    <w:p>
      <w:pPr>
        <w:ind w:firstLine="8"/>
        <w:spacing w:after="0" w:line="267" w:lineRule="auto"/>
        <w:tabs>
          <w:tab w:leader="none" w:pos="265" w:val="left"/>
        </w:tabs>
        <w:numPr>
          <w:ilvl w:val="0"/>
          <w:numId w:val="37"/>
        </w:numPr>
        <w:rPr>
          <w:rFonts w:ascii="Arial" w:cs="Arial" w:eastAsia="Arial" w:hAnsi="Arial"/>
          <w:sz w:val="17"/>
          <w:szCs w:val="17"/>
          <w:color w:val="auto"/>
        </w:rPr>
      </w:pPr>
      <w:r>
        <w:rPr>
          <w:rFonts w:ascii="Arial" w:cs="Arial" w:eastAsia="Arial" w:hAnsi="Arial"/>
          <w:sz w:val="17"/>
          <w:szCs w:val="17"/>
          <w:color w:val="auto"/>
        </w:rPr>
        <w:t>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diagnostic tests, products and services for an adequate amount of time.</w:t>
      </w:r>
    </w:p>
    <w:p>
      <w:pPr>
        <w:spacing w:after="0" w:line="152"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24"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78"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459" w:right="3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00" w:hanging="547"/>
        <w:spacing w:after="0" w:line="259"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diagnostic tests or products that are similar to our Nodify XL2, Nodify CDT, GeneStrat or VeriStrat tests or the COVID-19 tests that we use in our COVID-19 testing program or utilize similar technology that is not covered by the claims of our patents or that incorporates certain technology in our Nodify XL2, Nodify CDT, GeneStrat or VeriStrat tests or such COVID-19 tests that is in the public domain;</w:t>
      </w:r>
    </w:p>
    <w:p>
      <w:pPr>
        <w:spacing w:after="0" w:line="92"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75" w:lineRule="exact"/>
        <w:rPr>
          <w:rFonts w:ascii="Arial" w:cs="Arial" w:eastAsia="Arial" w:hAnsi="Arial"/>
          <w:sz w:val="18"/>
          <w:szCs w:val="18"/>
          <w:color w:val="auto"/>
        </w:rPr>
      </w:pPr>
    </w:p>
    <w:p>
      <w:pPr>
        <w:ind w:left="1000" w:right="100" w:hanging="547"/>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An active trading market may not develop following completion of this offering or, if developed, may not be sustained. The lack of an active trading market may impair the value of your shares and your ability to sell your shares at the time you wish to sell them. An inactive trading market may also impair our ability to both raise capital by selling shares of common stock and acquire other complementary diagnostic tests, technologies or businesses by using our shares of common stock as consideration.</w:t>
      </w:r>
    </w:p>
    <w:p>
      <w:pPr>
        <w:spacing w:after="0" w:line="171"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Upon closing of this offering, we expect that our common stock will be listed on the Nasdaq Global Market. If we fail to satisfy the continued listing standards of the Nasdaq Global Market, however, we could be de-listed, which would negatively impact the price of our common stock.</w:t>
      </w: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 and you may not be able to sell the shares you purchase in this offering at or above the offering price.</w:t>
      </w:r>
    </w:p>
    <w:p>
      <w:pPr>
        <w:spacing w:after="0" w:line="62"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initial public offering price for the shares of our common stock sold in this offering is determined by negotiation between the representatives of the underwriters and us. This price may not reflect the market price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common stock following this offering. In addition, the market price of our common stock is likely to be highly volatile and may fluctuate substantially due to many factors, including:</w:t>
      </w:r>
    </w:p>
    <w:p>
      <w:pPr>
        <w:spacing w:after="0" w:line="76" w:lineRule="exact"/>
        <w:rPr>
          <w:sz w:val="20"/>
          <w:szCs w:val="20"/>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volume and customer mix for our COVID-19, Nodify XL2, Nodify CDT, GeneStrat and VeriStrat testing;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introduction of new diagnostic tests or enhancements to such tests by us or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develop, obtain regulatory clearance or approval for, and market new and enhanced diagnostic tests on a timely basis;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media exposure of our diagnostic tests or of those of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130"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7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2"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459"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95"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65"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annual revenue; (ii) the date we qualify as a “large accelerated filer,” with at least $700 million of equity securities held by non-affiliates;</w:t>
      </w:r>
    </w:p>
    <w:p>
      <w:pPr>
        <w:spacing w:after="0" w:line="32" w:lineRule="exact"/>
        <w:rPr>
          <w:sz w:val="20"/>
          <w:szCs w:val="20"/>
          <w:color w:val="auto"/>
        </w:rPr>
      </w:pPr>
    </w:p>
    <w:p>
      <w:pPr>
        <w:ind w:right="140" w:firstLine="8"/>
        <w:spacing w:after="0" w:line="260"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and (iv) the last day of the fiscal year ending after the fifth anniversary of the completion of our initial public offering.</w:t>
      </w:r>
    </w:p>
    <w:p>
      <w:pPr>
        <w:spacing w:after="0" w:line="18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 xml:space="preserve">We are also a </w:t>
      </w:r>
      <w:r>
        <w:rPr>
          <w:rFonts w:ascii="Arial" w:cs="Arial" w:eastAsia="Arial" w:hAnsi="Arial"/>
          <w:sz w:val="16"/>
          <w:szCs w:val="16"/>
          <w:i w:val="1"/>
          <w:iCs w:val="1"/>
          <w:color w:val="auto"/>
        </w:rPr>
        <w:t>“</w:t>
      </w:r>
      <w:r>
        <w:rPr>
          <w:rFonts w:ascii="Arial" w:cs="Arial" w:eastAsia="Arial" w:hAnsi="Arial"/>
          <w:sz w:val="16"/>
          <w:szCs w:val="16"/>
          <w:color w:val="auto"/>
        </w:rPr>
        <w:t>smaller reporting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6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92"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financial statements and accompanying notes. We base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Investors purchasing common stock in this offering will pay a price per share that substantially exceeds the pro forma as adjusted net tangible book value per share. As a result, investors purchasing common stock in this offering will incur immediate dilution of $16.30 per share, based on an assumed initial public offering price of $18.00 per share, the midpoint of the estimated offering price range set forth on the cover page of this prospectus, and our pro forma as adjusted net tangible book value per share as of June 30, 2020. For more information on the dilution you may suffer as a result of investing in this offering, see the section of this prospectus entitled “Dilution.”</w:t>
      </w:r>
    </w:p>
    <w:p>
      <w:pPr>
        <w:spacing w:after="0" w:line="188" w:lineRule="exact"/>
        <w:rPr>
          <w:sz w:val="20"/>
          <w:szCs w:val="20"/>
          <w:color w:val="auto"/>
        </w:rPr>
      </w:pPr>
    </w:p>
    <w:p>
      <w:pPr>
        <w:ind w:right="80" w:firstLine="1011"/>
        <w:spacing w:after="0" w:line="259"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It is also due to the conversion of our preferred stock and convertible debt into shares of our common stock upon the completion of this offering and the exercise of stock options granted to our employees as the conversion and exercise prices of such securities and options are substantially below the price offered to the public in this offering.</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we will have 26,420,739 outstanding shares of common stock based on the number of shares outstanding as of October 15, 2020. This includes the shares that we are selling in this offering, which may be resold in the public market immediately without restriction, unless purchased by our affiliates. Of the remaining shares, 22,254,072 shares are currently restricted as a result of securities laws or 180-day lock-up agreements but will be able to be sold after the offering as described in the section of this prospectus entitled “Shares Eligible For Future Sale.” Moreover, after this offering, holders of an aggregate of 20,090,745 shares of our common stock issuable upon the conversion of the shares of our convertible preferred stock that will be outstanding immediately prior to the consummation of this offering, will have rights, subject to some conditions, to require us to file registration statements covering their shares or to include their shares in registration statements that we may file for ourselves or other stockholders as described in the section of this prospectus entitled “Shares Eligible For Future Sale—Registration Rights.” We also intend to register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62"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After this offering, our officers, directors and principal stockholders each holding more than 5% of our common stock will collectively control approximately 60.3% of our outstanding common stock. As a result,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117"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62"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Upon completion of this offering, we expect to incur costs associated with corporate governance requirements that will become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27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76"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92"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77" w:lineRule="exact"/>
        <w:rPr>
          <w:sz w:val="20"/>
          <w:szCs w:val="20"/>
          <w:color w:val="auto"/>
        </w:rPr>
      </w:pPr>
    </w:p>
    <w:p>
      <w:pPr>
        <w:jc w:val="right"/>
        <w:ind w:left="5540" w:right="5520" w:hanging="5087"/>
        <w:spacing w:after="0" w:line="535" w:lineRule="auto"/>
        <w:tabs>
          <w:tab w:leader="none" w:pos="1013"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faulty human judgment and simple errors, omissions or mistakes; 70</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possibility that any enhancements to controls and procedures may still not be adequate to assure timely and accurate financial control.</w:t>
      </w:r>
    </w:p>
    <w:p>
      <w:pPr>
        <w:spacing w:after="0" w:line="248"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specifies that, unless we consent in writing to the selection of an alternative forum, the Court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3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Our amended and restated articles of incorporation that will be in effect at the closing of this offering provide that we will indemnify our directors and officers to the fullest extent permitted by Section 145 of the Delaware General Corporate Law.</w:t>
      </w:r>
    </w:p>
    <w:p>
      <w:pPr>
        <w:spacing w:after="0" w:line="170"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76" w:lineRule="exact"/>
        <w:rPr>
          <w:sz w:val="20"/>
          <w:szCs w:val="20"/>
          <w:color w:val="auto"/>
        </w:rPr>
      </w:pPr>
    </w:p>
    <w:p>
      <w:pPr>
        <w:ind w:left="1000" w:hanging="547"/>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53" w:lineRule="exact"/>
        <w:rPr>
          <w:rFonts w:ascii="Arial" w:cs="Arial" w:eastAsia="Arial" w:hAnsi="Arial"/>
          <w:sz w:val="16"/>
          <w:szCs w:val="16"/>
          <w:color w:val="auto"/>
        </w:rPr>
      </w:pPr>
    </w:p>
    <w:p>
      <w:pPr>
        <w:jc w:val="both"/>
        <w:ind w:left="1000" w:right="180" w:hanging="547"/>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9" w:lineRule="exact"/>
        <w:rPr>
          <w:rFonts w:ascii="Arial" w:cs="Arial" w:eastAsia="Arial" w:hAnsi="Arial"/>
          <w:sz w:val="16"/>
          <w:szCs w:val="16"/>
          <w:color w:val="auto"/>
        </w:rPr>
      </w:pPr>
    </w:p>
    <w:p>
      <w:pPr>
        <w:ind w:left="1000" w:right="540" w:hanging="547"/>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29" w:lineRule="exact"/>
        <w:rPr>
          <w:rFonts w:ascii="Arial" w:cs="Arial" w:eastAsia="Arial" w:hAnsi="Arial"/>
          <w:sz w:val="16"/>
          <w:szCs w:val="16"/>
          <w:color w:val="auto"/>
        </w:rPr>
      </w:pPr>
    </w:p>
    <w:p>
      <w:pPr>
        <w:ind w:left="1000" w:right="20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articles of incorporation provisions to reduce our indemnification obligations to directors, officers, employees and agents.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320" w:top="459"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7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92" w:lineRule="exact"/>
        <w:rPr>
          <w:sz w:val="20"/>
          <w:szCs w:val="20"/>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demand for our COVID-19 diagnostic and antibody testing program and our ability to meet such demand;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party suppliers, including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COVID-19 pandemic on our business;</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incurrence of substantial liabilities and limiting or halting the marketing and sale of our diagnostic tests due to product liability lawsuits;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this prospectus, including those set forth under “Risk Factors.”</w:t>
      </w:r>
    </w:p>
    <w:p>
      <w:pPr>
        <w:spacing w:after="0" w:line="22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320" w:top="459" w:right="3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estimate that the net proceeds to us from the sale of 4,166,667 shares of common stock in this offering will be approximately $65.8 million at an assumed initial public offering price of $18.00 per share, the midpoint of the estimated offering price range set forth on the cover page of this prospectus, after deducting underwriting discounts and commissions and estimated offering expenses payable by us. If the underwriters exercise their over-allotment option in full, we estimate that the net proceeds to us will be approximately $76.2 million, after deducting underwriting discounts and commissions and estimated offering expenses payable by us.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Each $1.00 increase or decrease in the assumed initial public offering price of $18.00 per share would increase or decrease, respectively, our net proceeds by $3.9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net proceeds from this offering, after deducting underwriting discounts and commissions by $16.7 million, assuming the assumed initial public offering price stays the same.</w:t>
      </w:r>
    </w:p>
    <w:p>
      <w:pPr>
        <w:spacing w:after="0" w:line="192" w:lineRule="exact"/>
        <w:rPr>
          <w:sz w:val="20"/>
          <w:szCs w:val="20"/>
          <w:color w:val="auto"/>
        </w:rPr>
      </w:pPr>
    </w:p>
    <w:p>
      <w:pPr>
        <w:jc w:val="both"/>
        <w:ind w:right="600" w:firstLine="449"/>
        <w:spacing w:after="0" w:line="263" w:lineRule="auto"/>
        <w:rPr>
          <w:sz w:val="20"/>
          <w:szCs w:val="20"/>
          <w:color w:val="auto"/>
        </w:rPr>
      </w:pPr>
      <w:r>
        <w:rPr>
          <w:rFonts w:ascii="Arial" w:cs="Arial" w:eastAsia="Arial" w:hAnsi="Arial"/>
          <w:sz w:val="18"/>
          <w:szCs w:val="18"/>
          <w:color w:val="auto"/>
        </w:rPr>
        <w:t>We currently expect to use the net proceeds from this offering: (1) to support our commercial expansion of sales, marketing, reimbursement, customer support and business development; (2) to support our product pipeline and research and development; (3) for our Integrated Diagnostics acquisition milestone payment; and (4) for working capital and general corporate purposes.</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may also use a portion of our net proceeds to co-develop, acquire or invest in products, technologies or businesses that are complementary to our business. However, we currently have no agreements or commitments to complete any such transaction.</w:t>
      </w:r>
    </w:p>
    <w:p>
      <w:pPr>
        <w:spacing w:after="0" w:line="170"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Although we currently anticipate that we will use the net proceeds from this offering as described above, there may be circumstances where a reallocation of funds is necessary. Due to the uncertainties inherent in the product development process, it is difficult to estimate with certainty the exact amounts of the net proceeds from this offering that may be used for the above purposes. The amounts and timing of our actual expenditures will depend upon numerous factors, including our sales and marketing and commercialization efforts, demand for our technology, our operating costs and the other factors described under “Risk Factors” in this prospectus. Accordingly, we will have broad discretion over the uses of the net proceeds from this offering. Pending the use of the proceeds from this offering, we may invest the proceeds in from this offering in short- and intermediate-term, interest-bearing obligations, investment-grade instruments, certificates of deposit or direct or guaranteed obligations of the United States government.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32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if any, to support operations and to finance the growth and development of our business. We do not intend to declare or pay cash dividends on common stock in the foreseeable future following the consummation of this offering. Any determination to declare dividends will be made at the discretion of our Board of Directors and will depend on, among other factors, our business, financial condition, results of operations and prospects that our Board of Directors may deem relevant. The terms of our outstanding credit facility also restrict our ability to pay dividends, and we may also enter into credit agreements or other borrowing arrangements in the future that will restrict our ability to declare or pay cash dividends on our capital stock. See “Management’s Discussion and Analysis of Financial Condition and Results of Operations—Liquidity and Capital Resources—Contractual Obligations and Commitments.”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32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 2019, on:</w:t>
      </w:r>
    </w:p>
    <w:p>
      <w:pPr>
        <w:spacing w:after="0" w:line="131"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00" w:right="40" w:hanging="547"/>
        <w:spacing w:after="0" w:line="255"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 forma basis to reflect (i) the conversion of all the outstanding shares of preferred stock into an aggregate of 20,090,745 shares of common stock immediately upon the closing of this offering, (ii)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 and (iii) the filing and effectiveness of our amended and restated certificate of incorporation that will be in effect upon the closing of this offering; and</w:t>
      </w:r>
    </w:p>
    <w:p>
      <w:pPr>
        <w:spacing w:after="0" w:line="97" w:lineRule="exact"/>
        <w:rPr>
          <w:rFonts w:ascii="Arial" w:cs="Arial" w:eastAsia="Arial" w:hAnsi="Arial"/>
          <w:sz w:val="18"/>
          <w:szCs w:val="18"/>
          <w:color w:val="auto"/>
        </w:rPr>
      </w:pPr>
    </w:p>
    <w:p>
      <w:pPr>
        <w:jc w:val="both"/>
        <w:ind w:left="1000" w:right="460" w:hanging="547"/>
        <w:spacing w:after="0" w:line="286"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pro forma as adjusted basis to further reflect the sale of 4,166,667 shares of common stock in this offering at an assumed initial public offering price of $18.00 per share, the midpoint of the estimated offering price range set forth on the cover page of this prospectus, after deducting underwriting discounts and commissions and estimated offering expenses payable by us.</w:t>
      </w:r>
    </w:p>
    <w:p>
      <w:pPr>
        <w:spacing w:after="0" w:line="165" w:lineRule="exact"/>
        <w:rPr>
          <w:sz w:val="20"/>
          <w:szCs w:val="20"/>
          <w:color w:val="auto"/>
        </w:rPr>
      </w:pPr>
    </w:p>
    <w:p>
      <w:pPr>
        <w:jc w:val="both"/>
        <w:ind w:right="460" w:firstLine="449"/>
        <w:spacing w:after="0" w:line="311" w:lineRule="auto"/>
        <w:rPr>
          <w:sz w:val="20"/>
          <w:szCs w:val="20"/>
          <w:color w:val="auto"/>
        </w:rPr>
      </w:pPr>
      <w:r>
        <w:rPr>
          <w:rFonts w:ascii="Arial" w:cs="Arial" w:eastAsia="Arial" w:hAnsi="Arial"/>
          <w:sz w:val="16"/>
          <w:szCs w:val="16"/>
          <w:color w:val="auto"/>
        </w:rPr>
        <w:t>You should read this information together with the sections of this prospectus titled “Prospectus Summary—Summary Historical Financial and Operating Data,” “Selected Historical Financial and Operating Data,” “Description of Capital Stock” and “Management’s Discussion and Analysis of Financial Condition and Results of Operations” and our financial statements and related notes included elsewhere in this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As of June 30, 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81"/>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Pro Forma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rPr>
              <w:t>(Unaudited)</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00" w:type="dxa"/>
            <w:vAlign w:val="bottom"/>
            <w:gridSpan w:val="1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 thousands, except share and per share</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data)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11,674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77,424</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24,676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Long-term debt payable</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48,903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24,227</w:t>
            </w: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Arial" w:cs="Arial" w:eastAsia="Arial" w:hAnsi="Arial"/>
                <w:sz w:val="18"/>
                <w:szCs w:val="18"/>
                <w:color w:val="auto"/>
                <w:w w:val="92"/>
              </w:rPr>
              <w:t>Convertible preferred stock; $0.001 par value; 185,432,719 shares authorized, 118,766,273 issued and</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w w:val="92"/>
              </w:rPr>
              <w:t>outstanding, actual; 0 shares authorized and 0 shares issued and outstanding, pro forma and pro forma</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as adjusted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w w:val="98"/>
              </w:rPr>
              <w:t>193,959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Preferred stock; $0.001 par value; no shares authorized, issued and outstanding, actual;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540"/>
              <w:spacing w:after="0"/>
              <w:rPr>
                <w:sz w:val="20"/>
                <w:szCs w:val="20"/>
                <w:color w:val="auto"/>
              </w:rPr>
            </w:pPr>
            <w:r>
              <w:rPr>
                <w:rFonts w:ascii="Arial" w:cs="Arial" w:eastAsia="Arial" w:hAnsi="Arial"/>
                <w:sz w:val="18"/>
                <w:szCs w:val="18"/>
                <w:color w:val="auto"/>
                <w:w w:val="95"/>
              </w:rPr>
              <w:t>5,000,000 shares authorized, no shares issued and outstanding, pro forma and pro forma as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ind w:left="540"/>
              <w:spacing w:after="0"/>
              <w:rPr>
                <w:sz w:val="20"/>
                <w:szCs w:val="20"/>
                <w:color w:val="auto"/>
              </w:rPr>
            </w:pPr>
            <w:r>
              <w:rPr>
                <w:rFonts w:ascii="Arial" w:cs="Arial" w:eastAsia="Arial" w:hAnsi="Arial"/>
                <w:sz w:val="18"/>
                <w:szCs w:val="18"/>
                <w:color w:val="auto"/>
              </w:rPr>
              <w:t>adjusted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6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220,000,000 shares authorized, 274,523 issued and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outstanding, actual; 200,000,000 shares authorized pro forma and pro forma as adjusted,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8"/>
              </w:rPr>
              <w:t>22,213,548 shares issued and outstanding, pro forma; and 26,380,215 shares issued and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pro forma as adjusted</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2,389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229,651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295,397</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(248,835)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(250,564)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(250,564)</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(246,444</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(20,891)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right="180" w:hanging="552"/>
        <w:spacing w:after="0" w:line="277" w:lineRule="auto"/>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$1.00 increase or decrease in the assumed initial public offering price of $18.00 per share, the midpoint of the estimated offering price range set forth on the cover page of this prospectus, would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1" w:lineRule="auto"/>
        <w:rPr>
          <w:sz w:val="20"/>
          <w:szCs w:val="20"/>
          <w:color w:val="auto"/>
        </w:rPr>
      </w:pPr>
      <w:r>
        <w:rPr>
          <w:rFonts w:ascii="Arial" w:cs="Arial" w:eastAsia="Arial" w:hAnsi="Arial"/>
          <w:sz w:val="17"/>
          <w:szCs w:val="17"/>
          <w:color w:val="auto"/>
        </w:rPr>
        <w:t>increase or decrease, respectively, the amount of cash and cash equivalents, additional paid-in-capital, total stockholders’ equity and total capitalization by approximately $3.9 million, assuming that the number of shares offered by us, as set forth on the cover page of this prospectus, remains the same after 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amount of cash and cash equivalents, additional paid-in-capital, total stockholders’ equity and total capitalization by approximately $16.7 million, assuming the assumed initial public offering price per share, as set forth above, remains the same and after deducting underwriting discounts and commissions. The pro forma as adjusted information is illustrative only, and will be adjusted based on the actual initial public offering price and other terms of this offering determined at pricing.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outstanding share information in the table above excludes, as of June 30, 2020, the following shares:</w:t>
      </w:r>
    </w:p>
    <w:p>
      <w:pPr>
        <w:spacing w:after="0" w:line="131" w:lineRule="exact"/>
        <w:rPr>
          <w:sz w:val="20"/>
          <w:szCs w:val="20"/>
          <w:color w:val="auto"/>
        </w:rPr>
      </w:pPr>
    </w:p>
    <w:p>
      <w:pPr>
        <w:jc w:val="both"/>
        <w:ind w:left="1000" w:right="400" w:hanging="547"/>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2,813,063 shares of common stock issuable upon the exercise of stock options outstanding as of June 30, 2020, with a weighted-average exercise price of $2.58 per share, plus 56,301 shares of common stock issuable upon the exercise of stock options granted subsequent to June 30, 2020, with a weighted-average exercise price of $4.87 per share;</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52,736 shares of common stock that will be outstanding upon the vesting of restricted stock units;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103,326 shares of common stock issuable upon the exercise of outstanding warrants to purchase shares of Series G Preferred Stock as of June 30, 2020, with a weighted-average exercise price of $4.46 per share;</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1,893,395 shares of common stock reserved for future issuance under the 2020 Incentive Plan, which will become effective immediately prior to the completion of this offering; and</w:t>
      </w:r>
    </w:p>
    <w:p>
      <w:pPr>
        <w:spacing w:after="0" w:line="75"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338,106 shares of common stock reserved for future issuance under the ESPP, which will become effective immediately prior to the completion of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the closing of this offering.</w:t>
      </w:r>
    </w:p>
    <w:p>
      <w:pPr>
        <w:spacing w:after="0" w:line="184" w:lineRule="exact"/>
        <w:rPr>
          <w:sz w:val="20"/>
          <w:szCs w:val="20"/>
          <w:color w:val="auto"/>
        </w:rPr>
      </w:pPr>
    </w:p>
    <w:p>
      <w:pPr>
        <w:jc w:val="both"/>
        <w:ind w:right="460" w:firstLine="449"/>
        <w:spacing w:after="0" w:line="259" w:lineRule="auto"/>
        <w:rPr>
          <w:sz w:val="20"/>
          <w:szCs w:val="20"/>
          <w:color w:val="auto"/>
        </w:rPr>
      </w:pPr>
      <w:r>
        <w:rPr>
          <w:rFonts w:ascii="Arial" w:cs="Arial" w:eastAsia="Arial" w:hAnsi="Arial"/>
          <w:sz w:val="18"/>
          <w:szCs w:val="18"/>
          <w:color w:val="auto"/>
        </w:rPr>
        <w:t>Our historical net tangible book value as of June 30, 2020 was $(246.4) million, or $(897.72) per share of our common stock. Our historical net tangible book value is the amount of our total tangible assets less our total liabilities and convertible preferred stock, which is not included within our stockholders’ deficit. Historical net tangible book value per share represents historical net tangible book value divided by the number of shares of our common stock outstanding as of June 30, 2020.</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pro forma net tangible book value as of June 30, 2020 was $(20.9) million, or $(0.94) per share of our common stock. Pro forma net tangible book value per share represents our total tangible assets less our total liabilities, divided by the number of outstanding shares of common stock, after giving effect to the conversion of all outstanding shares of preferred stock into 20,090,745 shares of common stock immediately upon the closing of this offering and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192"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After giving effect to the conversion of our outstanding preferred stock into 20,090,745 shares of common stock immediately upon the closing of this offering,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 and the receipt of the net proceeds from our sale of 4,166,667 shares of common stock in this offering at an assumed initial public offering price of $18.00 per share, the midpoint of the estimated offering price range set forth on the cover page of this prospectus, after deducting underwriting discounts and commissions and estimated offering expenses payable by us, our pro forma as adjusted net tangible book value as of June 30, 2020, would have been $44.9 million, or $1.70 per share. This represents an immediate increase in pro forma as adjusted net tangible book value of $2.64 per share to our existing stockholders and immediate dilution of $16.30 per share to investors purchasing common stock in this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46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 of our common stock</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18.00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June 30,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(897.72)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increase in net tangible book value per share as of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896.78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June 30,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0"/>
                <w:szCs w:val="20"/>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Dilution of net tangible book value per share to new investors</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16.30</w:t>
            </w:r>
          </w:p>
        </w:tc>
      </w:tr>
    </w:tbl>
    <w:p>
      <w:pPr>
        <w:spacing w:after="0" w:line="20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Each $1.00 increase or decrease in the assumed initial public offering price of 18.00 per share would increase or decrease, respectively, our pro forma as adjusted net tangible book value per share after this offering by $0.15 per share and the dilution to new investors by $0.85 per share, assuming the number of shares offered by us, as set forth on the cover page of this prospectus, remains the same and after deducting underwriting discounts and commissions and estimated offering expenses payable by us. Each increase of 1,000,000 shares in the number of shares of common stock offered by us would increase the pro forma as adjusted net tangible book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value by $0.55 per share and the dilution to new investors would decrease by $0.55 per share, assuming the assumed initial public offering price remains the same and after deducting underwriting discounts and commissions. Each decrease of 1,000,000 shares in the number of shares of common stock offered by us would decrease the pro forma as adjusted net tangible book value by $0.59 per share and the dilution to new investors would increase by $0.59 per share, assuming the assumed initial public offering price remains the same and after deducting underwriting discounts and commissions.</w:t>
      </w:r>
    </w:p>
    <w:p>
      <w:pPr>
        <w:spacing w:after="0" w:line="15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per share after giving effect to this offering would be $2.05 per share, and the dilution in pro forma as adjusted net tangible book value per share to new investors in this offering would be $0.35 per share.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as of October 15, 2020:</w:t>
      </w:r>
    </w:p>
    <w:p>
      <w:pPr>
        <w:spacing w:after="0" w:line="131" w:lineRule="exact"/>
        <w:rPr>
          <w:sz w:val="20"/>
          <w:szCs w:val="20"/>
          <w:color w:val="auto"/>
        </w:rPr>
      </w:pPr>
    </w:p>
    <w:p>
      <w:pPr>
        <w:ind w:left="1000" w:right="22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 by our existing stockholders and by new investors purchasing shares in this offering;</w:t>
      </w:r>
    </w:p>
    <w:p>
      <w:pPr>
        <w:spacing w:after="0" w:line="75" w:lineRule="exact"/>
        <w:rPr>
          <w:rFonts w:ascii="Arial" w:cs="Arial" w:eastAsia="Arial" w:hAnsi="Arial"/>
          <w:sz w:val="18"/>
          <w:szCs w:val="18"/>
          <w:color w:val="auto"/>
        </w:rPr>
      </w:pPr>
    </w:p>
    <w:p>
      <w:pPr>
        <w:ind w:left="1000" w:right="20" w:hanging="547"/>
        <w:spacing w:after="0" w:line="259"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consideration paid to us by our existing stockholders and by new investors purchasing shares in this offering, assuming an initial public offering price of $18.00 per share, the midpoint of the estimated offering price range set forth on the cover page of this prospectus, before deducting the underwriting discounts and commissions and estimated offering expenses payable by us in connection with this offering; and</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average price per share paid by existing stockholders and by new investors purchasing shares in this offering.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vMerge w:val="restart"/>
          </w:tcPr>
          <w:p>
            <w:pPr>
              <w:jc w:val="right"/>
              <w:ind w:right="235"/>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040" w:type="dxa"/>
            <w:vAlign w:val="bottom"/>
          </w:tcPr>
          <w:p>
            <w:pPr>
              <w:spacing w:after="0"/>
              <w:rPr>
                <w:sz w:val="6"/>
                <w:szCs w:val="6"/>
                <w:color w:val="auto"/>
              </w:rPr>
            </w:pPr>
          </w:p>
        </w:tc>
        <w:tc>
          <w:tcPr>
            <w:tcW w:w="170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84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8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Number</w:t>
            </w:r>
          </w:p>
        </w:tc>
        <w:tc>
          <w:tcPr>
            <w:tcW w:w="380" w:type="dxa"/>
            <w:vAlign w:val="bottom"/>
            <w:vMerge w:val="restart"/>
          </w:tcPr>
          <w:p>
            <w:pPr>
              <w:spacing w:after="0"/>
              <w:rPr>
                <w:sz w:val="4"/>
                <w:szCs w:val="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Percent</w:t>
            </w:r>
          </w:p>
        </w:tc>
        <w:tc>
          <w:tcPr>
            <w:tcW w:w="180" w:type="dxa"/>
            <w:vAlign w:val="bottom"/>
          </w:tcPr>
          <w:p>
            <w:pPr>
              <w:spacing w:after="0"/>
              <w:rPr>
                <w:sz w:val="4"/>
                <w:szCs w:val="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22,254,072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w:t>
            </w:r>
          </w:p>
        </w:tc>
        <w:tc>
          <w:tcPr>
            <w:tcW w:w="1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$229,010,517</w:t>
            </w:r>
          </w:p>
        </w:tc>
        <w:tc>
          <w:tcPr>
            <w:tcW w:w="3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w:t>
            </w:r>
          </w:p>
        </w:tc>
        <w:tc>
          <w:tcPr>
            <w:tcW w:w="1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$ 10.29</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New investors</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4,166,667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75,000,006</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26,420,739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304,010,523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over-allotment option. If the underwriters exercise their over-allotment option in full, our existing stockholders would own 82.3% and our new investors would own 17.7% of the total number of shares of common stock outstanding upon the closing of this offering.</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number of shares of our common stock that will be outstanding after this offering is based on 22,254,072 shares of common stock outstanding as of October 15, 2020, and excludes:</w:t>
      </w:r>
    </w:p>
    <w:p>
      <w:pPr>
        <w:spacing w:after="0" w:line="76" w:lineRule="exact"/>
        <w:rPr>
          <w:sz w:val="20"/>
          <w:szCs w:val="20"/>
          <w:color w:val="auto"/>
        </w:rPr>
      </w:pPr>
    </w:p>
    <w:p>
      <w:pPr>
        <w:ind w:left="1000" w:right="16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2,817,440 shares of common stock issuable upon the exercise of stock options outstanding as of October 15, 2020, with a weighted-average exercise price of $2.80 per share;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79,104 shares of common stock that will be outstanding upon the vesting of restricted stock units;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103,326 shares of common stock issuable upon the exercise of outstanding warrants to purchase shares of Series G Preferred Stock as of October 15, 2020, with a weighted-average exercise price of $4.46 per share;</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1,893,395 shares of common stock reserved for future issuance under the 2020 Incentive Plan, which will become effective immediately prior to the completion of this offering; and</w:t>
      </w:r>
    </w:p>
    <w:p>
      <w:pPr>
        <w:spacing w:after="0" w:line="75" w:lineRule="exact"/>
        <w:rPr>
          <w:rFonts w:ascii="Arial" w:cs="Arial" w:eastAsia="Arial" w:hAnsi="Arial"/>
          <w:sz w:val="18"/>
          <w:szCs w:val="18"/>
          <w:color w:val="auto"/>
        </w:rPr>
      </w:pPr>
    </w:p>
    <w:p>
      <w:pPr>
        <w:ind w:left="1000" w:right="74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338,106 shares of common stock reserved for future issuance under the ESPP, which will become effective immediately prior to the completion of this offering.</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Each $1.00 increase or decrease in the assumed initial public offering price of $18.00 per share, the midpoint of the estimated offering price range set forth on the cover page of this prospectus, would increase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decrease, respectively, the total consideration paid by new investors by $4.2 million and increase or decrease, respectively, the total consideration paid by new investors by 1%, assuming that the number of shares offered by us, as set forth on the cover page of this prospectus, remains the same and before deducting underwriting discounts and commissions.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extent any outstanding options are exercised, new investors would experience further dilution.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40"/>
          </w:cols>
          <w:pgMar w:left="320" w:top="459" w:right="5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22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following table sets forth Biodesix, Inc.’s selected historical financial and operating data as of the dates and for the financial reporting periods indicated. The selected historical financial and operating data as of June 30, 2020 and 2019 and for the six months ended June 30, 2020 and 2019 have been derived from our unaudited condensed financial statements included elsewhere in this prospectus. The selected historical financial and operating data as of December 31, 2019 and 2018 and for the years ended December 31, 2019 and 2018 have been derived from our audited financial statements included elsewhere in this prospectus.</w:t>
      </w:r>
    </w:p>
    <w:p>
      <w:pPr>
        <w:spacing w:after="0" w:line="188"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The selected historical financial information is not necessarily indicative of the results that may be expected in any future financial reporting period, and our results of operations for any interim financial reporting period are not necessarily indicative of the results to be expected for the full year. Our preliminary revenues and cash for each of the nine months ended September 30, 2020 and September 30, 2019 are included in “Prospectus Summary— Preliminary Results for Third Quarter 2020.” Such results are preliminary and are subject to change and are not necessarily indicative of the results expected for the full year.</w:t>
      </w:r>
    </w:p>
    <w:p>
      <w:pPr>
        <w:spacing w:after="0" w:line="188"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following selected historical financial and operating data should be read in conjunction with “Capitalization,” “Prospectus Summary—Summary Historical Financial and Operating Data” and “Management’s Discussion and Analysis of Financial Condition and Results of Operations” and the financial statements and related notes appearing elsewhere in this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left="373"/>
              <w:spacing w:after="0" w:line="142" w:lineRule="exact"/>
              <w:rPr>
                <w:sz w:val="20"/>
                <w:szCs w:val="20"/>
                <w:color w:val="auto"/>
              </w:rPr>
            </w:pPr>
            <w:r>
              <w:rPr>
                <w:rFonts w:ascii="Arial" w:cs="Arial" w:eastAsia="Arial" w:hAnsi="Arial"/>
                <w:sz w:val="14"/>
                <w:szCs w:val="14"/>
                <w:b w:val="1"/>
                <w:bCs w:val="1"/>
                <w:color w:val="auto"/>
                <w:w w:val="94"/>
              </w:rPr>
              <w:t>(audited)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20,432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6,074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10,468</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30,637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25,899</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(26,741)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(23,461)</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Total other expense</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(17,971)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(26,166)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(68.85)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(126.97)</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261,331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440" w:type="dxa"/>
            <w:vAlign w:val="bottom"/>
          </w:tcPr>
          <w:p>
            <w:pPr>
              <w:ind w:left="5540"/>
              <w:spacing w:after="0"/>
              <w:rPr>
                <w:sz w:val="20"/>
                <w:szCs w:val="20"/>
                <w:color w:val="auto"/>
              </w:rPr>
            </w:pPr>
            <w:r>
              <w:rPr>
                <w:rFonts w:ascii="Arial" w:cs="Arial" w:eastAsia="Arial" w:hAnsi="Arial"/>
                <w:sz w:val="18"/>
                <w:szCs w:val="18"/>
                <w:color w:val="auto"/>
              </w:rPr>
              <w:t>83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280" w:type="dxa"/>
            <w:vAlign w:val="bottom"/>
          </w:tcPr>
          <w:p>
            <w:pPr>
              <w:spacing w:after="0"/>
              <w:rPr>
                <w:sz w:val="14"/>
                <w:szCs w:val="14"/>
                <w:color w:val="auto"/>
              </w:rPr>
            </w:pPr>
          </w:p>
        </w:tc>
        <w:tc>
          <w:tcPr>
            <w:tcW w:w="5380" w:type="dxa"/>
            <w:vAlign w:val="bottom"/>
            <w:gridSpan w:val="2"/>
          </w:tcPr>
          <w:p>
            <w:pPr>
              <w:jc w:val="center"/>
              <w:ind w:left="4552"/>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Actual</w:t>
            </w: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8"/>
              </w:rPr>
              <w:t>Actual</w:t>
            </w:r>
          </w:p>
        </w:tc>
        <w:tc>
          <w:tcPr>
            <w:tcW w:w="100" w:type="dxa"/>
            <w:vAlign w:val="bottom"/>
            <w:tcBorders>
              <w:bottom w:val="single" w:sz="8" w:color="CCEEFF"/>
            </w:tcBorders>
          </w:tcPr>
          <w:p>
            <w:pPr>
              <w:spacing w:after="0"/>
              <w:rPr>
                <w:sz w:val="12"/>
                <w:szCs w:val="12"/>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11,674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Working capital</w:t>
            </w:r>
          </w:p>
        </w:tc>
        <w:tc>
          <w:tcPr>
            <w:tcW w:w="6020" w:type="dxa"/>
            <w:vAlign w:val="bottom"/>
            <w:gridSpan w:val="3"/>
          </w:tcPr>
          <w:p>
            <w:pPr>
              <w:jc w:val="right"/>
              <w:ind w:right="580"/>
              <w:spacing w:after="0"/>
              <w:rPr>
                <w:sz w:val="20"/>
                <w:szCs w:val="20"/>
                <w:color w:val="auto"/>
              </w:rPr>
            </w:pPr>
            <w:r>
              <w:rPr>
                <w:rFonts w:ascii="Arial" w:cs="Arial" w:eastAsia="Arial" w:hAnsi="Arial"/>
                <w:sz w:val="18"/>
                <w:szCs w:val="18"/>
                <w:color w:val="auto"/>
              </w:rPr>
              <w:t>(27,429)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45,478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Current portion of long-term debt payable</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payable</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20,163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Convertible debt</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24,676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12,159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29,114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193,959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193,959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(230,864)</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6020" w:type="dxa"/>
            <w:vAlign w:val="bottom"/>
            <w:gridSpan w:val="3"/>
          </w:tcPr>
          <w:p>
            <w:pPr>
              <w:jc w:val="right"/>
              <w:ind w:right="580"/>
              <w:spacing w:after="0"/>
              <w:rPr>
                <w:sz w:val="20"/>
                <w:szCs w:val="20"/>
                <w:color w:val="auto"/>
              </w:rPr>
            </w:pPr>
            <w:r>
              <w:rPr>
                <w:rFonts w:ascii="Arial" w:cs="Arial" w:eastAsia="Arial" w:hAnsi="Arial"/>
                <w:sz w:val="18"/>
                <w:szCs w:val="18"/>
                <w:color w:val="auto"/>
              </w:rPr>
              <w:t>(246,444)</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(228,539)</w:t>
            </w:r>
          </w:p>
        </w:tc>
      </w:tr>
      <w:tr>
        <w:trPr>
          <w:trHeight w:val="350"/>
        </w:trPr>
        <w:tc>
          <w:tcPr>
            <w:tcW w:w="4280" w:type="dxa"/>
            <w:vAlign w:val="bottom"/>
          </w:tcPr>
          <w:p>
            <w:pPr>
              <w:spacing w:after="0"/>
              <w:rPr>
                <w:sz w:val="24"/>
                <w:szCs w:val="24"/>
                <w:color w:val="auto"/>
              </w:rPr>
            </w:pPr>
          </w:p>
        </w:tc>
        <w:tc>
          <w:tcPr>
            <w:tcW w:w="4640" w:type="dxa"/>
            <w:vAlign w:val="bottom"/>
          </w:tcPr>
          <w:p>
            <w:pPr>
              <w:jc w:val="right"/>
              <w:ind w:right="3112"/>
              <w:spacing w:after="0"/>
              <w:rPr>
                <w:sz w:val="20"/>
                <w:szCs w:val="20"/>
                <w:color w:val="auto"/>
              </w:rPr>
            </w:pPr>
            <w:r>
              <w:rPr>
                <w:rFonts w:ascii="Arial" w:cs="Arial" w:eastAsia="Arial" w:hAnsi="Arial"/>
                <w:sz w:val="18"/>
                <w:szCs w:val="18"/>
                <w:color w:val="auto"/>
              </w:rPr>
              <w:t>84</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sections of this prospectus titled “Prospectus Summary—Summary Historical Financial and Operating Data,” “Selected Historical Financial and Operating Data” and our financial statements and the related notes to those statements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prospectus. You should carefully read the “Risk Factors” to gain an understanding of the important factors that could cause actual results to differ materially from our forward-looking statements.</w:t>
      </w:r>
    </w:p>
    <w:p>
      <w:pPr>
        <w:spacing w:after="0" w:line="16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provided to supplement the financial statements and the related notes included elsewhere in this prospectus. We intend for this discussion to provide you with information that will assist you in understanding our financial statements, the changes in key items in those financial statements from year to year and the primary factors that accounted for those changes. The MD&amp;A is organized as follows:</w:t>
      </w:r>
    </w:p>
    <w:p>
      <w:pPr>
        <w:spacing w:after="0" w:line="92" w:lineRule="exact"/>
        <w:rPr>
          <w:sz w:val="20"/>
          <w:szCs w:val="20"/>
          <w:color w:val="auto"/>
        </w:rPr>
      </w:pPr>
    </w:p>
    <w:p>
      <w:pPr>
        <w:ind w:left="1000" w:right="56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Overview</w:t>
      </w:r>
      <w:r>
        <w:rPr>
          <w:rFonts w:ascii="Arial" w:cs="Arial" w:eastAsia="Arial" w:hAnsi="Arial"/>
          <w:sz w:val="18"/>
          <w:szCs w:val="18"/>
          <w:color w:val="auto"/>
        </w:rPr>
        <w:t>. This section provides a general description of our business as well as trends and other factors affecting our business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are necessary to understand our financial condition and results of operations.</w:t>
      </w:r>
    </w:p>
    <w:p>
      <w:pPr>
        <w:spacing w:after="0" w:line="75"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Factors Affecting Our Performance</w:t>
      </w:r>
      <w:r>
        <w:rPr>
          <w:rFonts w:ascii="Arial" w:cs="Arial" w:eastAsia="Arial" w:hAnsi="Arial"/>
          <w:sz w:val="18"/>
          <w:szCs w:val="18"/>
          <w:color w:val="auto"/>
        </w:rPr>
        <w:t>. This section provides a description of the key factors that have historically, and that we expect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affect our business.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Operating Results</w:t>
      </w:r>
      <w:r>
        <w:rPr>
          <w:rFonts w:ascii="Arial" w:cs="Arial" w:eastAsia="Arial" w:hAnsi="Arial"/>
          <w:sz w:val="18"/>
          <w:szCs w:val="18"/>
          <w:color w:val="auto"/>
        </w:rPr>
        <w:t>. This section provides a description of our revenues and operating expenses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and 2019 and the years ended December 31, 2019 and 2018.</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Results of Operations</w:t>
      </w:r>
      <w:r>
        <w:rPr>
          <w:rFonts w:ascii="Arial" w:cs="Arial" w:eastAsia="Arial" w:hAnsi="Arial"/>
          <w:sz w:val="18"/>
          <w:szCs w:val="18"/>
          <w:color w:val="auto"/>
        </w:rPr>
        <w:t>. This section provides a discussion of the results of operations on a historical basis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 and the years ended December 31, 2019 and 2018.</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This section provides an analysis of our ability to generate cash and to meet existing known or reasonably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likely future cash requirements.</w:t>
      </w:r>
    </w:p>
    <w:p>
      <w:pPr>
        <w:spacing w:after="0" w:line="75"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Critical Accounting Policies and Significant Judgments and Estimates</w:t>
      </w:r>
      <w:r>
        <w:rPr>
          <w:rFonts w:ascii="Arial" w:cs="Arial" w:eastAsia="Arial" w:hAnsi="Arial"/>
          <w:sz w:val="18"/>
          <w:szCs w:val="18"/>
          <w:color w:val="auto"/>
        </w:rPr>
        <w:t>. This section discusses the accounting policies and estimates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 important to our financial condition and results of operations and that require significant judgment and estimates on the part of management in their application.</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color w:val="auto"/>
        </w:rPr>
        <w:t>. This section discusses our exposure to interest rate risk</w:t>
      </w:r>
      <w:r>
        <w:rPr>
          <w:rFonts w:ascii="Arial" w:cs="Arial" w:eastAsia="Arial" w:hAnsi="Arial"/>
          <w:sz w:val="18"/>
          <w:szCs w:val="18"/>
          <w:i w:val="1"/>
          <w:iCs w:val="1"/>
          <w:color w:val="auto"/>
        </w:rPr>
        <w:t>.</w:t>
      </w:r>
    </w:p>
    <w:p>
      <w:pPr>
        <w:spacing w:after="0" w:line="225"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Data for the six months ended June 30, 2020 and 2019 and the years ended December 31, 2019 and 2018 has been derived from our unaudited condensed financial statements for the six months ended June 30, 2020 and 2019 and our audited financial statements for the year ended December 31, 2019 and 2018 included elsewhere in this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are a leading data-driven diagnostic solutions company leveraging state of the art technologies with our proprietary AI platform to discover, develop, and commercialize solutions for clinical unmet needs, with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92"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For more information regarding the permission granted to us by Bio-Rad with respect to such tests, please see “Business—Material Agreements—Agreements with Bio-Rad.”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SARS-CoV-2 tests will remain in place. Using the Bio-Rad SARS-CoV-2 ddPCR test and the Platelia SARS-CoV-2 Total Ab test, we operate and have commercialized the Biodesix WorkSafe testing program.</w:t>
      </w:r>
    </w:p>
    <w:p>
      <w:pPr>
        <w:spacing w:after="0" w:line="170"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78"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These tests are utilized by healthcare providers, including hospitals and nursing homes, and are also offered to businesses and educational systems to assist in their back-to-work or back-to-school strategies.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8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8"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57"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auto"/>
        </w:rPr>
        <w:t>We generated total revenue of $9.3 million and $12.3 million for the six months ended June 30, 2020 and 2019, respectively, and generated total revenue of $24.6 million and $20.4 million for the years ended December 31, 2019 and 2018, respectively. We incurred net losses of $18.0 million and $14.6 million for the six months ended June 30, 2020 and 2019, respectively, and net losses of $30.7 million and $26.2 million for the years ended December 31, 2019 and 2018, respectively. We have funded our operations to date principally from net proceeds from the sale of convertible preferred stock, revenue from diagnostic testing and services, and the incurrence of indebtedness. Most recently in two tranches, in March 2020, and June 2020 we raised $10 million through the issuance of convertible debt. We had cash and cash equivalents of $11.7 million as of June 30, 2020 and $5.3 million as of December 31, 2019.</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00" w:right="520" w:hanging="547"/>
        <w:spacing w:after="0" w:line="282"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Testing volume and customer mix. </w:t>
      </w:r>
      <w:r>
        <w:rPr>
          <w:rFonts w:ascii="Arial" w:cs="Arial" w:eastAsia="Arial" w:hAnsi="Arial"/>
          <w:sz w:val="18"/>
          <w:szCs w:val="18"/>
          <w:color w:val="auto"/>
        </w:rPr>
        <w:t>Our revenues and costs are affected by the volume of testing and mix of customers from period to</w:t>
      </w:r>
      <w:r>
        <w:rPr>
          <w:rFonts w:ascii="Arial" w:cs="Arial" w:eastAsia="Arial" w:hAnsi="Arial"/>
          <w:sz w:val="18"/>
          <w:szCs w:val="18"/>
          <w:b w:val="1"/>
          <w:bCs w:val="1"/>
          <w:color w:val="auto"/>
        </w:rPr>
        <w:t xml:space="preserve"> </w:t>
      </w:r>
      <w:r>
        <w:rPr>
          <w:rFonts w:ascii="Arial" w:cs="Arial" w:eastAsia="Arial" w:hAnsi="Arial"/>
          <w:sz w:val="18"/>
          <w:szCs w:val="18"/>
          <w:color w:val="auto"/>
        </w:rPr>
        <w:t>period. We evaluate both the volume of our commercial tests, or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70" w:lineRule="auto"/>
        <w:rPr>
          <w:sz w:val="20"/>
          <w:szCs w:val="20"/>
          <w:color w:val="auto"/>
        </w:rPr>
      </w:pPr>
      <w:r>
        <w:rPr>
          <w:rFonts w:ascii="Arial" w:cs="Arial" w:eastAsia="Arial" w:hAnsi="Arial"/>
          <w:sz w:val="17"/>
          <w:szCs w:val="17"/>
          <w:color w:val="auto"/>
        </w:rPr>
        <w:t>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We expect our costs to significantly increase in 2020 and the beginning of 2021 due to a significant increase in demand for COVID-19 diagnostic testing and we expect our related revenues from such tests to also increase.</w:t>
      </w:r>
    </w:p>
    <w:p>
      <w:pPr>
        <w:spacing w:after="0" w:line="82" w:lineRule="exact"/>
        <w:rPr>
          <w:sz w:val="20"/>
          <w:szCs w:val="20"/>
          <w:color w:val="auto"/>
        </w:rPr>
      </w:pPr>
    </w:p>
    <w:p>
      <w:pPr>
        <w:jc w:val="both"/>
        <w:ind w:left="1000" w:right="240" w:hanging="547"/>
        <w:spacing w:after="0" w:line="303"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Reimbursement for clinical diagnostic testing. </w:t>
      </w:r>
      <w:r>
        <w:rPr>
          <w:rFonts w:ascii="Arial" w:cs="Arial" w:eastAsia="Arial" w:hAnsi="Arial"/>
          <w:sz w:val="16"/>
          <w:szCs w:val="16"/>
          <w:color w:val="auto"/>
        </w:rPr>
        <w:t>Our revenue depends on achieving broad coverage and reimbursement for our tests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46" w:lineRule="exact"/>
        <w:rPr>
          <w:rFonts w:ascii="Arial" w:cs="Arial" w:eastAsia="Arial" w:hAnsi="Arial"/>
          <w:sz w:val="16"/>
          <w:szCs w:val="16"/>
          <w:color w:val="auto"/>
        </w:rPr>
      </w:pPr>
    </w:p>
    <w:p>
      <w:pPr>
        <w:ind w:left="1020" w:right="20"/>
        <w:spacing w:after="0" w:line="270" w:lineRule="auto"/>
        <w:rPr>
          <w:rFonts w:ascii="Arial" w:cs="Arial" w:eastAsia="Arial" w:hAnsi="Arial"/>
          <w:sz w:val="16"/>
          <w:szCs w:val="16"/>
          <w:color w:val="auto"/>
        </w:rPr>
      </w:pPr>
      <w:r>
        <w:rPr>
          <w:rFonts w:ascii="Arial" w:cs="Arial" w:eastAsia="Arial" w:hAnsi="Arial"/>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82" w:lineRule="exact"/>
        <w:rPr>
          <w:rFonts w:ascii="Arial" w:cs="Arial" w:eastAsia="Arial" w:hAnsi="Arial"/>
          <w:sz w:val="16"/>
          <w:szCs w:val="16"/>
          <w:color w:val="auto"/>
        </w:rPr>
      </w:pPr>
    </w:p>
    <w:p>
      <w:pPr>
        <w:ind w:left="1000" w:right="20" w:hanging="547"/>
        <w:spacing w:after="0" w:line="273"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67" w:lineRule="exact"/>
        <w:rPr>
          <w:rFonts w:ascii="Arial" w:cs="Arial" w:eastAsia="Arial" w:hAnsi="Arial"/>
          <w:sz w:val="17"/>
          <w:szCs w:val="17"/>
          <w:color w:val="auto"/>
        </w:rPr>
      </w:pPr>
    </w:p>
    <w:p>
      <w:pPr>
        <w:ind w:left="1020"/>
        <w:spacing w:after="0" w:line="279" w:lineRule="auto"/>
        <w:rPr>
          <w:rFonts w:ascii="Arial" w:cs="Arial" w:eastAsia="Arial" w:hAnsi="Arial"/>
          <w:sz w:val="17"/>
          <w:szCs w:val="17"/>
          <w:color w:val="auto"/>
        </w:rPr>
      </w:pPr>
      <w:r>
        <w:rPr>
          <w:rFonts w:ascii="Arial" w:cs="Arial" w:eastAsia="Arial" w:hAnsi="Arial"/>
          <w:sz w:val="17"/>
          <w:szCs w:val="17"/>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72" w:lineRule="exact"/>
        <w:rPr>
          <w:rFonts w:ascii="Arial" w:cs="Arial" w:eastAsia="Arial" w:hAnsi="Arial"/>
          <w:sz w:val="17"/>
          <w:szCs w:val="17"/>
          <w:color w:val="auto"/>
        </w:rPr>
      </w:pPr>
    </w:p>
    <w:p>
      <w:pPr>
        <w:ind w:left="1000" w:right="160" w:hanging="547"/>
        <w:spacing w:after="0" w:line="298"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Ability to attract new biopharmaceutical customers and maintain and expand relationships with existing customers. </w:t>
      </w:r>
      <w:r>
        <w:rPr>
          <w:rFonts w:ascii="Arial" w:cs="Arial" w:eastAsia="Arial" w:hAnsi="Arial"/>
          <w:sz w:val="16"/>
          <w:szCs w:val="16"/>
          <w:color w:val="auto"/>
        </w:rPr>
        <w:t>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goal. As we continue to develop these relationships, we expect to support a growing number of investigations and clinical trials. If our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00"/>
        <w:spacing w:after="0" w:line="259" w:lineRule="auto"/>
        <w:rPr>
          <w:sz w:val="20"/>
          <w:szCs w:val="20"/>
          <w:color w:val="auto"/>
        </w:rPr>
      </w:pPr>
      <w:r>
        <w:rPr>
          <w:rFonts w:ascii="Arial" w:cs="Arial" w:eastAsia="Arial" w:hAnsi="Arial"/>
          <w:sz w:val="18"/>
          <w:szCs w:val="18"/>
          <w:color w:val="auto"/>
        </w:rPr>
        <w:t>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88" w:lineRule="exact"/>
        <w:rPr>
          <w:sz w:val="20"/>
          <w:szCs w:val="20"/>
          <w:color w:val="auto"/>
        </w:rPr>
      </w:pPr>
    </w:p>
    <w:p>
      <w:pPr>
        <w:ind w:left="1000" w:right="60" w:hanging="547"/>
        <w:spacing w:after="0" w:line="25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Motivating and expanding our field sales force and customer support team. </w:t>
      </w:r>
      <w:r>
        <w:rPr>
          <w:rFonts w:ascii="Arial" w:cs="Arial" w:eastAsia="Arial" w:hAnsi="Arial"/>
          <w:sz w:val="18"/>
          <w:szCs w:val="18"/>
          <w:color w:val="auto"/>
        </w:rPr>
        <w:t>Our field sales force is the primary point of contact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we increase testing volume for our COVID-19 diagnostic testing program, we plan to hire additional project support members to assist us in expanding testing capacity.</w:t>
      </w:r>
    </w:p>
    <w:p>
      <w:pPr>
        <w:spacing w:after="0" w:line="196"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“Risk Factors”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66"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effect on our results of operations and profitability. As a result, the increase in revenue due to any increase in demand for these diagnostic tests may not be indicative of our future revenue.</w:t>
      </w:r>
    </w:p>
    <w:p>
      <w:pPr>
        <w:spacing w:after="0" w:line="170" w:lineRule="exact"/>
        <w:rPr>
          <w:sz w:val="20"/>
          <w:szCs w:val="20"/>
          <w:color w:val="auto"/>
        </w:rPr>
      </w:pPr>
    </w:p>
    <w:p>
      <w:pPr>
        <w:ind w:right="820" w:firstLine="449"/>
        <w:spacing w:after="0" w:line="277" w:lineRule="auto"/>
        <w:rPr>
          <w:sz w:val="20"/>
          <w:szCs w:val="20"/>
          <w:color w:val="auto"/>
        </w:rPr>
      </w:pPr>
      <w:r>
        <w:rPr>
          <w:rFonts w:ascii="Arial" w:cs="Arial" w:eastAsia="Arial" w:hAnsi="Arial"/>
          <w:sz w:val="18"/>
          <w:szCs w:val="18"/>
          <w:color w:val="auto"/>
        </w:rPr>
        <w:t>See “Risk Factors” for a description of how the COVID-19 pandemic may adversely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w:t>
      </w:r>
    </w:p>
    <w:p>
      <w:pPr>
        <w:spacing w:after="0" w:line="170"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consider diagnostic testing to be completed upon the delivery of test results to the prescribing physician,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 call points due to the pandemic. As a result, revenue related to our non-COVID-19 diagnostic tests declined by $3.1 million in the six months ended June 30, 2020 when compared to the same period in 2019. These impacts were partially offset by the commercialization of two COVID-19 diagnostic tests. The net impact of these changes was a $1.7 million reduction in diagnostic revenues during the six months ended June 30, 2020.</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Services revenue is generated from the delivery of our on-market tests, pipeline tests, custom diagnostic testing, and other scientific services for a purpose as defined by any individual customer. Often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66" w:lineRule="exact"/>
        <w:rPr>
          <w:sz w:val="20"/>
          <w:szCs w:val="20"/>
          <w:color w:val="auto"/>
        </w:rPr>
      </w:pPr>
    </w:p>
    <w:p>
      <w:pPr>
        <w:jc w:val="both"/>
        <w:ind w:right="520" w:firstLine="449"/>
        <w:spacing w:after="0" w:line="263" w:lineRule="auto"/>
        <w:rPr>
          <w:sz w:val="20"/>
          <w:szCs w:val="20"/>
          <w:color w:val="auto"/>
        </w:rPr>
      </w:pPr>
      <w:r>
        <w:rPr>
          <w:rFonts w:ascii="Arial" w:cs="Arial" w:eastAsia="Arial" w:hAnsi="Arial"/>
          <w:sz w:val="18"/>
          <w:szCs w:val="18"/>
          <w:color w:val="auto"/>
        </w:rPr>
        <w:t>For the six months ended June 30, 2020 and 2019, diagnostic test revenue comprised 78% and 73% of our total revenues and services revenue comprised 22% and 27% of total revenues, respectively. Diagnostic test revenue comprised 71% and 93% of our total revenues and services revenue comprised 29% and 7% of total revenues in 2019 and 2018,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Cost of diagnostic testing generally consists of cost of materials, direct labor, including bonus, benefit and stock-based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 For a description of our material license agreements, please see “Business—Intellectual Property” and “—Material Agreements.”</w:t>
      </w:r>
    </w:p>
    <w:p>
      <w:pPr>
        <w:spacing w:after="0" w:line="168"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2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Cost of services includes costs incurred for the performance of development services requested by our customers. Cost of development services will vary depending on the nature, timing and scope of customer projects.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6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expect our research and development expenses to increase in absolute dollars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absolute dollars, is expected to decrease as a percentage of revenue in the long term, though it may fluctuate as a percentage of our revenues from period to period due to the timing and extent of these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 We expect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sales and marketing expenses to increase in absolute dollars as we expand our sales force, increase our presence within the United States, and increase our marketing activities to drive further awareness and adoption of our tests and our future products. These expenses, though expected to increase in absolute dollars, are expected to decrease as a percentage of revenue in the long term, though they may fluctuate as a percentage of our revenues from period to period due to the timing and extent of these expenses.</w:t>
      </w:r>
    </w:p>
    <w:p>
      <w:pPr>
        <w:spacing w:after="0" w:line="18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Our general and administrative expenses include costs for our executive, accounting, finance, legal and human resources functions. These expenses consist principally of salaries, bonuses, employee benefits, travel and stock-based compensation, as well as professional services fees such as consulting, audit, tax and legal fees, and general corporate costs and allocated overhead expenses. We expect that our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as a percentage of revenue in the long term, though they may fluctuate as a percentage from period to period due to the timing and extent of these expenses.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Accretion and Change in Fair Value of Contingent Consideration</w:t>
      </w:r>
    </w:p>
    <w:p>
      <w:pPr>
        <w:spacing w:after="0" w:line="11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that related milestone event (Milestone), the estimated timing in which the Milestone is achieved, and discount rates. The estimated fair value could materially differ from actual values or fair values determined using different assumptions.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Interest expense consists of interest from our term loan and convertible debt, and interest income consists of income earned on our cash and cash equivalents. For the first six months of 2020, our interest expense increased as compared to 2019, as our term loan does not begin principal payments until March 2021. Our interest income has not been significant to date but we expect our interest income to increase primarily as we invest the net proceeds from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put option liability</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During 2019, we issued $13.0 million in convertible debt that is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 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significant components of our results of operations for the periods presented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For the Six Months</w:t>
            </w:r>
          </w:p>
        </w:tc>
        <w:tc>
          <w:tcPr>
            <w:tcW w:w="80" w:type="dxa"/>
            <w:vAlign w:val="bottom"/>
          </w:tcPr>
          <w:p>
            <w:pPr>
              <w:spacing w:after="0"/>
              <w:rPr>
                <w:sz w:val="14"/>
                <w:szCs w:val="14"/>
                <w:color w:val="auto"/>
              </w:rPr>
            </w:pPr>
          </w:p>
        </w:tc>
        <w:tc>
          <w:tcPr>
            <w:tcW w:w="8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Years Ended</w:t>
            </w:r>
          </w:p>
        </w:tc>
        <w:tc>
          <w:tcPr>
            <w:tcW w:w="8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12,339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$ 24,552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20,432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2,741</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5,607</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10,468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8,188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2,280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15,868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25,899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1,628</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1,537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1,914</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(2,607)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(393)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26,507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(3,131)</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43,893</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(14,168)</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(23,461)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(2,942)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385</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(3,499)</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(2,705)</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(1,280)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(17,971)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(14,599)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(30,726)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(26,166)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generate revenue from our diagnostic tests and services that we provide (in thousands, except percentages).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Diagnostic revenue</w:t>
            </w:r>
          </w:p>
        </w:tc>
        <w:tc>
          <w:tcPr>
            <w:tcW w:w="2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(1,701)</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$17,315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$18,965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(1,650)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Services revenue</w:t>
            </w:r>
          </w:p>
        </w:tc>
        <w:tc>
          <w:tcPr>
            <w:tcW w:w="17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3,392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(1,303)</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(38)%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7,237</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1,467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5,770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12,339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(3,004)</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24,552</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20,432</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Total revenue was $9.3 million for the six months ended June 30, 2020 compared to $12.3 million for the six months ended June 30, 2019, a decrease of $3.0 million, or 24%.</w:t>
      </w:r>
    </w:p>
    <w:p>
      <w:pPr>
        <w:spacing w:after="0" w:line="170"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call points due to the pandemic. As a result, revenue related to our non-COVID-19 diagnostic tests declined by $3.1 million in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2020 when compared to the same period in 2019. These impacts were partially offset by the commercialization of two COVID-19 diagnostic tests.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net impact of these changes was a $1.7 million reduction in diagnostic revenues during the six months ended June 30, 2020.</w:t>
      </w:r>
    </w:p>
    <w:p>
      <w:pPr>
        <w:spacing w:after="0" w:line="21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Services revenue decreased to $2.1 million for the six months ended June 30, 2020 compared to $3.4 million for the six months ended June 30, 2019, a decrease of $1.3 million or 38%. The decrease was partially attributed to the completion of a contract in the first half of 2019. Additionally, the impacts of COVID-19 caused planned biomarker studies to be delayed and limited the customer access of our sales force. Additionally, services revenue decreased due to the completion of a contract in the first half of 2019.</w:t>
      </w:r>
    </w:p>
    <w:p>
      <w:pPr>
        <w:spacing w:after="0" w:line="18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Total revenue was $24.6 million for the year ended December 31, 2019 compared to $20.4 million for the year ended December 31, 2018, an increase of 20%.</w:t>
      </w:r>
    </w:p>
    <w:p>
      <w:pPr>
        <w:spacing w:after="0" w:line="170"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Diagnostic test revenue decreased to $17.3 million for the year ended December 31, 2019 compared to $19.0 million for the year ended December 31, 2018, a decrease of $1.7 million or 9%. This decrease was the result of a decrease in tests delivered which was a result of significant restructuring of our field sales force to increase the emphasis on tests in nodule management that came on market following the completion of our recent acquisitions in that space. We recognized $1.0 million in additional diagnostic test revenue in 2019 for claims from a prior period due to a change in coverage for GeneStrat which captured previously unreimbursed revenue.</w:t>
      </w:r>
    </w:p>
    <w:p>
      <w:pPr>
        <w:spacing w:after="0" w:line="188"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Services revenue increased to $7.2 million for the year ended December 31, 2019 compared to $1.5 million for the year ended December 31, 2018. The increase in services revenue was due to generally higher demand for biomarker development services and the acceleration of pharmaceutical partners’ development efforts at the end of 2019, which resulted in a significant services revenue in December 2019 and is not expected to be recurring.</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 Cost and Expenses</w:t>
      </w:r>
    </w:p>
    <w:p>
      <w:pPr>
        <w:spacing w:after="0" w:line="117"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Cost of revenue was $3.5 million for the six months ended June 30, 2020 compared to $2.7 million for the six months ended June 30, 2019, an increase of $0.7 million, or 26%. The increase in costs were primarily driven by the release of our CDT test and our COVID-19 testing program in 2020.</w:t>
      </w:r>
    </w:p>
    <w:p>
      <w:pPr>
        <w:spacing w:after="0" w:line="12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Cost of revenue was $6.1 million for the year ended December 31, 2019 compared to $4.4 million for the year ended December 31, 2018, an increase of $1.7 million, or 38%. This increase in cost of revenue was primarily due to the introduction of the Nodify XL2 test in November 2018, and which contributed $1.4 million in additional costs without material revenue during the 2019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Research and development expenses were $5.0 million for the six months ended June 30, 2020 compared to $5.6 million for the six months ended June 30, 2019, a decrease of $0.6 million, or 11%. This decrease was primarily related to a reduction in external costs related to the studies and development efforts for pipeline products, partially driven by slowdowns related to the COVID-19 pandemic.</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Research and development expenses were $10.5 million for the year ended December 31, 2019 compared to $8.2 million for the year ended December 31, 2018, an increase of $2.3 million, or 28%. This increase in research and development expense in 2019 was primarily driven by a $2.0 million increase in external costs consisting of $1.0 million for clinical trials, and $1.0 million for other research studies, supplies, and services. Internal costs increased by $0.2 million, of which less than 1% was stock-based compensation.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summarizes our external and internal costs for the six months ended June 30, 2020 and 2019 and the years ended December 31, 2019 and 2018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3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4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lef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External expenses:</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Clinical trials and associated costs</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$1,293</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$1,075</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62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$ 2,141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$1,171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Other external costs</w:t>
            </w:r>
          </w:p>
        </w:tc>
        <w:tc>
          <w:tcPr>
            <w:tcW w:w="1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1,245</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1,894</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(649)</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(34%)</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3,784</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2,721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1,063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external costs</w:t>
            </w:r>
          </w:p>
        </w:tc>
        <w:tc>
          <w:tcPr>
            <w:tcW w:w="1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2,537</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2,968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(431)</w:t>
            </w:r>
          </w:p>
        </w:tc>
        <w:tc>
          <w:tcPr>
            <w:tcW w:w="6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5,925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2,033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Internal expenses</w:t>
            </w:r>
          </w:p>
        </w:tc>
        <w:tc>
          <w:tcPr>
            <w:tcW w:w="1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2,470</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2,638</w:t>
            </w:r>
          </w:p>
        </w:tc>
        <w:tc>
          <w:tcPr>
            <w:tcW w:w="2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(168)</w:t>
            </w:r>
          </w:p>
        </w:tc>
        <w:tc>
          <w:tcPr>
            <w:tcW w:w="320" w:type="dxa"/>
            <w:vAlign w:val="bottom"/>
            <w:vMerge w:val="continue"/>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4,543</w:t>
            </w: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4,296</w:t>
            </w:r>
          </w:p>
        </w:tc>
        <w:tc>
          <w:tcPr>
            <w:tcW w:w="2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vMerge w:val="continue"/>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5,007</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5,607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(600)</w:t>
            </w:r>
          </w:p>
        </w:tc>
        <w:tc>
          <w:tcPr>
            <w:tcW w:w="6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10,468</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8,188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2,280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External expenses include:</w:t>
      </w:r>
    </w:p>
    <w:p>
      <w:pPr>
        <w:spacing w:after="0" w:line="131" w:lineRule="exact"/>
        <w:rPr>
          <w:sz w:val="20"/>
          <w:szCs w:val="20"/>
          <w:color w:val="auto"/>
        </w:rPr>
      </w:pPr>
    </w:p>
    <w:p>
      <w:pPr>
        <w:ind w:left="1000" w:right="2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and consultants;</w:t>
      </w:r>
    </w:p>
    <w:p>
      <w:pPr>
        <w:spacing w:after="0" w:line="75"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75" w:lineRule="exact"/>
        <w:rPr>
          <w:rFonts w:ascii="Arial" w:cs="Arial" w:eastAsia="Arial" w:hAnsi="Arial"/>
          <w:sz w:val="18"/>
          <w:szCs w:val="18"/>
          <w:color w:val="auto"/>
        </w:rPr>
      </w:pPr>
    </w:p>
    <w:p>
      <w:pPr>
        <w:ind w:left="1000" w:right="620" w:hanging="547"/>
        <w:spacing w:after="0" w:line="342"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4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Internal expenses include employee-related costs, including salaries, related benefits and stock-based compensation expense for employees engaged in research and development functions.</w:t>
      </w:r>
    </w:p>
    <w:p>
      <w:pPr>
        <w:spacing w:after="0" w:line="170"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 We do not track internal costs by product candidate because these costs are deployed across multiple programs and, as such, are not separately classified.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Sales, marketing, general and administrative expenses were $14.9 million for the six months ended June 30, 2020 compared to $15.9 million for the six months ended June 30, 2019, a decrease of $1.0 million, or 6%. This reduction was driven by reductions in the travel and related expenses as the COVID-19 pandemic reduced or eliminated the travel and related expenses.</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Sales, marketing, general and administrative expenses were $30.6 million for the year ended December 31, 2019 compared to $25.9 million for the year ended December 31, 2018, an increase of $4.7 million, or 18%. This increase was primarily due to an increase of $2.7 million in personnel-related costs for expansion of our sales organization and $1.0 million for increased marketing activity to support sales.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Accretion of and Change in Fair Value of Contingent Consideration</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Accretion of and change in fair value of contingent consideration netted to $0 for the six months ended June 30, 2020 compared to $2.3 million for the six months ended June 30, 2019, a decrease of $2.3 million, or 100%. The amounts recorded for accretion and change in fair value reflect the passage of time as well as estimates in when the milestones that trigger the payment of contingent consideration will be achieved.</w:t>
      </w:r>
    </w:p>
    <w:p>
      <w:pPr>
        <w:spacing w:after="0" w:line="165"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Accretion of and change in fair value of contingent consideration were $4.1 million for the year ended December 31, 2019 compared to $5.4 million for the year ended December 31, 2018, a decrease of $1.3 million, or 24%. The amounts recorded for accretion and change in fair value reflect the passage of time as well as estimates in when the milestones that trigger the payment of contingent consideration will be achieved.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Interest expense was $4.2 million for the six months ended June 30, 2020 compared to $1.3 million for the six months ended June 30, 2019, an increase of $2.9 million. This increase was due to the addition of interest expense related to convertible notes issued to certain shareholders from August 2019 through March 2020.</w:t>
      </w:r>
    </w:p>
    <w:p>
      <w:pPr>
        <w:spacing w:after="0" w:line="184" w:lineRule="exact"/>
        <w:rPr>
          <w:sz w:val="20"/>
          <w:szCs w:val="20"/>
          <w:color w:val="auto"/>
        </w:rPr>
      </w:pPr>
    </w:p>
    <w:p>
      <w:pPr>
        <w:ind w:right="640" w:firstLine="449"/>
        <w:spacing w:after="0" w:line="342" w:lineRule="auto"/>
        <w:rPr>
          <w:sz w:val="20"/>
          <w:szCs w:val="20"/>
          <w:color w:val="auto"/>
        </w:rPr>
      </w:pPr>
      <w:r>
        <w:rPr>
          <w:rFonts w:ascii="Arial" w:cs="Arial" w:eastAsia="Arial" w:hAnsi="Arial"/>
          <w:sz w:val="16"/>
          <w:szCs w:val="16"/>
          <w:color w:val="auto"/>
        </w:rPr>
        <w:t>Interest expense was $3.0 million for the year ended December 31, 2019 compared to $2.9 million for the year ended December 31, 2018, an increase of $0.1 million, or 3%. This increase was primarily due to payment in kind interest accruing to principal on our existing term loan.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Put Option Liability</w:t>
      </w:r>
    </w:p>
    <w:p>
      <w:pPr>
        <w:spacing w:after="0" w:line="117"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During 2019, we recorded a charge of $2.0 million related to the increase in our put option liability related to our convertible debt. This increase was primarily due to the amendment to the conversion discounts included in our convertible debt that were issued in August and September 2019.</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Other income and expense was $0.3 million for the six months ended June 30, 2020 compared to $0.9 million for the six months ended June 30, 2019, a decrease of $0.6 million or 64%. This decrease was driven by a non-recurring legal settlement in 2019, which was not present in 2020.</w:t>
      </w:r>
    </w:p>
    <w:p>
      <w:pPr>
        <w:spacing w:after="0" w:line="12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Other income and expense was $1.0 million for the year ended December 31, 2019 compared to $0.2 million for the year ended December 31, 2018, an increase of $0.8 million, which was primarily proceeds related to a non-recurring legal settlement in our favor.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We have funded our activities primarily through private equity placement offerings, convertible debt and long-term debt. Based on cash and cash equivalents on hand as of June 30, 2020 and the proceeds from this offering, we believe that our existing cash, cash equivalents, and cash generated from sales of our products, will be sufficient to meet our anticipated needs for at least the next 12 months from the date of our most recent unaudited interim condensed financial statements.</w:t>
      </w:r>
    </w:p>
    <w:p>
      <w:pPr>
        <w:spacing w:after="0" w:line="18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flows for six months ended June 30, 2020 and 2019 and the years ended December 31, 2019 and 2018:</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4"/>
                <w:szCs w:val="14"/>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5"/>
        </w:trPr>
        <w:tc>
          <w:tcPr>
            <w:tcW w:w="7980" w:type="dxa"/>
            <w:vAlign w:val="bottom"/>
            <w:gridSpan w:val="2"/>
            <w:vMerge w:val="continue"/>
          </w:tcPr>
          <w:p>
            <w:pPr>
              <w:spacing w:after="0"/>
              <w:rPr>
                <w:sz w:val="14"/>
                <w:szCs w:val="14"/>
                <w:color w:val="auto"/>
              </w:rPr>
            </w:pPr>
          </w:p>
        </w:tc>
        <w:tc>
          <w:tcPr>
            <w:tcW w:w="154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June 30</w:t>
            </w:r>
          </w:p>
        </w:tc>
        <w:tc>
          <w:tcPr>
            <w:tcW w:w="100" w:type="dxa"/>
            <w:vAlign w:val="bottom"/>
          </w:tcPr>
          <w:p>
            <w:pPr>
              <w:spacing w:after="0"/>
              <w:rPr>
                <w:sz w:val="14"/>
                <w:szCs w:val="14"/>
                <w:color w:val="auto"/>
              </w:rPr>
            </w:pPr>
          </w:p>
        </w:tc>
        <w:tc>
          <w:tcPr>
            <w:tcW w:w="1620" w:type="dxa"/>
            <w:vAlign w:val="bottom"/>
            <w:gridSpan w:val="6"/>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provided by: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(8,840)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(21,726)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(17,677)</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16,046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Our cash flows resulted in a net increase in cash of $6.4 million during the six months ended June 30, 2020 and a net decrease in cash of $0.7 million during the six months ended June 30, 2019. Net cash used in operating activities during the year ended June 30, 2020 totaled $8.8 million, a decrease of $0.9 million, or 10%, compared to the same period in 2019. The net cash used in operating activities decreased primarily due to a $3.4 million increase in net losses, offset by an increase in non-cash charges of $0.7 million and an increase in cash provided by working capital items of $3.6 million.</w:t>
      </w:r>
    </w:p>
    <w:p>
      <w:pPr>
        <w:spacing w:after="0" w:line="15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2020 totaled $0.8 million, a decrease of $33,000, or 4%, compared to the same period in 2019. A decrease in net cash used in investing activities was primarily due to a decrease of $0.5 million in the purchase of research equipment and a $0.5 million payment for Oncimmune assets.</w:t>
      </w:r>
    </w:p>
    <w:p>
      <w:pPr>
        <w:spacing w:after="0" w:line="184"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Net cash provided by financing activities during the six months ended June 30, 2020 totaled $16.0 million, an increase of $6.1 million, or 61%, compared to the same period in 2019. The net cash provided by financing activities increased primarily due to issuances of $13.0 million in convertible debt offset by $10.0 million in proceeds from the issuance of Series H preferred stock during 2019.</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cash flows resulted in a net decrease in cash of $0.6 million during the year ended December 31, 2019 and a net increase in cash of $0.7 million during the year ended December 31, 2018. Net cash used in operating activities during the year ended December 31, 2019 totaled $21.7 million, an increase of $4.0 million, or 23%, compared to the same period in 2018. The net cash used in operating activities increased primarily due to a $4.6 million increase in net losses, and an increase in use of working capital items of $1.9 million, offset by an increase in non-cash charges of $2.4 million.</w:t>
      </w:r>
    </w:p>
    <w:p>
      <w:pPr>
        <w:spacing w:after="0" w:line="15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totaled $1.9 million, an increase of $1.3 million, or 203%, compared to the same period in 2018. The increase in net cash used in investing activities was primarily due to an increase of $0.8 million in the purchase of research equipment and a $0.5 million payment for Oncimmune assets.</w:t>
      </w:r>
    </w:p>
    <w:p>
      <w:pPr>
        <w:spacing w:after="0" w:line="184" w:lineRule="exact"/>
        <w:rPr>
          <w:sz w:val="20"/>
          <w:szCs w:val="20"/>
          <w:color w:val="auto"/>
        </w:rPr>
      </w:pPr>
    </w:p>
    <w:p>
      <w:pPr>
        <w:jc w:val="both"/>
        <w:ind w:right="540" w:firstLine="449"/>
        <w:spacing w:after="0" w:line="286" w:lineRule="auto"/>
        <w:rPr>
          <w:sz w:val="20"/>
          <w:szCs w:val="20"/>
          <w:color w:val="auto"/>
        </w:rPr>
      </w:pPr>
      <w:r>
        <w:rPr>
          <w:rFonts w:ascii="Arial" w:cs="Arial" w:eastAsia="Arial" w:hAnsi="Arial"/>
          <w:sz w:val="17"/>
          <w:szCs w:val="17"/>
          <w:color w:val="auto"/>
        </w:rPr>
        <w:t>Net cash provided by financing activities during the year ended December 31, 2019 totaled $23.0 million, an increase of $3.9 million, or 21%, compared to the same period in 2018. The net cash provided by financing activities increased primarily due to increased proceeds from issuances of $2.8 million in convertible debt and $1.5 million in preferred stock offset by $0.4 million in financing costs.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and commitments as of June 30,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9"/>
              </w:rPr>
              <w:t>Payments due by period</w:t>
            </w:r>
            <w:r>
              <w:rPr>
                <w:rFonts w:ascii="Arial" w:cs="Arial" w:eastAsia="Arial" w:hAnsi="Arial"/>
                <w:sz w:val="12"/>
                <w:szCs w:val="12"/>
                <w:b w:val="1"/>
                <w:bCs w:val="1"/>
                <w:color w:val="auto"/>
                <w:w w:val="99"/>
              </w:rPr>
              <w:t>(5)</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0"/>
                <w:szCs w:val="10"/>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1 to 3</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4 to 5</w:t>
            </w:r>
          </w:p>
        </w:tc>
        <w:tc>
          <w:tcPr>
            <w:tcW w:w="180" w:type="dxa"/>
            <w:vAlign w:val="bottom"/>
          </w:tcPr>
          <w:p>
            <w:pPr>
              <w:spacing w:after="0"/>
              <w:rPr>
                <w:sz w:val="10"/>
                <w:szCs w:val="10"/>
                <w:color w:val="auto"/>
              </w:rPr>
            </w:pPr>
          </w:p>
        </w:tc>
        <w:tc>
          <w:tcPr>
            <w:tcW w:w="4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8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years</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Term loan</w:t>
            </w: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20,541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26,404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26,404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52,894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31,705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21,189</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Reflected in accompanying balance sheets.</w:t>
      </w:r>
    </w:p>
    <w:p>
      <w:pPr>
        <w:spacing w:after="0" w:line="23"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Convertible debt may be prepaid at our option prior to maturity. If not prepaid or otherwise converted, the debt will convert to Series H preferred stock at maturity.</w:t>
      </w:r>
    </w:p>
    <w:p>
      <w:pPr>
        <w:ind w:left="460" w:hanging="452"/>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term loan is subject to a 3% prepayment penalty. In addition, upon maturity, a 2% back-end facility fee of $460,000 is due to the lender.</w:t>
      </w:r>
    </w:p>
    <w:p>
      <w:pPr>
        <w:spacing w:after="0" w:line="20" w:lineRule="exact"/>
        <w:rPr>
          <w:rFonts w:ascii="Arial" w:cs="Arial" w:eastAsia="Arial" w:hAnsi="Arial"/>
          <w:sz w:val="17"/>
          <w:szCs w:val="17"/>
          <w:color w:val="auto"/>
        </w:rPr>
      </w:pPr>
    </w:p>
    <w:p>
      <w:pPr>
        <w:ind w:left="460" w:right="300" w:hanging="452"/>
        <w:spacing w:after="0" w:line="265"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are obligated under non-cancellable operating leases for all of our facilities. Lease terms for our facilities in effect as of June 30, 2020, ranged from less than one to three years and generally require us to pay the real estate taxes, certain insurance and operating costs.</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Royalty payments that we may owe are not included as the timing of such payments is uncertain.</w:t>
      </w:r>
    </w:p>
    <w:p>
      <w:pPr>
        <w:spacing w:after="0" w:line="211" w:lineRule="exact"/>
        <w:rPr>
          <w:sz w:val="20"/>
          <w:szCs w:val="20"/>
          <w:color w:val="auto"/>
        </w:rPr>
      </w:pPr>
    </w:p>
    <w:p>
      <w:pPr>
        <w:ind w:right="320" w:firstLine="449"/>
        <w:spacing w:after="0" w:line="287" w:lineRule="auto"/>
        <w:rPr>
          <w:sz w:val="20"/>
          <w:szCs w:val="20"/>
          <w:color w:val="auto"/>
        </w:rPr>
      </w:pPr>
      <w:r>
        <w:rPr>
          <w:rFonts w:ascii="Arial" w:cs="Arial" w:eastAsia="Arial" w:hAnsi="Arial"/>
          <w:sz w:val="16"/>
          <w:szCs w:val="16"/>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 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7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June 30, 2020, the amount that would be due in cash at the option of the seller at the time the Milestone is met would be approximately $37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For a description of our other indebtedness, please see “Certain Relationships and Related Person Transactions—Convertible Debt Financings” and “Description of Capital Stock—Convertible Debt.”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2020, 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financial statements included elsewhere in this prospectus.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We adopted the new standard using the modified retrospective method on January 1, 2018 for contracts that are not completed as of the adoption date.</w:t>
      </w:r>
    </w:p>
    <w:p>
      <w:pPr>
        <w:spacing w:after="0" w:line="192"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examined our revenue recognition policies specific to revenue streams for the provisioning of services and providing research and development services to third parties and came to conclusions on the impact of the new standard using the 5-step process prescribed by ASC 606. As noted above, we used the modified retrospective method to adopt the new standard which means we did not restate previously issued financial statements but recorded a one-time adjustment to accumulated deficit and accounts receivable of $0.4 million. This adjustment reflected our ability to establish a transaction price for our non-Medicare pay arrangements as of January 1, 2018 as a result of having sufficient history to determine the transaction price under these contracts. ASC 606 did not have an aggregate impact our net cash provided by operating activities but resulted in offsetting changes in certain assets and liabilities presented within net cash used in operating activities in the accompanying statement of cash flows, as noted above.</w:t>
      </w:r>
    </w:p>
    <w:p>
      <w:pPr>
        <w:spacing w:after="0" w:line="166"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Diagnostic service revenues are generally completed upon the delivery of test results to the prescribing physicians, which is considered the performance obligation. Testing services are generally completed upon the delivery of testing results for assay development and testing services, which is considered the performance obligation.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In connection with the purchase transaction with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49"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for convertible debt</w:t>
      </w:r>
    </w:p>
    <w:p>
      <w:pPr>
        <w:spacing w:after="0" w:line="11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During 2020 and 2019, we issued $26.0 million in convertible debt that are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 The fair value of put options are based on the value of the discounts embedded in the convertible debt and the probability of various settlement scenarios.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and common stock valuation</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Stock-based compensation related to stock options granted to our employees, directors and nonemployees is measured at the grant date based on the fair value of the award. The fair value is recognized as expense over the requisite service period, which is generally the vesting period of the respective awards. Compensation expense for stock options with performance metrics is calculated based upon expected achievement of the metrics specified in the grant.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Starting January 1, 2019, upon adoption of Accounting Standards Update (ASU) 2018-07, Compensation—Stock Compensation</w:t>
      </w:r>
    </w:p>
    <w:p>
      <w:pPr>
        <w:spacing w:after="0" w:line="23"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 xml:space="preserve">(Topic 718),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the fair value of stock options issued to nonemployee consultants is determined as of the grant date, and compensation expense is being recognized over the period that the related services are rendered.</w:t>
      </w:r>
    </w:p>
    <w:p>
      <w:pPr>
        <w:spacing w:after="0" w:line="13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use the Black-Scholes option-pricing model to estimate the fair value of our stock options and stock purchase rights under our 2016 Incentive Plan. The Black-Scholes option-pricing model requires assumptions to be made related to expected term of an award, expected volatility, risk-free rate and expected dividend yield. Starting January 1, 2017, forfeitures were accounted for as they occur.</w:t>
      </w:r>
    </w:p>
    <w:p>
      <w:pPr>
        <w:spacing w:after="0" w:line="184"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We account for restricted stock units issued to employees based on the grant date fair value which is determined based on the closing market price of the common stock on the date of grant. The expense is recognized in our statement of operations on a straight-line basis over the requisite vesting period.</w:t>
      </w:r>
    </w:p>
    <w:p>
      <w:pPr>
        <w:spacing w:after="0" w:line="124"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In the absence of an active market for our common stock, the fair value of our common stock was determined by our Board of Directors in accordance with the methodologies outlined in the American Institute of Certified Public Accountants Practice Aid, Valuation of Privately-Held-Company Equity Securities Issued as Compensation (the Practice Aid). In doing so, our Board of Directors determined the best estimate of fair value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exercising reasonable judgment and considering numerous objective and subjective factors, including:</w:t>
      </w:r>
    </w:p>
    <w:p>
      <w:pPr>
        <w:spacing w:after="0" w:line="131" w:lineRule="exact"/>
        <w:rPr>
          <w:sz w:val="20"/>
          <w:szCs w:val="20"/>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valuations of our common stock performed by independent third-party valuation specialists;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diagnostic testing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medical device industry sectors.</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allocating enterprise value among the various classes of stock prior to July 2020, we utilized the Option Pricing Method (OPM) given our early stage of development and the absence of a near term liquidity event. Under the OPM, shares are valued by creating a series of call options with exercise prices based on the liquidation preferences and conversion terms of each equity class. The values of the preferred and common stock are inferred by analyzing these options. From July 2020 onwards, we have utilized a hybrid OPM and Probability-Weighted Expected Return Method (PWERM). The PWERM is a scenario-based analysis that estimates the value per share based on the probability-weighted present value of expected future investment returns, considering a number of discrete possible outcomes of the business, as well as the economic and control rights of each share class. Under this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6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Following the completion of this offering, our Board of Directors will determine the fair value of our common stock based on our closing price as reported on the date of grant on the primary stock exchange on which our common stock is traded.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1 to our financial statements appearing at the end of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 Periodically throughout the year, we have maintained balances in various operating accounts in excess of federally insured limits. Included in cash and cash equivalents are money market funds recorded at $10.6 million and $4.8 million at June 30, 2020 and December 31, 2019, respectively. As of June 30, 2020, a hypothetical 100 basis point increase in interest rates would not have a material impact on our investment portfolio, financial position or results of operations. This estimate is based on a sensitivity model that measures market value changes when changes in interest rates occur.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December 2019 Notes, August 2019 Notes and our long-term debt payable all accrue interest at fixed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an “emerging growth company” within the meaning of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2"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1"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this offering).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mission</w:t>
      </w:r>
      <w:r>
        <w:rPr>
          <w:rFonts w:ascii="Arial" w:cs="Arial" w:eastAsia="Arial" w:hAnsi="Arial"/>
          <w:sz w:val="17"/>
          <w:szCs w:val="17"/>
          <w:color w:val="auto"/>
        </w:rPr>
        <w:t xml:space="preserve"> is to improve every patient’s lung disease care by empowering physicians with swift, comprehensive, and actionable insights.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vision</w:t>
      </w:r>
      <w:r>
        <w:rPr>
          <w:rFonts w:ascii="Arial" w:cs="Arial" w:eastAsia="Arial" w:hAnsi="Arial"/>
          <w:sz w:val="18"/>
          <w:szCs w:val="18"/>
          <w:color w:val="auto"/>
        </w:rPr>
        <w:t xml:space="preserve"> is to be a trusted partner that the world relies on for data-driven diagnostic solutions in lung disease and beyond.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66"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92"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7"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We have commercialized six diagnostic tests which are currently on market and we perform over 30 assays for research use as part of our laboratory services that have been used by over 50 biopharmaceutical customers and academic partners. Our Nodify XL2 and Nodify CDT,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For more information regarding the permission granted to us by Bio-Rad with respect to such tests, please see “Business— Material Agreements—Agreements with Bio-Rad.”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18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78"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76"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8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Diagnostic Testing Market Size and Opportunity</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Despite significant advances over the last decade, lung cancer is still the deadliest type of cancer in both men and women in the United States today. While diagnostic testing has become routinely used at certain points in the continuum of care, we believe there is a substantial need for novel, advanced testing to improve on the current standard of care. We estimate that the lung cancer continuum of care currently represents over 10 million testing opportunities and over a $27 billion market annually for testing alone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5971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their chances of drug development success. We estimate that the biopharmaceutical partnering and research opportunities represent over a $2 billion market annually.</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Lung Cancer Continuum of Care – Clinical Unmet Needs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73" w:lineRule="exact"/>
        <w:rPr>
          <w:sz w:val="20"/>
          <w:szCs w:val="20"/>
          <w:color w:val="auto"/>
        </w:rPr>
      </w:pPr>
    </w:p>
    <w:p>
      <w:pPr>
        <w:ind w:left="1000" w:hanging="547"/>
        <w:spacing w:after="0" w:line="274"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Diagnosis</w:t>
      </w:r>
      <w:r>
        <w:rPr>
          <w:rFonts w:ascii="Arial" w:cs="Arial" w:eastAsia="Arial" w:hAnsi="Arial"/>
          <w:sz w:val="17"/>
          <w:szCs w:val="17"/>
          <w:color w:val="auto"/>
        </w:rPr>
        <w:t>: We estimate approximately 1.6 million new incidental lung nodules and potentially 4 million lung nodules from the adoption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 xml:space="preserve">resulting in either </w:t>
      </w:r>
      <w:r>
        <w:rPr>
          <w:rFonts w:ascii="Arial" w:cs="Arial" w:eastAsia="Arial" w:hAnsi="Arial"/>
          <w:sz w:val="17"/>
          <w:szCs w:val="17"/>
          <w:i w:val="1"/>
          <w:iCs w:val="1"/>
          <w:color w:val="auto"/>
        </w:rPr>
        <w:t>overtreatment</w:t>
      </w:r>
      <w:r>
        <w:rPr>
          <w:rFonts w:ascii="Arial" w:cs="Arial" w:eastAsia="Arial" w:hAnsi="Arial"/>
          <w:sz w:val="17"/>
          <w:szCs w:val="17"/>
          <w:color w:val="auto"/>
        </w:rPr>
        <w:t xml:space="preserve"> of patients with benign nodules or </w:t>
      </w:r>
      <w:r>
        <w:rPr>
          <w:rFonts w:ascii="Arial" w:cs="Arial" w:eastAsia="Arial" w:hAnsi="Arial"/>
          <w:sz w:val="17"/>
          <w:szCs w:val="17"/>
          <w:i w:val="1"/>
          <w:iCs w:val="1"/>
          <w:color w:val="auto"/>
        </w:rPr>
        <w:t>undertreatment</w:t>
      </w:r>
      <w:r>
        <w:rPr>
          <w:rFonts w:ascii="Arial" w:cs="Arial" w:eastAsia="Arial" w:hAnsi="Arial"/>
          <w:sz w:val="17"/>
          <w:szCs w:val="17"/>
          <w:color w:val="auto"/>
        </w:rPr>
        <w:t xml:space="preserve"> in patients with cancer. An estimated 17% of patients with malignant nodules 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79" w:lineRule="exact"/>
        <w:rPr>
          <w:sz w:val="20"/>
          <w:szCs w:val="20"/>
          <w:color w:val="auto"/>
        </w:rPr>
      </w:pPr>
    </w:p>
    <w:p>
      <w:pPr>
        <w:ind w:left="1000" w:right="20" w:hanging="547"/>
        <w:spacing w:after="0" w:line="269"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Treatment Guidance – Early Stage</w:t>
      </w:r>
      <w:r>
        <w:rPr>
          <w:rFonts w:ascii="Arial" w:cs="Arial" w:eastAsia="Arial" w:hAnsi="Arial"/>
          <w:sz w:val="17"/>
          <w:szCs w:val="17"/>
          <w:color w:val="auto"/>
        </w:rPr>
        <w:t>: We estimate that there are over 700,000 testing opportunities annually in the United States in early</w:t>
      </w:r>
      <w:r>
        <w:rPr>
          <w:rFonts w:ascii="Arial" w:cs="Arial" w:eastAsia="Arial" w:hAnsi="Arial"/>
          <w:sz w:val="17"/>
          <w:szCs w:val="17"/>
          <w:b w:val="1"/>
          <w:bCs w:val="1"/>
          <w:color w:val="auto"/>
        </w:rPr>
        <w:t xml:space="preserve"> </w:t>
      </w:r>
      <w:r>
        <w:rPr>
          <w:rFonts w:ascii="Arial" w:cs="Arial" w:eastAsia="Arial" w:hAnsi="Arial"/>
          <w:sz w:val="17"/>
          <w:szCs w:val="17"/>
          <w:color w:val="auto"/>
        </w:rPr>
        <w:t>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These therapies typically target specific genomic mutations or alterations found in some tumors. We believe there is therefore an emerging need for testing designed specifically for mutation detection in early stage disease.</w:t>
      </w:r>
    </w:p>
    <w:p>
      <w:pPr>
        <w:spacing w:after="0" w:line="87" w:lineRule="exact"/>
        <w:rPr>
          <w:rFonts w:ascii="Arial" w:cs="Arial" w:eastAsia="Arial" w:hAnsi="Arial"/>
          <w:sz w:val="17"/>
          <w:szCs w:val="17"/>
          <w:color w:val="auto"/>
        </w:rPr>
      </w:pPr>
    </w:p>
    <w:p>
      <w:pPr>
        <w:ind w:left="1000" w:hanging="547"/>
        <w:spacing w:after="0" w:line="289"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Treatment Guidance – Advanced Stage: </w:t>
      </w:r>
      <w:r>
        <w:rPr>
          <w:rFonts w:ascii="Arial" w:cs="Arial" w:eastAsia="Arial" w:hAnsi="Arial"/>
          <w:sz w:val="16"/>
          <w:szCs w:val="16"/>
          <w:color w:val="auto"/>
        </w:rPr>
        <w:t>We estimate that there are over 3 million diagnostic testing opportunities annually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71" w:lineRule="exact"/>
        <w:rPr>
          <w:rFonts w:ascii="Arial" w:cs="Arial" w:eastAsia="Arial" w:hAnsi="Arial"/>
          <w:sz w:val="16"/>
          <w:szCs w:val="16"/>
          <w:color w:val="auto"/>
        </w:rPr>
      </w:pPr>
    </w:p>
    <w:p>
      <w:pPr>
        <w:ind w:left="1000" w:right="100" w:hanging="547"/>
        <w:spacing w:after="0" w:line="274"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estimate that there are over 800,000 testing opportunities in the United States for blood-based tumor and immune profiling</w:t>
      </w:r>
      <w:r>
        <w:rPr>
          <w:rFonts w:ascii="Arial" w:cs="Arial" w:eastAsia="Arial" w:hAnsi="Arial"/>
          <w:sz w:val="17"/>
          <w:szCs w:val="17"/>
          <w:b w:val="1"/>
          <w:bCs w:val="1"/>
          <w:color w:val="auto"/>
        </w:rPr>
        <w:t xml:space="preserve"> </w:t>
      </w:r>
      <w:r>
        <w:rPr>
          <w:rFonts w:ascii="Arial" w:cs="Arial" w:eastAsia="Arial" w:hAnsi="Arial"/>
          <w:sz w:val="17"/>
          <w:szCs w:val="17"/>
          <w:color w:val="auto"/>
        </w:rPr>
        <w:t>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Limitations in Biomarker Discovery and Companion Diagnostics</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estimate the biopharmaceutical biomarker testing and companion diagnostic market opportunity is $2 billion annually</w:t>
      </w:r>
      <w:r>
        <w:rPr>
          <w:rFonts w:ascii="Arial" w:cs="Arial" w:eastAsia="Arial" w:hAnsi="Arial"/>
          <w:sz w:val="18"/>
          <w:szCs w:val="18"/>
          <w:i w:val="1"/>
          <w:iCs w:val="1"/>
          <w:color w:val="auto"/>
        </w:rPr>
        <w:t>.</w:t>
      </w:r>
      <w:r>
        <w:rPr>
          <w:rFonts w:ascii="Arial" w:cs="Arial" w:eastAsia="Arial" w:hAnsi="Arial"/>
          <w:sz w:val="18"/>
          <w:szCs w:val="18"/>
          <w:color w:val="auto"/>
        </w:rPr>
        <w:t xml:space="preserve"> Over the last two decades, the use of biomarker testing in clinical trials has increased, with 55% of oncology trials involving the use of biomarker testing in 2018 versus 15% in 2000. From 2005 to 2015,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78" w:lineRule="exact"/>
        <w:rPr>
          <w:sz w:val="20"/>
          <w:szCs w:val="20"/>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Biomarker Discovery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many limitations with biomarker discovery in biopharmaceutical drug development, including:</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Biomarkers with clinical utility are difficult to discover and validate in independent datasets.</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Classical statistical approaches to biomarker discovery are limited. Single-omic tests fail to see the whole biological picture.</w:t>
      </w:r>
    </w:p>
    <w:p>
      <w:pPr>
        <w:spacing w:after="0" w:line="142" w:lineRule="exact"/>
        <w:rPr>
          <w:rFonts w:ascii="Arial" w:cs="Arial" w:eastAsia="Arial" w:hAnsi="Arial"/>
          <w:sz w:val="17"/>
          <w:szCs w:val="17"/>
          <w:color w:val="auto"/>
        </w:rPr>
      </w:pPr>
    </w:p>
    <w:p>
      <w:pPr>
        <w:ind w:left="1440" w:hanging="433"/>
        <w:spacing w:after="0" w:line="277" w:lineRule="auto"/>
        <w:tabs>
          <w:tab w:leader="none" w:pos="1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75" w:lineRule="exact"/>
        <w:rPr>
          <w:rFonts w:ascii="Arial" w:cs="Arial" w:eastAsia="Arial" w:hAnsi="Arial"/>
          <w:sz w:val="18"/>
          <w:szCs w:val="18"/>
          <w:color w:val="auto"/>
        </w:rPr>
      </w:pPr>
    </w:p>
    <w:p>
      <w:pPr>
        <w:ind w:left="1440" w:right="320" w:hanging="433"/>
        <w:spacing w:after="0" w:line="277" w:lineRule="auto"/>
        <w:tabs>
          <w:tab w:leader="none" w:pos="1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Clinical trials are expensive and take a long period of time. It is often difficult to meet enrollment goals for clinical trials with slow diagnostic testing turnaround times.</w:t>
      </w:r>
    </w:p>
    <w:p>
      <w:pPr>
        <w:spacing w:after="0" w:line="71" w:lineRule="exact"/>
        <w:rPr>
          <w:rFonts w:ascii="Arial" w:cs="Arial" w:eastAsia="Arial" w:hAnsi="Arial"/>
          <w:sz w:val="18"/>
          <w:szCs w:val="18"/>
          <w:color w:val="auto"/>
        </w:rPr>
      </w:pPr>
    </w:p>
    <w:p>
      <w:pPr>
        <w:ind w:left="1000" w:right="460" w:hanging="547"/>
        <w:spacing w:after="0" w:line="266"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Companion Diagnostics (CDx): </w:t>
      </w:r>
      <w:r>
        <w:rPr>
          <w:rFonts w:ascii="Arial" w:cs="Arial" w:eastAsia="Arial" w:hAnsi="Arial"/>
          <w:sz w:val="18"/>
          <w:szCs w:val="18"/>
          <w:color w:val="auto"/>
        </w:rPr>
        <w:t>While developing companion diagnostics is critical to precision medicine, the promise of companion</w:t>
      </w:r>
      <w:r>
        <w:rPr>
          <w:rFonts w:ascii="Arial" w:cs="Arial" w:eastAsia="Arial" w:hAnsi="Arial"/>
          <w:sz w:val="18"/>
          <w:szCs w:val="18"/>
          <w:b w:val="1"/>
          <w:bCs w:val="1"/>
          <w:color w:val="auto"/>
        </w:rPr>
        <w:t xml:space="preserve"> </w:t>
      </w:r>
      <w:r>
        <w:rPr>
          <w:rFonts w:ascii="Arial" w:cs="Arial" w:eastAsia="Arial" w:hAnsi="Arial"/>
          <w:sz w:val="18"/>
          <w:szCs w:val="18"/>
          <w:color w:val="auto"/>
        </w:rPr>
        <w:t>diagnostics has not been fully realized and there are multiple limitations that still need resolution. The path to co-develop a successful companion diagnostic with a corresponding drug has several challenges, including:</w:t>
      </w:r>
    </w:p>
    <w:p>
      <w:pPr>
        <w:spacing w:after="0" w:line="85" w:lineRule="exact"/>
        <w:rPr>
          <w:rFonts w:ascii="Arial" w:cs="Arial" w:eastAsia="Arial" w:hAnsi="Arial"/>
          <w:sz w:val="18"/>
          <w:szCs w:val="18"/>
          <w:color w:val="auto"/>
        </w:rPr>
      </w:pPr>
    </w:p>
    <w:p>
      <w:pPr>
        <w:ind w:left="1440" w:right="80" w:hanging="433"/>
        <w:spacing w:after="0" w:line="277" w:lineRule="auto"/>
        <w:tabs>
          <w:tab w:leader="none" w:pos="1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Traditional companion diagnostic agreements may fail to realize the full value of a testing opportunity, leading to difficulty in funding appropriate commercialization.</w:t>
      </w:r>
    </w:p>
    <w:p>
      <w:pPr>
        <w:spacing w:after="0" w:line="75" w:lineRule="exact"/>
        <w:rPr>
          <w:rFonts w:ascii="Arial" w:cs="Arial" w:eastAsia="Arial" w:hAnsi="Arial"/>
          <w:sz w:val="18"/>
          <w:szCs w:val="18"/>
          <w:color w:val="auto"/>
        </w:rPr>
      </w:pPr>
    </w:p>
    <w:p>
      <w:pPr>
        <w:ind w:left="1440" w:right="260" w:hanging="433"/>
        <w:spacing w:after="0" w:line="277" w:lineRule="auto"/>
        <w:tabs>
          <w:tab w:leader="none" w:pos="1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Drug development is a lengthy, complex and costly process. There can be a financial impact to a pharmaceutical company to have a drug selected by a test.</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Current diagnostic reimbursement policies may not always support the coverage and payment of new companion diagnostics.</w:t>
      </w:r>
    </w:p>
    <w:p>
      <w:pPr>
        <w:spacing w:after="0" w:line="142" w:lineRule="exact"/>
        <w:rPr>
          <w:rFonts w:ascii="Arial" w:cs="Arial" w:eastAsia="Arial" w:hAnsi="Arial"/>
          <w:sz w:val="17"/>
          <w:szCs w:val="17"/>
          <w:color w:val="auto"/>
        </w:rPr>
      </w:pPr>
    </w:p>
    <w:p>
      <w:pPr>
        <w:ind w:left="1440" w:hanging="433"/>
        <w:spacing w:after="0"/>
        <w:tabs>
          <w:tab w:leader="none" w:pos="14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Regulatory agencies continue to work on defining the co-development process, but the environment is continually changing.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AI Platform</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w:t>
      </w:r>
    </w:p>
    <w:p>
      <w:pPr>
        <w:spacing w:after="0" w:line="184"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Diagnostic Cortex is an extensively validated deep learning platform optimized for the discovery of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occurs when the machine identifies a perfect pattern in an initial training dataset but isn’t able to identify the same pattern in a new dataset. For over 15 years, we have focused on developing our platform to overcome this challenge to ensure each test that is discovered can be further developed to perform consistently in the clinical testing environment.</w:t>
      </w:r>
    </w:p>
    <w:p>
      <w:pPr>
        <w:spacing w:after="0" w:line="192"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320" w:top="459" w:right="3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140,000 samples and data in our biobank, including tumor profiles and immune profiles, which are used for both internal and external development initiatives. With our data-driven and technology agnostic approach as data inputs into the Diagnostic Cortex, we are able to discover diagnostic tests that answer critical clinical questions faced by physicians, researchers, and biopharmaceutical companies.</w:t>
      </w:r>
    </w:p>
    <w:p>
      <w:pPr>
        <w:spacing w:after="0" w:line="17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691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137795</wp:posOffset>
            </wp:positionV>
            <wp:extent cx="5194935" cy="1423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949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320" w:top="459"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technology agnostic approach to solving diagnostic challenges leveraging our proprietary AI platform. Because of this approach, we believe we are unique in the diagnostics market, allowing for a broader and more holistic understanding of each patient’s disease state.</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229"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four blood-based diagnostic tests across the lung cancer continuum of care to help address clinical unmet needs by physicians.</w:t>
      </w:r>
    </w:p>
    <w:p>
      <w:pPr>
        <w:spacing w:after="0" w:line="260" w:lineRule="exact"/>
        <w:rPr>
          <w:sz w:val="20"/>
          <w:szCs w:val="20"/>
          <w:color w:val="auto"/>
        </w:rPr>
      </w:pPr>
    </w:p>
    <w:p>
      <w:pPr>
        <w:ind w:left="1000" w:right="60" w:hanging="547"/>
        <w:spacing w:after="0" w:line="258"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Diagnosis</w:t>
      </w:r>
      <w:r>
        <w:rPr>
          <w:rFonts w:ascii="Arial" w:cs="Arial" w:eastAsia="Arial" w:hAnsi="Arial"/>
          <w:sz w:val="18"/>
          <w:szCs w:val="18"/>
          <w:color w:val="auto"/>
        </w:rPr>
        <w:t>: We believe there is a clinical need to help physicians reclassify risk of malignancy in patients presenting with suspicious lung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210" w:lineRule="exact"/>
        <w:rPr>
          <w:rFonts w:ascii="Arial" w:cs="Arial" w:eastAsia="Arial" w:hAnsi="Arial"/>
          <w:sz w:val="18"/>
          <w:szCs w:val="18"/>
          <w:color w:val="auto"/>
        </w:rPr>
      </w:pPr>
    </w:p>
    <w:p>
      <w:pPr>
        <w:ind w:left="1000" w:right="60" w:hanging="547"/>
        <w:spacing w:after="0" w:line="298"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Treatment Guidance</w:t>
      </w:r>
      <w:r>
        <w:rPr>
          <w:rFonts w:ascii="Arial" w:cs="Arial" w:eastAsia="Arial" w:hAnsi="Arial"/>
          <w:sz w:val="16"/>
          <w:szCs w:val="16"/>
          <w:color w:val="auto"/>
        </w:rPr>
        <w:t>: We believe there is an imminent need for a blood-based testing solution that measures tumor-specific mutations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patient’s immune profile to provide physicians with more comprehensive information to assess the overall prognosis of the patient and personalize treatment plans. We offer the blood-based Biodesix Lung Reflex testing strategy, which consists of the GeneStrat tumor profiling test and the VeriStrat immune profiling test for patients diagnosed with NSCLC. With a three-day turnaround time, we are able to quickly provide critical diagnostic information to physicians to facilitate personalized treatment decisions for their patients.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160" w:hanging="547"/>
        <w:spacing w:after="0" w:line="289"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believe longitudinally monitoring advanced NSCLC patients for the dynamic evolution of their tumor and immune profile</w:t>
      </w:r>
      <w:r>
        <w:rPr>
          <w:rFonts w:ascii="Arial" w:cs="Arial" w:eastAsia="Arial" w:hAnsi="Arial"/>
          <w:sz w:val="17"/>
          <w:szCs w:val="17"/>
          <w:b w:val="1"/>
          <w:bCs w:val="1"/>
          <w:color w:val="auto"/>
        </w:rPr>
        <w:t xml:space="preserve"> </w:t>
      </w:r>
      <w:r>
        <w:rPr>
          <w:rFonts w:ascii="Arial" w:cs="Arial" w:eastAsia="Arial" w:hAnsi="Arial"/>
          <w:sz w:val="17"/>
          <w:szCs w:val="17"/>
          <w:color w:val="auto"/>
        </w:rPr>
        <w:t>while on treatment can provide an earlier indication of treatment resistance and/or disease progression. We offer the Biodesix Lung Reflex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21170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Nodify CDT,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58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We launched the Nodify Lung combined offering of Nodify CDT and Nodify XL2 in March 2020. However, the Nodify XL2 test has been available to all physicians since September 2019 and has been available to a select group of physicians since October 2018. We acquired the Nodify XL2 test from Integrated Diagnostics in July 2018, and acquired the Nodify CDT from Oncimmune USA in October 2019.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Nodify CDT</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Nodify CDT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Nodify CDT enhances lung nodule risk assessment to facilitate compliance with clinical treatment guidelines such as those of the American College of Chest Physicians (ACCP). Nodify CDT is intended for use in patients who are 40 years or older, have nodules between 8 and 30mm, and pre-test risk of lung cancer of less than 65%.</w:t>
      </w:r>
    </w:p>
    <w:p>
      <w:pPr>
        <w:spacing w:after="0" w:line="161"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The test measures the levels of seven circulating autoantibodies (P53, NY-ESO-1, CAGE, GBU4-5, SOX2, HuD, and MAGE A4) associated with lung cancer, combined by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4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addition to the test result of High Level, Moderate Level, or NSLAD, each test report includes the patient’s pre-test risk of malignancy as calculated by the Solitary Pulmonary Nodule Risk Assessment calculator, and their post-test risk of cancer incorporating the result of the test. The Solitary Pulmonary Nodule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19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is an example of a de-identified Nodify CDT Test Result Report describing a patient’s pre-test clinical risk of malignancy and the adjusted post-test risk following a High Level test result. The physician in this scenario may consider recommending the patient for an invasive diagnostic procedure as their post-Nodify CDT risk of malignancy is considered High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74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Nodify XL2</w:t>
      </w:r>
    </w:p>
    <w:p>
      <w:pPr>
        <w:spacing w:after="0" w:line="11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Nodify XL2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Nodify XL2 is used for patients who are 40 years or older, have nodules between 8 and 30mm, and have a pre-test risk of lung cancer of less than or equal to 50%.</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Nodify XL2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circulation in the patient’s blood. The native proteins from which the peptides are derived, have been associated with an inflammatory response to cancer.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clinical factors are patient age and smoking status, and radiological factors are nodule size, location, and edge characteristics.</w:t>
      </w:r>
    </w:p>
    <w:p>
      <w:pPr>
        <w:spacing w:after="0" w:line="21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In addition to the test result of Likely Benign, Reduced Risk, or Indeterminate, each test report includes the patient’s pre-test risk of lung cancer as calculated by the Solitary Pulmonary Nodule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16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following is an example of a de-identified Nodify XL2 Test Result Report describing a patient’s pre-test clinical risk of malignancy and the adjusted post-test risk following a Likely Benign test result. The physician in this scenario may consider recommending the patient for three or six-month CT surveillance as their post-Nodify XL2 risk of malignancy is considered 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492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15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Blood samples for Nodify XL2 and Nodify CDT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9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Both tests require a single blood sample shipped at ambient temperature to our certified, high-complexity clinical laboratory in De Soto, Kansas. Nodify CDT requires whole blood and Nodify XL2 requires whole blood spotted onto our proprietary Blood Collection Device (BCD). The introduction of the BCD as a qualified specimen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collection method for use with the Nodify XL2 test alleviated the need for serum separation processing steps by phlebotomists at blood draw sites such as centrifugation, and cold chain (dry ice) shipments, which has increased the market access to our proteomic-based tests. Results for Nodify CDT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Guidance and Monitoring</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Biodesix Lung Reflex testing strategy consists of the GeneStrat tumor profiling test and the VeriStrat immune profiling test, which can be ordered together or separately for patients with NSCLC. Together, the tests typically have a 3-day turnaround time, providing physicians with timely results to facilitate treatment decisions.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GeneStrat</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 xml:space="preserve">GeneStrat is a blood-based tumor profiling test that detects the guideline recommended, actionable mutations in lung cancer: </w:t>
      </w:r>
      <w:r>
        <w:rPr>
          <w:rFonts w:ascii="Arial" w:cs="Arial" w:eastAsia="Arial" w:hAnsi="Arial"/>
          <w:sz w:val="17"/>
          <w:szCs w:val="17"/>
          <w:i w:val="1"/>
          <w:iCs w:val="1"/>
          <w:color w:val="auto"/>
        </w:rPr>
        <w:t>EGFR, KRAS, BRAF,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EML4-ALK, ROS-1, </w:t>
      </w:r>
      <w:r>
        <w:rPr>
          <w:rFonts w:ascii="Arial" w:cs="Arial" w:eastAsia="Arial" w:hAnsi="Arial"/>
          <w:sz w:val="17"/>
          <w:szCs w:val="17"/>
          <w:color w:val="auto"/>
        </w:rPr>
        <w:t>and</w:t>
      </w:r>
      <w:r>
        <w:rPr>
          <w:rFonts w:ascii="Arial" w:cs="Arial" w:eastAsia="Arial" w:hAnsi="Arial"/>
          <w:sz w:val="17"/>
          <w:szCs w:val="17"/>
          <w:i w:val="1"/>
          <w:iCs w:val="1"/>
          <w:color w:val="auto"/>
        </w:rPr>
        <w:t xml:space="preserve"> RET. </w:t>
      </w:r>
      <w:r>
        <w:rPr>
          <w:rFonts w:ascii="Arial" w:cs="Arial" w:eastAsia="Arial" w:hAnsi="Arial"/>
          <w:sz w:val="17"/>
          <w:szCs w:val="17"/>
          <w:color w:val="auto"/>
        </w:rPr>
        <w:t>Physicians can order one or any combination of the genes, whichever they deem medically necessary for the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320" w:top="459" w:right="3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93" w:lineRule="auto"/>
        <w:rPr>
          <w:sz w:val="20"/>
          <w:szCs w:val="20"/>
          <w:color w:val="auto"/>
        </w:rPr>
      </w:pPr>
      <w:r>
        <w:rPr>
          <w:rFonts w:ascii="Arial" w:cs="Arial" w:eastAsia="Arial" w:hAnsi="Arial"/>
          <w:sz w:val="16"/>
          <w:szCs w:val="16"/>
          <w:color w:val="auto"/>
        </w:rPr>
        <w:t>GeneStrat test results are typically available within 72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Lung Reflex testing at the institution, 72% of patients had molecular test results available. Testing with the GeneStrat test can help physicians identify driver mutations quickly to help speed up time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28543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We believe that rapid, blood-based tumor profiling with the GeneStrat test is complementary to both targeted tissue-based testing (including PD-L1) and broad genomic sequencing. Testing with GeneStrat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following is an example of a de-identified GeneStrat Test Result Report. The patient in this scenario is positive for the EGFR Sensitizing mutation Exon 19 DE746-A750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8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VeriStrat</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VeriStrat is a blood-based proteomic test that provides a personalized view of each patient’s immune response to their lung cancer. Results help inform physicians whether their patient has a more aggressive cancer and can help with treatment planning. VeriStrat profiles the patient’s immune system by measuring eight protein features measured by mass spectrometry and interpreted by a proprietary machine learning-based algorithm to produce either a VeriStrat Good or VeriStrat Poor test result. The VeriStrat testing workflow is represented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1431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is an example of a de-identified VeriStrat Test Result Report. The patient’s test result is a VeriStrat Good result, indicating the patient has an overall good prognosis and will likely benefit from standard of care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8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GeneStrat requires whole blood and VeriStrat requires a whole blood sample spotted onto our proprietary BCD. Both samples are shipped at ambient temperature and testing is performed in our certified, high-complexity clinical laboratory in Boulder, Colorado. GeneStrat is performed using the ddPCR technology, and the protein features in VeriStrat are measured using matrix-assisted laser desorption/ionization time of flight (MALDI-ToF) mass spectrometry. Results are typically available within 72 hours through a portal, fax, hard copy, or mobile device.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Biodesix WorkSafe COVID-19 Testing Program</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assay indicated for detecting active SARS-CoV-2 infection. The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test was FDA EUA authorized on April 29, 2020.</w:t>
      </w:r>
    </w:p>
    <w:p>
      <w:pPr>
        <w:spacing w:after="0" w:line="178"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Within a month of initiating our development collaboration with Bio-Rad, we were able to launch two tests for commercial use. We were able to bring these tests to market as fast as possible due to our scientific diagnostic 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Using the Bio-Rad SARS-CoV-2 ddPCR test and the Platelia SARS-CoV-2 Total Ab tests, we operate and have commercialized the Biodesix WorkSafe testing program.</w:t>
      </w:r>
    </w:p>
    <w:p>
      <w:pPr>
        <w:spacing w:after="0" w:line="170"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78"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Our tests are utilized by healthcare providers, including hospitals and nursing homes and are also offered to businesses and educational systems to assist in their back-to-work or back to school strategies. Recently, we announced multiple partnerships for COVID-19 testing, and Colorado Governor Jared Polis announced at a press conference on July 23, 2020 that we will now be supporting wide-spread COVID-19 testing for the State of Colorado. Additionally, we announced a partnership as the official COVID-19 testing partner for the Major Lacrosse League as they competed in their 2020 tournament. We also recently announced that we will oversee and manage onsite testing and validating testing for the Big Ten Conference athletic competitions. To date, we have not derived significant revenues from these partnerships.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Bio-Rad SARS-CoV-2 ddPCR test, also known as a molecular or viral test, is indicated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Platelia SARS-CoV-2 Total Ab assay (also known as a serology or antibody test) is intended for use as an aid in identifying individuals who have developed an adaptive immune response to the SARS-CoV-2 virus, indicating recent or prior infection. The assay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fax, hard copy, or encrypted email.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Diagnostic Discovery, Development and Testing Services Business</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believe our leadership in clinical proteomics and our technology agnostic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178"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To address the increasing complexity of disease biology and new drug mechanisms of action, we employ a technology agnostic approach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technology agnostic approach in translational research, we are experts in discovering and developing proteomic-based diagnostic tests 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425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17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While our biopharmaceutical discovery, diagnostic development and testing revenue continues to grow, it is important to note that we benefit greatly from these partnerships in many ways that expand beyond revenue.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9"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we have over 50 biopharmaceutical customers and academic partners who have utilized our diagnostic tests and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a few case studies of early stage biomarker discovery and development with our biopharmaceutical customers.</w:t>
      </w:r>
    </w:p>
    <w:p>
      <w:pPr>
        <w:spacing w:after="0" w:line="127" w:lineRule="exact"/>
        <w:rPr>
          <w:sz w:val="20"/>
          <w:szCs w:val="20"/>
          <w:color w:val="auto"/>
        </w:rPr>
      </w:pPr>
    </w:p>
    <w:p>
      <w:pPr>
        <w:ind w:left="1000" w:right="20" w:hanging="547"/>
        <w:spacing w:after="0" w:line="258"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AstraZeneca: </w:t>
      </w:r>
      <w:r>
        <w:rPr>
          <w:rFonts w:ascii="Arial" w:cs="Arial" w:eastAsia="Arial" w:hAnsi="Arial"/>
          <w:sz w:val="18"/>
          <w:szCs w:val="18"/>
          <w:color w:val="auto"/>
        </w:rPr>
        <w:t>We provided services to AstraZeneca to retrospectively analyze samples from the FLAURA clinical trial (NCT02296125).</w:t>
      </w:r>
      <w:r>
        <w:rPr>
          <w:rFonts w:ascii="Arial" w:cs="Arial" w:eastAsia="Arial" w:hAnsi="Arial"/>
          <w:sz w:val="18"/>
          <w:szCs w:val="18"/>
          <w:b w:val="1"/>
          <w:bCs w:val="1"/>
          <w:color w:val="auto"/>
        </w:rPr>
        <w:t xml:space="preserve"> </w:t>
      </w:r>
      <w:r>
        <w:rPr>
          <w:rFonts w:ascii="Arial" w:cs="Arial" w:eastAsia="Arial" w:hAnsi="Arial"/>
          <w:sz w:val="18"/>
          <w:szCs w:val="18"/>
          <w:color w:val="auto"/>
        </w:rPr>
        <w:t>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3 months (median) in advance of standard imaging.</w:t>
      </w:r>
    </w:p>
    <w:p>
      <w:pPr>
        <w:spacing w:after="0" w:line="88" w:lineRule="exact"/>
        <w:rPr>
          <w:rFonts w:ascii="Arial" w:cs="Arial" w:eastAsia="Arial" w:hAnsi="Arial"/>
          <w:sz w:val="18"/>
          <w:szCs w:val="18"/>
          <w:color w:val="auto"/>
        </w:rPr>
      </w:pPr>
    </w:p>
    <w:p>
      <w:pPr>
        <w:ind w:left="1000" w:right="20" w:hanging="547"/>
        <w:spacing w:after="0" w:line="292"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Genentech: </w:t>
      </w:r>
      <w:r>
        <w:rPr>
          <w:rFonts w:ascii="Arial" w:cs="Arial" w:eastAsia="Arial" w:hAnsi="Arial"/>
          <w:sz w:val="16"/>
          <w:szCs w:val="16"/>
          <w:color w:val="auto"/>
        </w:rPr>
        <w:t>We partnered with Genentech to discover a novel proteomic classifier for advanced NSCLC patients treated with atezolizumab.</w:t>
      </w:r>
      <w:r>
        <w:rPr>
          <w:rFonts w:ascii="Arial" w:cs="Arial" w:eastAsia="Arial" w:hAnsi="Arial"/>
          <w:sz w:val="16"/>
          <w:szCs w:val="16"/>
          <w:b w:val="1"/>
          <w:bCs w:val="1"/>
          <w:color w:val="auto"/>
        </w:rPr>
        <w:t xml:space="preserve"> </w:t>
      </w:r>
      <w:r>
        <w:rPr>
          <w:rFonts w:ascii="Arial" w:cs="Arial" w:eastAsia="Arial" w:hAnsi="Arial"/>
          <w:sz w:val="16"/>
          <w:szCs w:val="16"/>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This implies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66" w:lineRule="exact"/>
        <w:rPr>
          <w:rFonts w:ascii="Arial" w:cs="Arial" w:eastAsia="Arial" w:hAnsi="Arial"/>
          <w:sz w:val="16"/>
          <w:szCs w:val="16"/>
          <w:color w:val="auto"/>
        </w:rPr>
      </w:pPr>
    </w:p>
    <w:p>
      <w:pPr>
        <w:ind w:left="1000" w:right="120" w:hanging="547"/>
        <w:spacing w:after="0" w:line="258"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Merck KGaA &amp; Pfizer: </w:t>
      </w:r>
      <w:r>
        <w:rPr>
          <w:rFonts w:ascii="Arial" w:cs="Arial" w:eastAsia="Arial" w:hAnsi="Arial"/>
          <w:sz w:val="18"/>
          <w:szCs w:val="18"/>
          <w:color w:val="auto"/>
        </w:rPr>
        <w:t>We announced the initiation of a clinical phase development program for the anti-PD-L1 checkpoint inhibitor,</w:t>
      </w:r>
      <w:r>
        <w:rPr>
          <w:rFonts w:ascii="Arial" w:cs="Arial" w:eastAsia="Arial" w:hAnsi="Arial"/>
          <w:sz w:val="18"/>
          <w:szCs w:val="18"/>
          <w:b w:val="1"/>
          <w:bCs w:val="1"/>
          <w:color w:val="auto"/>
        </w:rPr>
        <w:t xml:space="preserve"> </w:t>
      </w:r>
      <w:r>
        <w:rPr>
          <w:rFonts w:ascii="Arial" w:cs="Arial" w:eastAsia="Arial" w:hAnsi="Arial"/>
          <w:sz w:val="18"/>
          <w:szCs w:val="18"/>
          <w:color w:val="auto"/>
        </w:rPr>
        <w:t>avelumab with Merck KGaA and Pfizer on February 12, 2020. The new proteomic test was developed through retrospective analysis of the circulating proteome combined with our proprietary AI platform. We have completed initial discovery of the test that identifies likely responders to avelumab and efforts are now focusing on transferring the test into our CLIA lab in Boulder, Colorado for clinical phase test validation.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27" w:lineRule="exact"/>
        <w:rPr>
          <w:sz w:val="20"/>
          <w:szCs w:val="20"/>
          <w:color w:val="auto"/>
        </w:rPr>
      </w:pPr>
    </w:p>
    <w:p>
      <w:pPr>
        <w:ind w:left="1000" w:hanging="547"/>
        <w:spacing w:after="0" w:line="258"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Our proprietary extensively validated deep learning platform, which is tailored to discover diagnostic tests that address clinical unmet needs. </w:t>
      </w:r>
      <w:r>
        <w:rPr>
          <w:rFonts w:ascii="Arial" w:cs="Arial" w:eastAsia="Arial" w:hAnsi="Arial"/>
          <w:sz w:val="18"/>
          <w:szCs w:val="18"/>
          <w:color w:val="auto"/>
        </w:rPr>
        <w:t>Our platform is an extensively validated deep learning platform optimized for discovery of diagnostic tests. By combining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data-driven and technology agnostic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8" w:lineRule="exact"/>
        <w:rPr>
          <w:rFonts w:ascii="Arial" w:cs="Arial" w:eastAsia="Arial" w:hAnsi="Arial"/>
          <w:sz w:val="18"/>
          <w:szCs w:val="18"/>
          <w:color w:val="auto"/>
        </w:rPr>
      </w:pPr>
    </w:p>
    <w:p>
      <w:pPr>
        <w:ind w:left="1000" w:right="320" w:hanging="547"/>
        <w:spacing w:after="0" w:line="281"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Our data-driven approach to precision medicine combined with our biobank, which enables us to accelerate development of new tests. </w:t>
      </w:r>
      <w:r>
        <w:rPr>
          <w:rFonts w:ascii="Arial" w:cs="Arial" w:eastAsia="Arial" w:hAnsi="Arial"/>
          <w:sz w:val="17"/>
          <w:szCs w:val="17"/>
          <w:color w:val="auto"/>
        </w:rPr>
        <w:t>We have over 140,000 samples and data in our biobank, including tumor profiles and immune profiles, used for both internal and</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 research and development initiatives. Our biobank, clinical trials, commercial testing and other partnerships provide an ongoing source of new data that further enhances our proprietary AI platform. We are continuously</w:t>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60"/>
          </w:cols>
          <w:pgMar w:left="32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0"/>
        <w:spacing w:after="0" w:line="277" w:lineRule="auto"/>
        <w:rPr>
          <w:sz w:val="20"/>
          <w:szCs w:val="20"/>
          <w:color w:val="auto"/>
        </w:rPr>
      </w:pPr>
      <w:r>
        <w:rPr>
          <w:rFonts w:ascii="Arial" w:cs="Arial" w:eastAsia="Arial" w:hAnsi="Arial"/>
          <w:sz w:val="18"/>
          <w:szCs w:val="18"/>
          <w:color w:val="auto"/>
        </w:rPr>
        <w:t>identifying and incorporating new market insights and input from our customers, key opinion leaders, and scientific experts to leverage this data in developing our diagnostic tests.</w:t>
      </w:r>
    </w:p>
    <w:p>
      <w:pPr>
        <w:spacing w:after="0" w:line="72" w:lineRule="exact"/>
        <w:rPr>
          <w:sz w:val="20"/>
          <w:szCs w:val="20"/>
          <w:color w:val="auto"/>
        </w:rPr>
      </w:pPr>
    </w:p>
    <w:p>
      <w:pPr>
        <w:ind w:left="1000" w:right="200" w:hanging="547"/>
        <w:spacing w:after="0" w:line="282"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Our leadership in clinical proteomics, demonstrated research, development, and scientific expertise, combined with our intellectual property portfolio.</w:t>
      </w:r>
    </w:p>
    <w:p>
      <w:pPr>
        <w:spacing w:after="0" w:line="71" w:lineRule="exact"/>
        <w:rPr>
          <w:rFonts w:ascii="Arial" w:cs="Arial" w:eastAsia="Arial" w:hAnsi="Arial"/>
          <w:sz w:val="18"/>
          <w:szCs w:val="18"/>
          <w:color w:val="auto"/>
        </w:rPr>
      </w:pPr>
    </w:p>
    <w:p>
      <w:pPr>
        <w:ind w:left="1440" w:right="120" w:hanging="433"/>
        <w:spacing w:after="0" w:line="263" w:lineRule="auto"/>
        <w:tabs>
          <w:tab w:leader="none" w:pos="14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Our leadership in clinical proteomics and our technology agnostic approach, we believe provides us with a distinct advantage over our competitors, who focus on any single technology, such as genomics or proteomics. Our certified, high-complexity laboratories offer significant advantages in development of commercial tests.</w:t>
      </w:r>
    </w:p>
    <w:p>
      <w:pPr>
        <w:spacing w:after="0" w:line="89" w:lineRule="exact"/>
        <w:rPr>
          <w:rFonts w:ascii="Arial" w:cs="Arial" w:eastAsia="Arial" w:hAnsi="Arial"/>
          <w:sz w:val="18"/>
          <w:szCs w:val="18"/>
          <w:color w:val="auto"/>
        </w:rPr>
      </w:pPr>
    </w:p>
    <w:p>
      <w:pPr>
        <w:ind w:left="1440" w:right="40" w:hanging="433"/>
        <w:spacing w:after="0" w:line="301" w:lineRule="auto"/>
        <w:tabs>
          <w:tab w:leader="none" w:pos="14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Our proprietary technologies and processes are protected by a portfolio of approximately 83 issued patents in the United States and internationally, and 20 uniquely registered United States trademarks. We take efforts to protect our proprietary position using a 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58" w:lineRule="exact"/>
        <w:rPr>
          <w:rFonts w:ascii="Arial" w:cs="Arial" w:eastAsia="Arial" w:hAnsi="Arial"/>
          <w:sz w:val="16"/>
          <w:szCs w:val="16"/>
          <w:color w:val="auto"/>
        </w:rPr>
      </w:pPr>
    </w:p>
    <w:p>
      <w:pPr>
        <w:ind w:left="1000" w:right="40" w:hanging="547"/>
        <w:spacing w:after="0" w:line="277"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Our demonstrated success commercializing diagnostic tests in lung disease. </w:t>
      </w:r>
      <w:r>
        <w:rPr>
          <w:rFonts w:ascii="Arial" w:cs="Arial" w:eastAsia="Arial" w:hAnsi="Arial"/>
          <w:sz w:val="17"/>
          <w:szCs w:val="17"/>
          <w:color w:val="auto"/>
        </w:rPr>
        <w:t>With six diagnostic tests launched and three currently in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We have displayed agility in our R&amp;D and commercial launch efforts and within a month of initiating a development collaboration, launched two diagnostic tests for COVID-19 for commercial use.</w:t>
      </w:r>
    </w:p>
    <w:p>
      <w:pPr>
        <w:spacing w:after="0" w:line="73" w:lineRule="exact"/>
        <w:rPr>
          <w:rFonts w:ascii="Arial" w:cs="Arial" w:eastAsia="Arial" w:hAnsi="Arial"/>
          <w:sz w:val="17"/>
          <w:szCs w:val="17"/>
          <w:color w:val="auto"/>
        </w:rPr>
      </w:pPr>
    </w:p>
    <w:p>
      <w:pPr>
        <w:ind w:left="1000" w:right="280" w:hanging="547"/>
        <w:spacing w:after="0" w:line="298"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Our depth and breadth of point of care access to physicians allows us to drive adoption of our diagnostic tests while incorporating real-life feedback to inform new product development. </w:t>
      </w:r>
      <w:r>
        <w:rPr>
          <w:rFonts w:ascii="Arial" w:cs="Arial" w:eastAsia="Arial" w:hAnsi="Arial"/>
          <w:sz w:val="16"/>
          <w:szCs w:val="16"/>
          <w:color w:val="auto"/>
        </w:rPr>
        <w:t>Our commercial team’s primary focus is to articulate the scientific and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59" w:lineRule="exact"/>
        <w:rPr>
          <w:rFonts w:ascii="Arial" w:cs="Arial" w:eastAsia="Arial" w:hAnsi="Arial"/>
          <w:sz w:val="16"/>
          <w:szCs w:val="16"/>
          <w:color w:val="auto"/>
        </w:rPr>
      </w:pPr>
    </w:p>
    <w:p>
      <w:pPr>
        <w:ind w:left="1000" w:right="160" w:hanging="547"/>
        <w:spacing w:after="0" w:line="298"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Arial" w:cs="Arial" w:eastAsia="Arial" w:hAnsi="Arial"/>
          <w:sz w:val="16"/>
          <w:szCs w:val="16"/>
          <w:color w:val="auto"/>
        </w:rPr>
        <w:t>We believe our commitment to commercial excellence helps</w:t>
      </w:r>
      <w:r>
        <w:rPr>
          <w:rFonts w:ascii="Arial" w:cs="Arial" w:eastAsia="Arial" w:hAnsi="Arial"/>
          <w:sz w:val="16"/>
          <w:szCs w:val="16"/>
          <w:b w:val="1"/>
          <w:bCs w:val="1"/>
          <w:color w:val="auto"/>
        </w:rPr>
        <w:t xml:space="preserve"> </w:t>
      </w:r>
      <w:r>
        <w:rPr>
          <w:rFonts w:ascii="Arial" w:cs="Arial" w:eastAsia="Arial" w:hAnsi="Arial"/>
          <w:sz w:val="16"/>
          <w:szCs w:val="16"/>
          <w:color w:val="auto"/>
        </w:rPr>
        <w:t>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72" w:lineRule="exact"/>
        <w:rPr>
          <w:sz w:val="20"/>
          <w:szCs w:val="20"/>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Drive increased awareness, adoption, and reimbursement coverage of our diagnostic tests by:</w:t>
      </w:r>
    </w:p>
    <w:p>
      <w:pPr>
        <w:spacing w:after="0" w:line="134" w:lineRule="exact"/>
        <w:rPr>
          <w:rFonts w:ascii="Arial" w:cs="Arial" w:eastAsia="Arial" w:hAnsi="Arial"/>
          <w:sz w:val="18"/>
          <w:szCs w:val="18"/>
          <w:color w:val="auto"/>
        </w:rPr>
      </w:pPr>
    </w:p>
    <w:p>
      <w:pPr>
        <w:ind w:left="1440" w:right="620" w:hanging="433"/>
        <w:spacing w:after="0" w:line="342" w:lineRule="auto"/>
        <w:tabs>
          <w:tab w:leader="none" w:pos="14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29" w:lineRule="exact"/>
        <w:rPr>
          <w:rFonts w:ascii="Arial" w:cs="Arial" w:eastAsia="Arial" w:hAnsi="Arial"/>
          <w:sz w:val="16"/>
          <w:szCs w:val="16"/>
          <w:color w:val="auto"/>
        </w:rPr>
      </w:pPr>
    </w:p>
    <w:p>
      <w:pPr>
        <w:ind w:left="1440" w:right="260" w:hanging="433"/>
        <w:spacing w:after="0" w:line="342" w:lineRule="auto"/>
        <w:tabs>
          <w:tab w:leader="none" w:pos="14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utilizing our pulmonology-focused sales force and commercial reach with targeted awareness campaigns to employ highly targeted sales and marketing tactics in pulmonology clinics specializing in the management of lung nodules and the diagnosis of lung cancer;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40" w:hanging="433"/>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continuing to invest in the expansion of our sales force and commercial support team;</w:t>
      </w:r>
    </w:p>
    <w:p>
      <w:pPr>
        <w:spacing w:after="0" w:line="130" w:lineRule="exact"/>
        <w:rPr>
          <w:rFonts w:ascii="Arial" w:cs="Arial" w:eastAsia="Arial" w:hAnsi="Arial"/>
          <w:sz w:val="18"/>
          <w:szCs w:val="18"/>
          <w:color w:val="auto"/>
        </w:rPr>
      </w:pPr>
    </w:p>
    <w:p>
      <w:pPr>
        <w:ind w:left="1440" w:right="20" w:hanging="433"/>
        <w:spacing w:after="0" w:line="277" w:lineRule="auto"/>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incorporating our testing services into diagnostic pathways and protocols via a top-down strategy that introduces our diagnostic tests to the largest United States health systems; and</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leveraging our clinical data to gain broad coverage from public and private payers for our tests.</w:t>
      </w:r>
    </w:p>
    <w:p>
      <w:pPr>
        <w:spacing w:after="0" w:line="126"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Deepen our relationships with current biopharmaceutical customers and establish new customer opportunities 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selling our complete offering of tests and services to biopharmaceutical companies in the United States and internationally;</w:t>
      </w:r>
    </w:p>
    <w:p>
      <w:pPr>
        <w:spacing w:after="0" w:line="142" w:lineRule="exact"/>
        <w:rPr>
          <w:rFonts w:ascii="Arial" w:cs="Arial" w:eastAsia="Arial" w:hAnsi="Arial"/>
          <w:sz w:val="17"/>
          <w:szCs w:val="17"/>
          <w:color w:val="auto"/>
        </w:rPr>
      </w:pPr>
    </w:p>
    <w:p>
      <w:pPr>
        <w:ind w:left="1440" w:hanging="433"/>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leveraging existing projects and relationships to expand sales with our current biopharmaceutical customers; and</w:t>
      </w:r>
    </w:p>
    <w:p>
      <w:pPr>
        <w:spacing w:after="0" w:line="130" w:lineRule="exact"/>
        <w:rPr>
          <w:rFonts w:ascii="Arial" w:cs="Arial" w:eastAsia="Arial" w:hAnsi="Arial"/>
          <w:sz w:val="18"/>
          <w:szCs w:val="18"/>
          <w:color w:val="auto"/>
        </w:rPr>
      </w:pPr>
    </w:p>
    <w:p>
      <w:pPr>
        <w:ind w:left="1440" w:right="180" w:hanging="433"/>
        <w:spacing w:after="0" w:line="277" w:lineRule="auto"/>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targeting companies developing novel companion diagnostic strategies and drug development projects best suited to our platform for new test discovery, development and commercialization.</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Further demonstrate the clinical utility and economic benefits of our diagnostic tests by</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440" w:hanging="433"/>
        <w:spacing w:after="0"/>
        <w:tabs>
          <w:tab w:leader="none" w:pos="14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investing in commercial clinical testing, research studies and clinical trials to further demonstrate the clinical utility of our tests;</w:t>
      </w:r>
    </w:p>
    <w:p>
      <w:pPr>
        <w:spacing w:after="0" w:line="127" w:lineRule="exact"/>
        <w:rPr>
          <w:rFonts w:ascii="Arial" w:cs="Arial" w:eastAsia="Arial" w:hAnsi="Arial"/>
          <w:sz w:val="17"/>
          <w:szCs w:val="17"/>
          <w:color w:val="auto"/>
        </w:rPr>
      </w:pPr>
    </w:p>
    <w:p>
      <w:pPr>
        <w:ind w:left="1440" w:hanging="433"/>
        <w:spacing w:after="0"/>
        <w:tabs>
          <w:tab w:leader="none" w:pos="14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providing rapid, actionable, and holistic diagnostic information to help inform physicians on the next steps in a patient’s care plan; and</w:t>
      </w:r>
    </w:p>
    <w:p>
      <w:pPr>
        <w:spacing w:after="0" w:line="153" w:lineRule="exact"/>
        <w:rPr>
          <w:rFonts w:ascii="Arial" w:cs="Arial" w:eastAsia="Arial" w:hAnsi="Arial"/>
          <w:sz w:val="16"/>
          <w:szCs w:val="16"/>
          <w:color w:val="auto"/>
        </w:rPr>
      </w:pPr>
    </w:p>
    <w:p>
      <w:pPr>
        <w:ind w:left="1440" w:hanging="433"/>
        <w:spacing w:after="0"/>
        <w:tabs>
          <w:tab w:leader="none" w:pos="14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providing timely and actionable clinical information to help improve overall patient outcomes and lower the overall healthcare cost.</w:t>
      </w:r>
    </w:p>
    <w:p>
      <w:pPr>
        <w:spacing w:after="0" w:line="149" w:lineRule="exact"/>
        <w:rPr>
          <w:rFonts w:ascii="Arial" w:cs="Arial" w:eastAsia="Arial" w:hAnsi="Arial"/>
          <w:sz w:val="16"/>
          <w:szCs w:val="16"/>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Introduce new diagnostic tests in lung disease 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right="780" w:hanging="433"/>
        <w:spacing w:after="0" w:line="277" w:lineRule="auto"/>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75" w:lineRule="exact"/>
        <w:rPr>
          <w:rFonts w:ascii="Arial" w:cs="Arial" w:eastAsia="Arial" w:hAnsi="Arial"/>
          <w:sz w:val="18"/>
          <w:szCs w:val="18"/>
          <w:color w:val="auto"/>
        </w:rPr>
      </w:pPr>
    </w:p>
    <w:p>
      <w:pPr>
        <w:ind w:left="1440" w:right="220" w:hanging="433"/>
        <w:spacing w:after="0" w:line="277" w:lineRule="auto"/>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entering strategic partnerships with biopharmaceutical companies, academic research organizations, technology providers, and other diagnostic companies; and</w:t>
      </w:r>
    </w:p>
    <w:p>
      <w:pPr>
        <w:spacing w:after="0" w:line="75" w:lineRule="exact"/>
        <w:rPr>
          <w:rFonts w:ascii="Arial" w:cs="Arial" w:eastAsia="Arial" w:hAnsi="Arial"/>
          <w:sz w:val="18"/>
          <w:szCs w:val="18"/>
          <w:color w:val="auto"/>
        </w:rPr>
      </w:pPr>
    </w:p>
    <w:p>
      <w:pPr>
        <w:ind w:left="1440" w:hanging="433"/>
        <w:spacing w:after="0" w:line="277" w:lineRule="auto"/>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developing companion diagnostic tests to support the therapeutics’ regulatory approval and adoption process for our biopharmaceutical customers.</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Enhance our proprietary AI platform and expand our technology portfolio by:</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continuing to invest in R&amp;D capabilities to foster innovation in test discovery and development;</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identifying, acquiring technologies and integrating new data types into our proprietary AI platform; and</w:t>
      </w:r>
    </w:p>
    <w:p>
      <w:pPr>
        <w:spacing w:after="0" w:line="130" w:lineRule="exact"/>
        <w:rPr>
          <w:rFonts w:ascii="Arial" w:cs="Arial" w:eastAsia="Arial" w:hAnsi="Arial"/>
          <w:sz w:val="18"/>
          <w:szCs w:val="18"/>
          <w:color w:val="auto"/>
        </w:rPr>
      </w:pPr>
    </w:p>
    <w:p>
      <w:pPr>
        <w:ind w:left="1440" w:right="640" w:hanging="433"/>
        <w:spacing w:after="0" w:line="277" w:lineRule="auto"/>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entering strategic partnerships across our commercial product portfolio and product development efforts in order to further our development capabilities, accelerate launch of commercial products, or expand our service offering.</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Continue to expand and leverage our biobank by:</w:t>
      </w:r>
    </w:p>
    <w:p>
      <w:pPr>
        <w:spacing w:after="0" w:line="134" w:lineRule="exact"/>
        <w:rPr>
          <w:rFonts w:ascii="Arial" w:cs="Arial" w:eastAsia="Arial" w:hAnsi="Arial"/>
          <w:sz w:val="18"/>
          <w:szCs w:val="18"/>
          <w:b w:val="1"/>
          <w:bCs w:val="1"/>
          <w:color w:val="auto"/>
        </w:rPr>
      </w:pPr>
    </w:p>
    <w:p>
      <w:pPr>
        <w:ind w:left="1440" w:hanging="433"/>
        <w:spacing w:after="0"/>
        <w:tabs>
          <w:tab w:leader="none" w:pos="14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expanding and enhancing the robustness of our samples and the data set, including through our collaborations and partnerships;</w:t>
      </w:r>
    </w:p>
    <w:p>
      <w:pPr>
        <w:spacing w:after="0" w:line="142" w:lineRule="exact"/>
        <w:rPr>
          <w:rFonts w:ascii="Arial" w:cs="Arial" w:eastAsia="Arial" w:hAnsi="Arial"/>
          <w:sz w:val="17"/>
          <w:szCs w:val="17"/>
          <w:color w:val="auto"/>
        </w:rPr>
      </w:pPr>
    </w:p>
    <w:p>
      <w:pPr>
        <w:ind w:left="1440" w:right="60" w:hanging="433"/>
        <w:spacing w:after="0" w:line="277" w:lineRule="auto"/>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pursuing commercial opportunities with companies and researchers who are interested in utilizing our biobank for their own discovery and development efforts; and</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monetizing these commercial opportunities.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320" w:top="459" w:right="3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Current Landscape</w:t>
      </w:r>
    </w:p>
    <w:p>
      <w:pPr>
        <w:spacing w:after="0" w:line="121"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Lung cancer (both small cell and non-small cell) is the second most common cancer diagnosed in the United States with nearly 230,000 patients diagnosed each year. It is estimated that there is a 1 in 16 chance that an individual in the United States will develop lung cancer in their lifetime, leading to nearly 135,000 patient deaths in 2020, lung cancer is accountable for more deaths annually than the next three deadliest cancers combined (colorectal, pancreas, and breast). Additionally, every year in the United States an estimated 1.6 million people are diagnosed with an incidental nodule in the lung. These nodules can arise from a variety of causes ranging from smoking to fungal infections or other lung diseases. While most lung nodules are found to be benign and ultimately harmless, about 5% are found to be malignant within two years from nodule identification.</w:t>
      </w:r>
    </w:p>
    <w:p>
      <w:pPr>
        <w:spacing w:after="0" w:line="164" w:lineRule="exact"/>
        <w:rPr>
          <w:sz w:val="20"/>
          <w:szCs w:val="20"/>
          <w:color w:val="auto"/>
        </w:rPr>
      </w:pPr>
    </w:p>
    <w:p>
      <w:pPr>
        <w:jc w:val="both"/>
        <w:ind w:right="120" w:firstLine="449"/>
        <w:spacing w:after="0" w:line="275"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 We estimate that the biopharmaceutical partnering and research opportunities represent over a $2 billion market annually.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Over 1.6 million people are diagnosed with incidental pulmonary nodules annually in the United States. Incidental nodules are identified when a person is being evaluated for another medical concern, typically through X-ray or CT imaging. On July 7, 2020, the United States Preventive Services Task Force (USPSTF) published an updated draft statement to the 2013 low-dose CT (LDCT) screening recommendation that proposes an expansion to the eligible population for lung cancer screening to patients 50 to 80 years old in the United States with a smoking pack-year history of 20 or more years or who currently smoke or quit smoking within the past 15 years. Based upon the new USPSTF recommendation, we believe approximately 15 million people are eligible for LDCT, which we believe could potentially lead to the identification of over 4 million lung nodules annually. However, in 2018, only 4.2% of the eligible population underwent screening. Improved patient adherence to screening is expected to result in earlier identification of lung nodules.</w:t>
      </w:r>
    </w:p>
    <w:p>
      <w:pPr>
        <w:spacing w:after="0" w:line="16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Following initial discovery of a lung nodule, patients are typically evaluated by a pulmonologist for risk of lung cancer. A recent study found that on average, patients wait 8 months following initial detection of a lung nodule before diagnosis of cancer. The same study also estimated that approximately two thirds of incidental nodules found did not receive follow-up after initial discovery. If a patient can be diagnosed with cancer at an early stage, their survival chances are greatly increased, including the chance of cure. The volume of patients waiting for evaluation has led to the implementation of “nodule clinics” in centers around the country to try to catch cancer earlier by reducing wait times for diagnostic procedures and increasing the number of patients that are being routinely observed.</w:t>
      </w:r>
    </w:p>
    <w:p>
      <w:pPr>
        <w:spacing w:after="0" w:line="192"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The ACCP guidelines for lung nodules management further detail the intervention or monitoring pathways for a patient based on their individual risk of cancer. Several “risk calculators” have been developed to help translate a patient’s clinical risk factors such as age, smoking status, cancer history, nodule size, location, and edge characteristics into a risk percentage. However, standard practice is physician assessed risk of malignancy.</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451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illustrated above, for patients whose lung cancer risk is determined to be High (greater than 65%), guidelines recommend sending the patient for a stage evaluation and surgical resection if there are no metastases. If the risk of lung cancer is determined to be Very Low (less than 5%), guidelines recommend CT surveillance to monitor the nodule for growth or shrinkage. Approximately 80% of patients fall into the Low to Moderate group (5-65%) where guidelines state CT scans, positron emission tomography (PET) scans, biopsy, bronchoscopy, or surgery are all options and should be chosen based on the physician’s clinical judgement and risk threshold.</w:t>
      </w:r>
    </w:p>
    <w:p>
      <w:pPr>
        <w:spacing w:after="0" w:line="188"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With a large and varied set of clinical options, the Low to Moderate risk group represents the area of greatest need for precision diagnostic testing to help reclassify risk and direct patients to the relevant treatment pathway. A 2015 publication of 18 pulmonology clinics across the United States and 377 patients with lung nodules showed 62% of biopsies and 35% of surgeries were performed on patients with benign nodules. Conversely, an estimated 17% of patients with malignant nodules are initially sent to watchful waiting, where a follow-up CT scan is scheduled in three to six months, potentially delaying their diagnosis.</w:t>
      </w:r>
    </w:p>
    <w:p>
      <w:pPr>
        <w:spacing w:after="0" w:line="18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to the median workup cost of $2,794 for a non-surgical biopsy and $24,623 for a surgical resection, performing invasive procedures on patients with benign nodules exposes them to potentially serious adverse events and could impede future lung function. In a population-based analysis of patients diagnosed with lung cancer from 2001 to 2010, it was identified that the incidence of at least one hospitalized adverse event occurred in 30% of the population. Specifically, the rate of incidence by invasive procedure type was 26% for a bronchoscopy, 34% for a percutaneous biopsy, and 39% for a surgical resection. A recent cost-benefit analysis showed that among Medicare claims, over 40% of the total cost in management of lung cancer was attributed to benign patients with an invasive procedure. Diagnostic tests can help reduce unnecessary biopsies or surgeries on patents with benign nodules and can help catch those that are malignant earlier. These tests could improve patient outcomes, alleviate patient anxiety, and save costs to both the patient and the healthcare system.</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NSCLC Treatment Guidance</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Following confirmed diagnosis, the patient’s NSCLC is staged which helps the physician direct the patient to an appropriate treatment pathway. Unfortunately, less than half of the patients diagnosed with advanced stage disease live beyond one year post-diagnosis, with a median overall survival of 10.5 months. Additionally, it is estimated that these patients have a five-year survival of 6%. Meanwhile, five-year survival for patients diagnosed with early stage (typically stage I-IIIA) disease is 59%.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Stage NSCLC</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estimate that there are over 700,000 testing opportunities annually in the United States in early stage lung cancer to assess the risk of recurrence following surgery, and to detect potential target mutations for therapeutics. The current standard of care in early stage disease is surgery with curative intent. Depending on the risk of recurrence for a patient,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have a lung cancer recurrence within five years following surgery, representing a sub-group of patients who may have benefited from a more intensive care plan, including increased follow up or additional therapy.</w:t>
      </w:r>
    </w:p>
    <w:p>
      <w:pPr>
        <w:spacing w:after="0" w:line="164"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which we believe will lead to the need for testing designed specifically for mutation detection. Beyond clinical testing, we believe diagnostic testing for research use as part of our laboratory services could help biopharmaceutical companies identify new patient targets for neoadjuvant or adjuvant therapy in earlier stage disease.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Advanced Stage NSCLC</w:t>
      </w:r>
    </w:p>
    <w:p>
      <w:pPr>
        <w:spacing w:after="0" w:line="117"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We estimate that there are over 1.5 million diagnostic testing opportunities annually in the United States to guide advanced stage lung cancer treatment decisions. We believe there is a need for blood-based testing solutions that measure tumor mutations and the patient’s immune profile, providing physicians with holistic and timely information to assess the overall prognosis of the patient and personalize treatment plans when tissue is not available.</w:t>
      </w:r>
    </w:p>
    <w:p>
      <w:pPr>
        <w:spacing w:after="0" w:line="149"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Traditionally, therapeutics for advanced NSCLC have been FDA-approved based on improvement in response, or survival for a population in a given tumor type. However, data have shown that it is not a one size fits all approach as each patient responds differently based on their individual biology. Today, the NCCN guidelines recommend nearly 50 FDA-approved systemic treatment regimens for patients with advanced NSCLC. Although an increasing number of these therapeutics have companion diagnostic tests to inform treatment, there remains a need for more comprehensive biomarkers to help further identify the right patient for the right treatment. In addition to biomarker analysis, physicians assess the patient’s medical history, presence of co-morbidities, and ultimately the patient’s prognosis to help guide treatment decisions.</w:t>
      </w:r>
    </w:p>
    <w:p>
      <w:pPr>
        <w:spacing w:after="0" w:line="17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Approximately 50% of patients do not have sufficient tissue collected following diagnosis to facilitate tissue-based molecular testing. Conducting an additional tissue biopsy is costly and has the risk of adverse events. Blood-based testing can provide rapid, actionable, upfront tumor profiling from a minimally invasive blood draw, and eliminate the need for repeat biopsy procedures. Blood-based offerings include testing of individual driver mutations in lung cancer, or broad mutation profiling, typically through next generation sequencing. The broader mutation panels often include genes that are prevalent in and may be tied to therapeutics approved in tumor types outside of lung cancer. Single gene assays or smaller actionable gene panels may be focused more specifically on lung cancer.</w:t>
      </w:r>
    </w:p>
    <w:p>
      <w:pPr>
        <w:spacing w:after="0" w:line="192"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In addition to the tumor mutation profiling, the state of the patient’s immune system has long been understood to be an important factor in the patient’s diagnosis, prognosis, and response to therapy. The causal relationship between inflammation and cancer progression is more widely accepted today as the immunology and oncology communities have continued to collaborate around the advancement of immune-targeting drugs. However, recent studies indicate that less than 25% of treatment-naïve lung cancer patients were alive after five years when treated with single agent immunotherapy and some patients do not benefit from immunotherapy in comparison to those treated with chemotherapy. These reports underscore the complexity of the underlying biology and the need for immune-related biomarker treatment selection.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estimate that there are over 1 million testing opportunities in the United States for blood-based tumor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Technologies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Our focus on tumor and immune profiling is central to our core belief that no single technology will answer all clinical questions that we encounter. Therefore, we employ multiple technologies, including genomics, transcriptomics, proteomics, and radiomics, and our proprietary AI platform, Diagnostic Cortex, to discover innovative diagnostic tests for clinical use. Through our learning loop, we continuously revisit our technology strategy and integrate new technologies into our evolving platform, which ultimately support the addition of new service and product revenue offerings. We focus on developing technologies that are capable of single and multi-omic research and development.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Diagnostic Cortex Artificial Intelligence Platform</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 overcome this challenge through proprietary computational techniques to ensure each diagnostic test that is discovered can be further developed to perform consistently in the clinical testing environment.</w:t>
      </w:r>
    </w:p>
    <w:p>
      <w:pPr>
        <w:spacing w:after="0" w:line="16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188"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We utilize multiple technologies, including ddPCR, NGS, LC-MS, ELISA, and our proprietary DeepMALDI mass spectrometry platform in our molecular analysis of the tumor, immune system, and host-status of each patient. The data from these technologies feed into our proprietary Diagnostic Cortex platform to discover clinically relevant diagnostic tests.</w:t>
      </w:r>
    </w:p>
    <w:p>
      <w:pPr>
        <w:spacing w:after="0" w:line="184"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We have been discovering and developing proteomic-based diagnostic tests and have a deep understanding of how to incorporate technologies that can be applied to blood samples in order to extract important protein-based biological information in the form of clinical diagnostic tests.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suite of technologies that assist us in discovery, development and commercialization of novel diagnostic tests includes: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320" w:top="459" w:right="3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DeepMALDI Mass Spectrometry</w:t>
      </w:r>
    </w:p>
    <w:p>
      <w:pPr>
        <w:spacing w:after="0" w:line="117"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We have developed DeepMALDI, a proprietary high 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current DeepMALDI methods allow us to achieve finer mass resolution, greater sensitivity, and 20-times faster imaging speeds than other instruments. Additionally, we believe enhancements to our DeepMALDI methods and MALDI-ToF technology evolution will allow us to measure approximately 1,500 proteins, an improvement from the estimated 900 proteins we can measure today.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 Chromatography Mass Spectrometry MS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Enzyme-Linked Immunosorbent Assay</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the Platelia SARS-CoV-2 Total Ab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Droplet Digital PCR Platform</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Bio-Rad SARS-CoV-2 ddPCR test for COVID-19. We have included the ddPCR technologies for research and development both internally and externally with our biopharmaceutical customers and academic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Next Generation Sequencing Technology</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We use an NGS technology for broad genomic sequencing of clinical specimens. Our strategy with NGS relies on a menu of off-the-shelf and custom research use assays, which we develop and make available as a part of our biopharmaceutical test services. The NGS technology integrates automated systems to yield high sensitivity results with a rapid turnaround time. Since adoption of this technology, we have included the NGS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technologies for research and development both internally and externally with our biopharmaceutical customers and academic partners.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Validation Data</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Below we outline our clinical validation data for our six diagnostic tests: Nodify CDT, Nodify XL2, GeneStrat, VeriStrat, SARS-CoV-2 ddPCR, and Platelia SARS-CoV-2 Total Ab.</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Nodify CDT</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Nodify CDT has been studied in 14 peer reviewed published studies and presentations. Here we highlight an overview of one of our key peer-reviewed clinical validation papers.</w:t>
      </w:r>
    </w:p>
    <w:p>
      <w:pPr>
        <w:spacing w:after="0" w:line="76" w:lineRule="exact"/>
        <w:rPr>
          <w:sz w:val="20"/>
          <w:szCs w:val="20"/>
          <w:color w:val="auto"/>
        </w:rPr>
      </w:pPr>
    </w:p>
    <w:p>
      <w:pPr>
        <w:ind w:left="1000" w:right="60" w:hanging="547"/>
        <w:spacing w:after="0" w:line="255"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Healey GF, J Cancer Ther 2017</w:t>
      </w:r>
      <w:r>
        <w:rPr>
          <w:rFonts w:ascii="Arial" w:cs="Arial" w:eastAsia="Arial" w:hAnsi="Arial"/>
          <w:sz w:val="18"/>
          <w:szCs w:val="18"/>
          <w:color w:val="auto"/>
        </w:rPr>
        <w:t>: In this study, the objective was to assess the clinical test performance of Nodify CDT (previously named</w:t>
      </w:r>
      <w:r>
        <w:rPr>
          <w:rFonts w:ascii="Arial" w:cs="Arial" w:eastAsia="Arial" w:hAnsi="Arial"/>
          <w:sz w:val="18"/>
          <w:szCs w:val="18"/>
          <w:i w:val="1"/>
          <w:iCs w:val="1"/>
          <w:color w:val="auto"/>
        </w:rPr>
        <w:t xml:space="preserve"> </w:t>
      </w:r>
      <w:r>
        <w:rPr>
          <w:rFonts w:ascii="Arial" w:cs="Arial" w:eastAsia="Arial" w:hAnsi="Arial"/>
          <w:sz w:val="18"/>
          <w:szCs w:val="18"/>
          <w:color w:val="auto"/>
        </w:rPr>
        <w:t>EarlyCDT-Lung) and its clinical utility in assessing risk of indeterminate pulmonary nodules. A High Level test result demonstrated a 98% specificity and 28% sensitivity with a positive predictive value (PPV) of 78%. With these test performance metrics, the test is most clinically useful as a tool to ‘rule-in’ cancer, which is can be defined as helping to identify patients who may be at a higher risk of malignancy. Conversely, a result of No Significant Level of Autoantibodies Detected (NSLAD) does not help rule out lung cancer and therefore does not change a patient’s pre-test risk of lung cancer.</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Nodify XL2</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Nodify XL2 has been studied in 12 peer reviewed published studies and presentations. Here we highlight an overview of two of our key peer-reviewed clinical validation papers.</w:t>
      </w:r>
    </w:p>
    <w:p>
      <w:pPr>
        <w:spacing w:after="0" w:line="76" w:lineRule="exact"/>
        <w:rPr>
          <w:sz w:val="20"/>
          <w:szCs w:val="20"/>
          <w:color w:val="auto"/>
        </w:rPr>
      </w:pPr>
    </w:p>
    <w:p>
      <w:pPr>
        <w:ind w:left="1000" w:hanging="547"/>
        <w:spacing w:after="0" w:line="291"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Silvestri G, CHEST, 2018 (PANOPTIC)</w:t>
      </w:r>
      <w:r>
        <w:rPr>
          <w:rFonts w:ascii="Arial" w:cs="Arial" w:eastAsia="Arial" w:hAnsi="Arial"/>
          <w:sz w:val="16"/>
          <w:szCs w:val="16"/>
          <w:color w:val="auto"/>
        </w:rPr>
        <w:t>: In the prospective, multicenter PANOPTIC clinical study, the test demonstrated a sensitivity of 97%,</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specificity of 44% and a negative predictive value of 98% in distinguishing benign from malignant nodules. When compared to traditional cancer risk assessments, Nodify XL2 performed better than a PET scan commonly used and validated lung nodule risk models (including the Swensen nodule calculator), and physicians’ cancer probability estimates. The PANOPTIC study concluded that if the test results were used to direct care, 40% fewer invasive procedures would be performed on benign nodules. As such, Nodify XL2 may have significant clinical utility in guiding incidental lung nodule management decisions, potentially eliminating unnecessary invasive procedures, resulting in improved quality of life for patients as well as reduced financial expense for both the patient and the health system.</w:t>
      </w:r>
    </w:p>
    <w:p>
      <w:pPr>
        <w:spacing w:after="0" w:line="71" w:lineRule="exact"/>
        <w:rPr>
          <w:rFonts w:ascii="Arial" w:cs="Arial" w:eastAsia="Arial" w:hAnsi="Arial"/>
          <w:sz w:val="16"/>
          <w:szCs w:val="16"/>
          <w:color w:val="auto"/>
        </w:rPr>
      </w:pPr>
    </w:p>
    <w:p>
      <w:pPr>
        <w:ind w:left="1000" w:right="100" w:hanging="547"/>
        <w:spacing w:after="0" w:line="255"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Pritchett M, Am J Respir Crit Care Med, 2020: </w:t>
      </w:r>
      <w:r>
        <w:rPr>
          <w:rFonts w:ascii="Arial" w:cs="Arial" w:eastAsia="Arial" w:hAnsi="Arial"/>
          <w:sz w:val="18"/>
          <w:szCs w:val="18"/>
          <w:color w:val="auto"/>
        </w:rPr>
        <w:t>Preliminary results from the ORACLE registry study were accepted as a late breaking</w:t>
      </w:r>
      <w:r>
        <w:rPr>
          <w:rFonts w:ascii="Arial" w:cs="Arial" w:eastAsia="Arial" w:hAnsi="Arial"/>
          <w:sz w:val="18"/>
          <w:szCs w:val="18"/>
          <w:i w:val="1"/>
          <w:iCs w:val="1"/>
          <w:color w:val="auto"/>
        </w:rPr>
        <w:t xml:space="preserve"> </w:t>
      </w:r>
      <w:r>
        <w:rPr>
          <w:rFonts w:ascii="Arial" w:cs="Arial" w:eastAsia="Arial" w:hAnsi="Arial"/>
          <w:sz w:val="18"/>
          <w:szCs w:val="18"/>
          <w:color w:val="auto"/>
        </w:rPr>
        <w:t>abstract at the American Thoracic Society conference. In the study, the Nodify XL2 test resulted in 46% of nodules being re-classified from the “low to moderate risk” (5-65%) into the “very low risk” (less than 5%) category. This redistribution was predicted in the PANOPTIC clinical validation study and is now seen in real-world clinical use in the ORACLE study and through commercial clinical testing. This shift in distribution may lead to a substantial increase in benign nodules correctly routed to CT surveillance, thus a significant reduction of invasive procedures being performed on benign disease.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GeneStrat</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GeneStrat has been studied in 30 peer reviewed published studies and presentations. Here we highlight an overview of one of our key peer-reviewed clinical validation papers.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459" w:right="3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547"/>
        <w:spacing w:after="0" w:line="255"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Mellert H, J Mol Diagn, 2017</w:t>
      </w:r>
      <w:r>
        <w:rPr>
          <w:rFonts w:ascii="Arial" w:cs="Arial" w:eastAsia="Arial" w:hAnsi="Arial"/>
          <w:sz w:val="18"/>
          <w:szCs w:val="18"/>
          <w:color w:val="auto"/>
        </w:rPr>
        <w:t>: This study highlights the clinical validation data for the targetable mutations (EGFR, KRAS, ALK)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blood-based GeneStrat test. The overall clinical test performance of the genes and variants in GeneStrat is 91% sensitivity and 100% specificity. Clinical sensitivity for each gene ranged from 88% to 100%. Clinical specificity for each gene was 100%. Additionally, this study reported on mutation results from our commercial clinical testing. Mutation results were available within 72 hours for 94% of the tests evaluated. The GeneStrat test is a rapid, highly sensitive, and actionable blood-based test that supports faster targeted therapy treatment decisions for patients with NSCLC.</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VeriStrat</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VeriStrat has been studied in over 85 peer reviewed and published clinical studies across many different types of treatment regimens such as chemotherapy, targeted therapies, immune checkpoint inhibitors, and combination therapies. The presence of a VeriStrat Poor result indicates the presence of chronic inflammation and a chronic acute phase immune response. Typically, patients with a VeriStrat Good result respond better to standard of care treatments than those patients that test as VeriStrat Poor. The results consistently show the test to be predictive of outcomes, independent of other prognostic factors including PD-L1 expression and performance status.</w:t>
      </w:r>
    </w:p>
    <w:p>
      <w:pPr>
        <w:spacing w:after="0" w:line="93" w:lineRule="exact"/>
        <w:rPr>
          <w:sz w:val="20"/>
          <w:szCs w:val="20"/>
          <w:color w:val="auto"/>
        </w:rPr>
      </w:pPr>
    </w:p>
    <w:p>
      <w:pPr>
        <w:ind w:left="1000" w:right="120" w:hanging="547"/>
        <w:spacing w:after="0" w:line="291"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Leal T, Curr Med Res Opin, 2020</w:t>
      </w:r>
      <w:r>
        <w:rPr>
          <w:rFonts w:ascii="Arial" w:cs="Arial" w:eastAsia="Arial" w:hAnsi="Arial"/>
          <w:sz w:val="16"/>
          <w:szCs w:val="16"/>
          <w:color w:val="auto"/>
        </w:rPr>
        <w:t>: Timely assessment of patient-specific prognosis is critical to oncology care, however clinical prognostic</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traditionally used in NSCLC treatment have limitations. This meta-analysis study examined the prognostic performance of VeriStrat through a systematic literature review of 21 published studies. It was found that patients who test as VeriStrat Poor, on average, have an overall survival that is less than half of those who test as VeriStrat Good, independent of treatment type and line of therapy, demonstrating that the test is strongly prognostic. Conversely, patients with a VeriStrat Good test result typically respond better to standard of care treatments than those patients that test as VeriStrat Poor. The robust prognostic performance of VeriStrat has clinical implications for patient and physician shared decision-making and potential for the introduction of novel treatment strategies.</w:t>
      </w:r>
    </w:p>
    <w:p>
      <w:pPr>
        <w:spacing w:after="0" w:line="71" w:lineRule="exact"/>
        <w:rPr>
          <w:rFonts w:ascii="Arial" w:cs="Arial" w:eastAsia="Arial" w:hAnsi="Arial"/>
          <w:sz w:val="16"/>
          <w:szCs w:val="16"/>
          <w:color w:val="auto"/>
        </w:rPr>
      </w:pPr>
    </w:p>
    <w:p>
      <w:pPr>
        <w:ind w:left="1000" w:right="220" w:hanging="547"/>
        <w:spacing w:after="0" w:line="275"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Mitchell BR, J Clin Oncol, 2020</w:t>
      </w:r>
      <w:r>
        <w:rPr>
          <w:rFonts w:ascii="Arial" w:cs="Arial" w:eastAsia="Arial" w:hAnsi="Arial"/>
          <w:sz w:val="17"/>
          <w:szCs w:val="17"/>
          <w:color w:val="auto"/>
        </w:rPr>
        <w:t>: Recently, we published data at the American Society of Clinical Oncology 2020 virtual meeting on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analysis from the INSIGHT clinical study. The data suggest that blood-based VeriStrat testing can provide clinically significant information to predict outcomes and guide treatment choices made by physicians for patients with advanced NSCLC who are eligible for immune checkpoint inhibitor therapy. Specifically, the study identified that patients who have tumors that express PD-L1 greater than 50% and have a VeriStrat Poor result should not be treated with immunotherapy alone.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Biodesix WorkSafe COVID-19 Testing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FDA EUA Authorization—All acceptance criteria for the performance verification of the Bio-Rad SARS-CoV-2 ddPCR test were fulfilled. The sample size used for the clinical evaluation study of the test was 60, and included 30 negative specimens and 30 positive contrived specimens per FDA EUA guidance. Specifically, verification of accuracy revealed 100% agreement with the reference result. An additional study was performed to confirm our first 5 positive and first 5 negative clinical specimens relative to an external laboratory with an orthogonal EUA test. Data from this study demonstrated 100% concordance.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Here we highlight an overview of one of the recent publications on ddPCR testing for SARS-CoV-2:</w:t>
      </w:r>
    </w:p>
    <w:p>
      <w:pPr>
        <w:spacing w:after="0" w:line="131" w:lineRule="exact"/>
        <w:rPr>
          <w:sz w:val="20"/>
          <w:szCs w:val="20"/>
          <w:color w:val="auto"/>
        </w:rPr>
      </w:pPr>
    </w:p>
    <w:p>
      <w:pPr>
        <w:ind w:left="100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Suo T, Emerging Microbes &amp; Infections, 2020: </w:t>
      </w:r>
      <w:r>
        <w:rPr>
          <w:rFonts w:ascii="Arial" w:cs="Arial" w:eastAsia="Arial" w:hAnsi="Arial"/>
          <w:sz w:val="18"/>
          <w:szCs w:val="18"/>
          <w:color w:val="auto"/>
        </w:rPr>
        <w:t>Quantitative real time PCR (RT-PCR) is widely used as the gold standard for clinical detection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SARS-CoV-2. However, due to the low viral load specimens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and the limitations of RT-PCR, significant numbers of false negative reports are inevitable, which results in failure to timely diagnose, cut off transmission, and assess discharge criteria. To improve this situation, an independently developed optimized ddPCR was used for detection of SARS-CoV-2, which showed that the limit of detection of ddPCR is significantly lower than that of RT-PCR. Results showed that the ddPCR test demonstrated 95% accuracy vs. 47% for other “bulk” RT-PCR technologies used in other molecular tests. Results from this publication were prior to the Bio-Rad SARS-CoV-2 ddPCR assay receiving FDA EUA and reported results derived from independently developed testing from a different ddPCR testing product than the Bio-Rad SARS-CoV-2 ddPCR test.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FDA EUA Authorization—All acceptance criteria for the performance verification of the Platelia SARS-CoV-2 Total Ab test were fulfilled. The test is intended for the qualitative detection of total anti-SARS-CoV-2 nucleocapsid antibodies (IgG, IgM and IgA) in human serum or plasma specimens. The sample size used for the clinical evaluation study of the test was 40, and included 20 negative specimens and 20 positive clinical specimens. Specifically, verification of accuracy revealed 100% agreement with the reference result. Additionally, precision was evaluated and found to be comparable to that reported by the manufacturer within-run, between-day, between-instrument and between-operator. Finally, all confirmed negative specimens tested were within the reference interval. The sensitivity is 98% (49/50) (95% confidence interval (89.5%-99.7%)) and specificity is 99.3% (596/600) (95% confidence interval (98.3%-99.7%)) eight days after the onset of symptoms.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believe every patient deserves a personalized approach to improve their care. Our objective is to empower physicians with swift, comprehensive, and actionable insights to help address clinical questions across lung disease. The following are case studies provided by our customers from their real-world experience with our diagnostic tests.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#1: Catching Cancer Earlier with Nodify CDT</w:t>
      </w:r>
    </w:p>
    <w:p>
      <w:pPr>
        <w:spacing w:after="0" w:line="113" w:lineRule="exact"/>
        <w:rPr>
          <w:sz w:val="20"/>
          <w:szCs w:val="20"/>
          <w:color w:val="auto"/>
        </w:rPr>
      </w:pPr>
    </w:p>
    <w:p>
      <w:pPr>
        <w:ind w:left="460" w:right="40" w:firstLine="431"/>
        <w:spacing w:after="0" w:line="261"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Appropriate management of patients with incidentally discovered lung nodules must balance between the need to identify malignant</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earlier and the potential harm of invasive procedures, while keeping patient preferences in consideration. In this case, a 90% post-Nodify CDT risk of malignancy result led to a decision change by the physician and patient to proceed with an invasive diagnostic workup, which led to an earlier diagnosis of stage IA lung cancer.</w:t>
      </w:r>
    </w:p>
    <w:p>
      <w:pPr>
        <w:spacing w:after="0" w:line="72" w:lineRule="exact"/>
        <w:rPr>
          <w:sz w:val="20"/>
          <w:szCs w:val="20"/>
          <w:color w:val="auto"/>
        </w:rPr>
      </w:pPr>
    </w:p>
    <w:p>
      <w:pPr>
        <w:ind w:left="460" w:firstLine="431"/>
        <w:spacing w:after="0" w:line="292" w:lineRule="auto"/>
        <w:rPr>
          <w:sz w:val="20"/>
          <w:szCs w:val="20"/>
          <w:color w:val="auto"/>
        </w:rPr>
      </w:pPr>
      <w:r>
        <w:rPr>
          <w:rFonts w:ascii="Arial" w:cs="Arial" w:eastAsia="Arial" w:hAnsi="Arial"/>
          <w:sz w:val="16"/>
          <w:szCs w:val="16"/>
          <w:b w:val="1"/>
          <w:bCs w:val="1"/>
          <w:color w:val="auto"/>
        </w:rPr>
        <w:t>Case Background</w:t>
      </w:r>
      <w:r>
        <w:rPr>
          <w:rFonts w:ascii="Arial" w:cs="Arial" w:eastAsia="Arial" w:hAnsi="Arial"/>
          <w:sz w:val="16"/>
          <w:szCs w:val="16"/>
          <w:color w:val="auto"/>
        </w:rPr>
        <w:t>: A 64-year-old female presented for medical attention after falling on her right side. A chest X-ray showing a spot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lung and subsequent CT scan identified a spiculated (nodule edge characteristic), 10 mm lung nodule in the patient’s right upper lobe. Based on her clinical risk factors and nodule characteristics, a 39% risk of malignancy was determined by the Solitary Pulmonary Nodule Calculator. At this estimated risk, the patient was not comfortable with any invasive diagnostic procedures but was willing to undergo a follow-up PET/CT scan and a blood draw for Nodify Lung testing. PET/CT results had a standard uptake value (SUV) of 3.3, which is not a strong indicator of benign or malignant disease. The patient’s Nodify CDT post-test risk of malignancy was 90%. Through shared decision making based on the test results, the patient proceeded with a biopsy, which was diagnosed as cancerous. Early detection identified the patient as a candidate for a potentially curative procedure.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#2: Avoiding Unnecessary Procedures with Nodify XL2</w:t>
      </w:r>
    </w:p>
    <w:p>
      <w:pPr>
        <w:spacing w:after="0" w:line="113" w:lineRule="exact"/>
        <w:rPr>
          <w:sz w:val="20"/>
          <w:szCs w:val="20"/>
          <w:color w:val="auto"/>
        </w:rPr>
      </w:pPr>
    </w:p>
    <w:p>
      <w:pPr>
        <w:jc w:val="both"/>
        <w:ind w:left="460" w:right="420" w:firstLine="431"/>
        <w:spacing w:after="0" w:line="266"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Traditional diagnostic risk assessment and testing indicated that this patient had a higher risk of malignancy, but because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health condition, a biopsy was not preferred. A 6% post-Nodify XL2 risk of malignancy result led the physician and patient to make a shared decision to monitor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720"/>
        <w:spacing w:after="0" w:line="308" w:lineRule="auto"/>
        <w:rPr>
          <w:sz w:val="20"/>
          <w:szCs w:val="20"/>
          <w:color w:val="auto"/>
        </w:rPr>
      </w:pPr>
      <w:r>
        <w:rPr>
          <w:rFonts w:ascii="Arial" w:cs="Arial" w:eastAsia="Arial" w:hAnsi="Arial"/>
          <w:sz w:val="17"/>
          <w:szCs w:val="17"/>
          <w:color w:val="auto"/>
        </w:rPr>
        <w:t>nodule with a short-term follow-up CT. The follow-up CT demonstrated a reduction in size, indicating a benign diagnosis. Blood-based risk classification provided additional information that enabled a decision to avoid an unnecessary invasive procedure.</w:t>
      </w:r>
    </w:p>
    <w:p>
      <w:pPr>
        <w:spacing w:after="0" w:line="34" w:lineRule="exact"/>
        <w:rPr>
          <w:sz w:val="20"/>
          <w:szCs w:val="20"/>
          <w:color w:val="auto"/>
        </w:rPr>
      </w:pPr>
    </w:p>
    <w:p>
      <w:pPr>
        <w:ind w:left="460" w:right="100" w:firstLine="431"/>
        <w:spacing w:after="0" w:line="254"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74-year-old male with severe chronic obstructive pulmonary disease (COPD) presented for medical evaluation.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pulmonary function tests showed severe obstruction. A CT scan was completed for evaluation for candidacy of procedure which revealed a spiculated 10 mm nodule in the patient’s left upper lobe. The pre-test risk of malignancy with the Solitary Pulmonary Nodule Calculator was calculated as 49%, however biopsy was not a preferred option due to the patient’s poor pulmonary function and the difficult location of the lung nodule. The Nodify XL2 test was ordered and returned a result of Likely Benign, with a 6% post-Nodify XL2 risk of malignancy. Subsequent PET/CT imaging showed SUV of 7.0, which is concerning for a lung malignancy. Based upon the Nodify XL2 results and patient preference, a wait and watch approach with repeat chest imaging was pursued. A repeat CT scan demonstrated a reduction in size of the nodule to 7 mm, indicating an inflammatory or benign etiology.</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#3: Biodesix Lung Reflex Results Changed Patient’s Cancer Treatment Plan</w:t>
      </w:r>
    </w:p>
    <w:p>
      <w:pPr>
        <w:spacing w:after="0" w:line="113" w:lineRule="exact"/>
        <w:rPr>
          <w:sz w:val="20"/>
          <w:szCs w:val="20"/>
          <w:color w:val="auto"/>
        </w:rPr>
      </w:pPr>
    </w:p>
    <w:p>
      <w:pPr>
        <w:ind w:left="460" w:right="40" w:firstLine="431"/>
        <w:spacing w:after="0" w:line="294" w:lineRule="auto"/>
        <w:rPr>
          <w:sz w:val="20"/>
          <w:szCs w:val="20"/>
          <w:color w:val="auto"/>
        </w:rPr>
      </w:pPr>
      <w:r>
        <w:rPr>
          <w:rFonts w:ascii="Arial" w:cs="Arial" w:eastAsia="Arial" w:hAnsi="Arial"/>
          <w:sz w:val="16"/>
          <w:szCs w:val="16"/>
          <w:b w:val="1"/>
          <w:bCs w:val="1"/>
          <w:color w:val="auto"/>
        </w:rPr>
        <w:t>Outcome</w:t>
      </w:r>
      <w:r>
        <w:rPr>
          <w:rFonts w:ascii="Arial" w:cs="Arial" w:eastAsia="Arial" w:hAnsi="Arial"/>
          <w:sz w:val="16"/>
          <w:szCs w:val="16"/>
          <w:color w:val="auto"/>
        </w:rPr>
        <w:t>: It is important for physicians to have a holistic view of each patient’s dynamic disease state to make more informed patient care</w:t>
      </w:r>
      <w:r>
        <w:rPr>
          <w:rFonts w:ascii="Arial" w:cs="Arial" w:eastAsia="Arial" w:hAnsi="Arial"/>
          <w:sz w:val="16"/>
          <w:szCs w:val="16"/>
          <w:b w:val="1"/>
          <w:bCs w:val="1"/>
          <w:color w:val="auto"/>
        </w:rPr>
        <w:t xml:space="preserve"> </w:t>
      </w:r>
      <w:r>
        <w:rPr>
          <w:rFonts w:ascii="Arial" w:cs="Arial" w:eastAsia="Arial" w:hAnsi="Arial"/>
          <w:sz w:val="16"/>
          <w:szCs w:val="16"/>
          <w:color w:val="auto"/>
        </w:rPr>
        <w:t>decisions. Prior to receiving Biodesix Lung Reflex results, the physician was considering putting the patient on single agent immunotherapy due to her high PD-L1 expression status and potential for less treatment-related adverse events. The patient’s GeneStrat result came back negative for driver mutations, indicating to the physician that the patient was eligible for immunotherapy regimens. However, the patient’s VeriStrat Poor result identified the need to expedite time to treatment and be more aggressive, leading to the physician changing his initial treatment recommendation to a combination immunotherapy and chemotherapy regimen. The patient has been alive for over 18 months.</w:t>
      </w:r>
    </w:p>
    <w:p>
      <w:pPr>
        <w:spacing w:after="0" w:line="52" w:lineRule="exact"/>
        <w:rPr>
          <w:sz w:val="20"/>
          <w:szCs w:val="20"/>
          <w:color w:val="auto"/>
        </w:rPr>
      </w:pPr>
    </w:p>
    <w:p>
      <w:pPr>
        <w:ind w:left="460" w:firstLine="431"/>
        <w:spacing w:after="0" w:line="255"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55-year-old female presented to the clinic with a cough, fever, and chest pain. The patient was a former smoker who had</w:t>
      </w:r>
      <w:r>
        <w:rPr>
          <w:rFonts w:ascii="Arial" w:cs="Arial" w:eastAsia="Arial" w:hAnsi="Arial"/>
          <w:sz w:val="18"/>
          <w:szCs w:val="18"/>
          <w:b w:val="1"/>
          <w:bCs w:val="1"/>
          <w:color w:val="auto"/>
        </w:rPr>
        <w:t xml:space="preserve"> </w:t>
      </w:r>
      <w:r>
        <w:rPr>
          <w:rFonts w:ascii="Arial" w:cs="Arial" w:eastAsia="Arial" w:hAnsi="Arial"/>
          <w:sz w:val="18"/>
          <w:szCs w:val="18"/>
          <w:color w:val="auto"/>
        </w:rPr>
        <w:t>quit over a year ago. Imaging identified multiple lung lesions and metastases, including in the brain, and was staged as stage IV adenocarcinoma. The physician advised the patient of her potential eligibility for single agent immunotherapy based on her high PD-L1 expression status (PD-L1&gt;50%), but wanted to order molecular testing to confirm. A blood sample was collected for Biodesix Lung Reflex testing. The GeneStrat test result was mutation negative and the VeriStrat test result was Poor. The VeriStrat results lead to the physician changing his initial treatment recommendation to a more aggressive combination immunotherapy and chemotherapy regimen, which has been successful for the patient who has been alive for over 18 months.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#4: First Do No Harm – Biodesix Lung Reflex Supports Shared Decision Making</w:t>
      </w:r>
    </w:p>
    <w:p>
      <w:pPr>
        <w:spacing w:after="0" w:line="113" w:lineRule="exact"/>
        <w:rPr>
          <w:sz w:val="20"/>
          <w:szCs w:val="20"/>
          <w:color w:val="auto"/>
        </w:rPr>
      </w:pPr>
    </w:p>
    <w:p>
      <w:pPr>
        <w:ind w:left="460" w:firstLine="431"/>
        <w:spacing w:after="0" w:line="258"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Lung cancer is a deadly disease, and often patients with advanced disease on average live about 10 months. In this case, an elderly</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was diagnosed with advanced NSCLC, but was hesitant to receive further surgical procedures. This patient received the unfortunate combination of a VeriStrat Poor and a KRAS mutation. The results facilitated a conversation with the physician and the patient’s family regarding her overall poor prognosis and short estimated survival. The patient and family decided to pursue end-of-life palliative care, saving the patient from unnecessary procedures and adverse effects.</w:t>
      </w:r>
    </w:p>
    <w:p>
      <w:pPr>
        <w:spacing w:after="0" w:line="75" w:lineRule="exact"/>
        <w:rPr>
          <w:sz w:val="20"/>
          <w:szCs w:val="20"/>
          <w:color w:val="auto"/>
        </w:rPr>
      </w:pPr>
    </w:p>
    <w:p>
      <w:pPr>
        <w:ind w:left="460" w:firstLine="431"/>
        <w:spacing w:after="0" w:line="256"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92-year-old female presented with back and chest pain and recent difficulty breathing. The patient had also lost 8 to 10</w:t>
      </w:r>
      <w:r>
        <w:rPr>
          <w:rFonts w:ascii="Arial" w:cs="Arial" w:eastAsia="Arial" w:hAnsi="Arial"/>
          <w:sz w:val="18"/>
          <w:szCs w:val="18"/>
          <w:b w:val="1"/>
          <w:bCs w:val="1"/>
          <w:color w:val="auto"/>
        </w:rPr>
        <w:t xml:space="preserve"> </w:t>
      </w:r>
      <w:r>
        <w:rPr>
          <w:rFonts w:ascii="Arial" w:cs="Arial" w:eastAsia="Arial" w:hAnsi="Arial"/>
          <w:sz w:val="18"/>
          <w:szCs w:val="18"/>
          <w:color w:val="auto"/>
        </w:rPr>
        <w:t>pounds in recent weeks and had a productive cough. The patient had a 40 pack-year smoking history but had quit over 35 years prior. A PET/CT scan revealed metastatic disease with multiple brain metastases, leading to a diagnosis of stage IV lung cancer. The patient and her family were hesitant to proceed with an invasive procedure for further diagnosis and clinical staging to inform a treatment plan. Biodesix Lung Reflex testing was ordered to inform potential treatment pathways. The GeneStrat test result showed the patient was positive for a KRAS G12V mutation, implying a worse prognosis. Additionally, the VeriStrat test result was Poor.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Diagnostic Tests in Development</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With the goal of finding solutions for clinical unmet needs related to diagnosis, treatment and monitoring in lung disease, our diagnostic tests in development include the following: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Early Stage NSCLC—Risk of Recurrence</w:t>
      </w:r>
    </w:p>
    <w:p>
      <w:pPr>
        <w:spacing w:after="0" w:line="117"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neoadjuvant or adjuvant systemic treatment. With this information,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Late Stage NSCLC—Immunotherapy Treatment Guidance</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 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immune response to their cancer and stratify by who is likely to respond to ICI treatment.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Monitoring – Progression &amp; Resistance</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Arial" w:cs="Arial" w:eastAsia="Arial" w:hAnsi="Arial"/>
          <w:sz w:val="18"/>
          <w:szCs w:val="18"/>
          <w:i w:val="1"/>
          <w:iCs w:val="1"/>
          <w:color w:val="auto"/>
        </w:rPr>
        <w:t>EGFR</w:t>
      </w:r>
      <w:r>
        <w:rPr>
          <w:rFonts w:ascii="Arial" w:cs="Arial" w:eastAsia="Arial" w:hAnsi="Arial"/>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The following are our ongoing clinical studies for our diagnostic testing solutions.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320" w:top="459" w:right="3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ORACLE Registry Study (NCT03766958)</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ALTITUDE Clinical Utility Study (NCT04171492)</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First patient first visit is expected the second half of 2020. Phase 1 of the study with only Nodify XL2 is expected to enroll 500 patients. Phase 2 of the adaptive study design will include an open-label arm for Nodify CDT, which is aligned with our commercial testing algorithm.</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INSIGHT Observational Study (NCT03289780)</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INSIGHT observational study is designed to evaluate the real-world clinical utility and performance of the Biodesix Lung Reflex (GeneStrat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BEACON-Lung Clinical Study (Pending IRB Submission)</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IRB submission is planned for the second half of 2020.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9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Patients with pulmonary nodules are concentrated in this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184"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After a physician orders our tests, blood is collected either in the physician office or laboratory, third 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65"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For our Biodesix WorkSafe COVID-19 testing program, we have a dedicated outreach team that works with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support.</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The primary source of reimbursement for our tests in the United States is from third-party payers including government payers, such as Medicare, and commercial payers, such as insurance companies. For our COVID-19 testing program,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61" w:lineRule="exact"/>
        <w:rPr>
          <w:sz w:val="20"/>
          <w:szCs w:val="20"/>
          <w:color w:val="auto"/>
        </w:rPr>
      </w:pPr>
    </w:p>
    <w:p>
      <w:pPr>
        <w:jc w:val="both"/>
        <w:ind w:right="320" w:firstLine="449"/>
        <w:spacing w:after="0" w:line="311" w:lineRule="auto"/>
        <w:rPr>
          <w:sz w:val="20"/>
          <w:szCs w:val="20"/>
          <w:color w:val="auto"/>
        </w:rPr>
      </w:pPr>
      <w:r>
        <w:rPr>
          <w:rFonts w:ascii="Arial" w:cs="Arial" w:eastAsia="Arial" w:hAnsi="Arial"/>
          <w:sz w:val="16"/>
          <w:szCs w:val="16"/>
          <w:color w:val="auto"/>
        </w:rPr>
        <w:t>Under the Families First Coronavirus Response Act (FFCRA) and Coronavirus Aid, Relief, and Economic Security (CARES) Act,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124"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Department of Health &amp; Human Services (HHS) has indicated in guidance that the coverage requirements of the FFCRA and CARES can apply both to infection and serological testing, but that they are only applicable to testing that is “diagnostic,” which “may 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Biodesix SARS-CoV-2 ddPCR test and the Biodesix Platelia SARS-CoV-2 Total AB test when performed for diagnostic purposes. In some cases, we submit claims to insurance payers for the Biodesix SARS-CoV-2 ddPCR test and/or the Biodesix Platelia SARS-CoV-2 Total AB test. In these cases, insurance payers may have a different position on the scope of mandatory coverage of our tests under the FFCRA and CARES. More commonly, we enter into arrangements with clients under which the client pays us directly for testing.</w:t>
      </w:r>
    </w:p>
    <w:p>
      <w:pPr>
        <w:spacing w:after="0" w:line="18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payment rate for the Biodesix SARS-CoV-2 ddPCR test and the Biodesix Platelia SARS-CoV-2 Total AB test depends on the payer. We bill for the Biodesix SARS-CoV-2 ddPCR test using the Healthcare Common Procedure Coding System (HCPCS) code U0003 (Infectious agent detection by nucleic acid (DNA or RNA); severe acute respiratory syndrome coronavirus 2 (SARS-CoV-2) (Coronavirus disease [COVID-19]), 2 amplified probe technique, making use of high throughput technologies as described by CMS-2020-01-R). Medicare has established a payment rate of $100 for U0003. We bill for the Biodesix Platelia SARS-CoV-2 Total AB test using HCPCS code 86769 (Antibody; severe acute respiratory syndrome coronavirus 2 (SAR-CoV-2). Medicare has established a payment rate of $42.13 for 86769. These payment rates may be subject to change effective January 1, 2021, under Medicare’s annual basis of payment determination process for new or substantially revised HCPCS codes. When covered under the FFCRA and CARES, commercial insurance payers must make payment for the Biodesix SARS-CoV-2 ddPCR test and the Biodesix Platelia SARS-CoV-2 Total AB test at the cash price for the test listed by us on our website or at a lower negotiated rate. When entering into arrangements with clients under which the client pays us directly for testing, we and the client negotiate a payment rate for the test.</w:t>
      </w:r>
    </w:p>
    <w:p>
      <w:pPr>
        <w:spacing w:after="0" w:line="18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Compliance with applicable laws and regulations, as well as internal compliance policies and procedures adds complexity to the billing process. The CMS are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CPT codes, as defined by the American Medical Association. For some of the tests we conduct, there may not be a specific CPT or HCPCS code, in which case the test may be billed under a miscellaneous code for an unlisted molecular pathology procedure or unlisted multiple analyte assay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Payers</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Medicare is limited to items and services that are within the scope of a Medicare benefit category and that are reasonable and necessary for the diagnosis and treatment of an illness or an injury. Medicare develops National Coverage Determinations (NCDs) and Local Coverage Determinations (LCDs), setting forth additional requirements for coverage for tests such as ours using an evidence-based coverage process with opportunity for public participation. Median age at diagnosis for lung cancer is 71 years old; therefore the Medicare eligible population represents approximately 60-65 % of the addressable market in lung cancer.</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320" w:top="459"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 xml:space="preserve">Novitas Solutions, the MAC responsible for developing coverage policies for tests performed in the region that includes our Boulder, Colorado clinical laboratory, issued a final LCD </w:t>
      </w:r>
      <w:r>
        <w:rPr>
          <w:rFonts w:ascii="Arial" w:cs="Arial" w:eastAsia="Arial" w:hAnsi="Arial"/>
          <w:sz w:val="18"/>
          <w:szCs w:val="18"/>
          <w:i w:val="1"/>
          <w:iCs w:val="1"/>
          <w:color w:val="auto"/>
        </w:rPr>
        <w:t>Biomarkers for Oncology</w:t>
      </w:r>
      <w:r>
        <w:rPr>
          <w:rFonts w:ascii="Arial" w:cs="Arial" w:eastAsia="Arial" w:hAnsi="Arial"/>
          <w:sz w:val="18"/>
          <w:szCs w:val="18"/>
          <w:color w:val="auto"/>
        </w:rPr>
        <w:t xml:space="preserve"> (L35396) that included coverage for the VeriStrat test on October 1, 2015 (most recently revised effective July 1, 2020). This policy provides coverage for patients with non-small cell lung cancer whose </w:t>
      </w:r>
      <w:r>
        <w:rPr>
          <w:rFonts w:ascii="Arial" w:cs="Arial" w:eastAsia="Arial" w:hAnsi="Arial"/>
          <w:sz w:val="18"/>
          <w:szCs w:val="18"/>
          <w:i w:val="1"/>
          <w:iCs w:val="1"/>
          <w:color w:val="auto"/>
        </w:rPr>
        <w:t>EGFR</w:t>
      </w:r>
      <w:r>
        <w:rPr>
          <w:rFonts w:ascii="Arial" w:cs="Arial" w:eastAsia="Arial" w:hAnsi="Arial"/>
          <w:sz w:val="18"/>
          <w:szCs w:val="18"/>
          <w:color w:val="auto"/>
        </w:rPr>
        <w:t xml:space="preserve"> gene mutation status is either wild type (negative) or mutation status unknown. The </w:t>
      </w:r>
      <w:r>
        <w:rPr>
          <w:rFonts w:ascii="Arial" w:cs="Arial" w:eastAsia="Arial" w:hAnsi="Arial"/>
          <w:sz w:val="18"/>
          <w:szCs w:val="18"/>
          <w:i w:val="1"/>
          <w:iCs w:val="1"/>
          <w:color w:val="auto"/>
        </w:rPr>
        <w:t>Biomarkers for Oncology</w:t>
      </w:r>
      <w:r>
        <w:rPr>
          <w:rFonts w:ascii="Arial" w:cs="Arial" w:eastAsia="Arial" w:hAnsi="Arial"/>
          <w:sz w:val="18"/>
          <w:szCs w:val="18"/>
          <w:color w:val="auto"/>
        </w:rPr>
        <w:t xml:space="preserve"> LCD also includes coverage for the genes in the GeneStrat test for patients with non-small cell lung cancer.</w:t>
      </w:r>
    </w:p>
    <w:p>
      <w:pPr>
        <w:spacing w:after="0" w:line="188"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Palmetto GBA, the MAC responsible for administering the molecular diagnostics services program covering many other regions of the United States including the De Soto, Kansas clinical laboratory, issued a positive coverage LCD for the Nodify XL2 test, known under the generic name BDX-XL2 (L37031), effective July 10, 2017 (most recently revised effective October 24, 2019). The test is covered for patients who are 40 years or older, have a suspicious pulmonary nodule between 8 and 30mm, and have a pre-test risk of cancer of equal to or less than 50% as assessed by the Solitary Pulmonary Nodule Malignancy Risk calculator (Mayo Clinic). There is currently no Medicare coverage, and as a result, no Medicare reimbursement, for the Nodify CDT test, but we are actively engaged in efforts to gain such coverage and reimbursement by Medicare.</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tests and those like ours are typically paid by Medicare Part B under the Clinical Laboratory Fee Schedule (CLFS). In April 2014, Congress passed the Protecting Access to Medicare Act of 2014 (PAMA) which included changes to how prices are assigned to billing codes used to identify these tests. Under PAMA, entities who receive a majority of their Medicare payments under that CLFS or the Physician Fee Schedule are required to report private payer payment rates and volumes every three years, or every year for tests with the Advanced Diagnostic Laboratory Test (ADLT) designation. CMS calculates a weighted median rate for each code, which establishes the Medicare CLFS reimbursement rate for the subsequent three years, or one year for ADLTs.</w:t>
      </w:r>
    </w:p>
    <w:p>
      <w:pPr>
        <w:spacing w:after="0" w:line="19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On December 21, 2018, CMS determined that VeriStrat met the criteria for an “existing ADLT,” meaning an advanced test that was paid on the CLFS prior to January 1, 2018. Assignment of this status meant that beginning on January 1, 2020, the reimbursement rate assigned to the code used to identify VeriStrat would be set annually. Data collected from January to June of 2018 was reported to CMS in the first quarter of 2019 and set the rate of $2,871 for calendar year 2020, representing no change from the rate paid for VeriStrat for calendar year 2019. Data collected from January to June 2019 was reported in the first quarter of 2020 that will be used to set the rate for calendar year 2021.</w:t>
      </w:r>
    </w:p>
    <w:p>
      <w:pPr>
        <w:spacing w:after="0" w:line="176"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On May 17, 2019, CMS determined that Nodify XL2 met the criteria for “new ADLT” status. From July 1, 2019 through March 31, 2020, Medicare paid the list price of $3,520. During the period from July 2019 to November 2019, we collected the required commercial payment data and reported to CMS in December 2019. The data from this period was used to set the payment rate for the test from April 1, 2020 through December 31, 2021, which remains priced at $3,520. The rate for 2022 will be set based on data collected in the first half of 2020 and reported in the first quarter of 2021.</w:t>
      </w:r>
    </w:p>
    <w:p>
      <w:pPr>
        <w:spacing w:after="0" w:line="157" w:lineRule="exact"/>
        <w:rPr>
          <w:sz w:val="20"/>
          <w:szCs w:val="20"/>
          <w:color w:val="auto"/>
        </w:rPr>
      </w:pPr>
    </w:p>
    <w:p>
      <w:pPr>
        <w:jc w:val="both"/>
        <w:ind w:right="380" w:firstLine="449"/>
        <w:spacing w:after="0" w:line="311" w:lineRule="auto"/>
        <w:rPr>
          <w:sz w:val="20"/>
          <w:szCs w:val="20"/>
          <w:color w:val="auto"/>
        </w:rPr>
      </w:pPr>
      <w:r>
        <w:rPr>
          <w:rFonts w:ascii="Arial" w:cs="Arial" w:eastAsia="Arial" w:hAnsi="Arial"/>
          <w:sz w:val="16"/>
          <w:szCs w:val="16"/>
          <w:color w:val="auto"/>
        </w:rPr>
        <w:t>Medicare Advantage plans, which are an alternative to original Medicare and are offered by private companies, such as commercial payers, also cover and reimburse our products. Medicare Advantage plans must provide at least the same level of coverage for Medicare beneficiaries as traditional Medicare; however, reimbursement for our tests by Medicare Advantage plans can depend on our contracts with each plan.</w:t>
      </w:r>
    </w:p>
    <w:p>
      <w:pPr>
        <w:spacing w:after="0" w:line="149" w:lineRule="exact"/>
        <w:rPr>
          <w:sz w:val="20"/>
          <w:szCs w:val="20"/>
          <w:color w:val="auto"/>
        </w:rPr>
      </w:pPr>
    </w:p>
    <w:p>
      <w:pPr>
        <w:ind w:right="960" w:firstLine="449"/>
        <w:spacing w:after="0" w:line="277" w:lineRule="auto"/>
        <w:rPr>
          <w:sz w:val="20"/>
          <w:szCs w:val="20"/>
          <w:color w:val="auto"/>
        </w:rPr>
      </w:pPr>
      <w:r>
        <w:rPr>
          <w:rFonts w:ascii="Arial" w:cs="Arial" w:eastAsia="Arial" w:hAnsi="Arial"/>
          <w:sz w:val="18"/>
          <w:szCs w:val="18"/>
          <w:color w:val="auto"/>
        </w:rPr>
        <w:t>State-based Medicaid and Managed Medicaid plans offered by private companies such as commercial payers, have limited coverage and reimbursement of our products. Payment by Managed Medicaid is also dependent on our contracts with each plan.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Commercial Third-Party Payers</w:t>
      </w:r>
    </w:p>
    <w:p>
      <w:pPr>
        <w:spacing w:after="0" w:line="11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We are actively engaged in efforts to achieve broad coverage and adequate reimbursement for all of our marketed tests. Reimbursement from commercial payers differs depending on if they have established coverage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if we are contracted as a “participating provider” or do not have a contract and are considered a “non-participating provider.” Approval of a claim is dependent on coverage, and reimbursement rate and timing of payment is based on the terms of or presence of a contract. When we are not reimbursed in full or at all, we may submit appeals of the denial or underpayment or seek payment from the patient. However, insurance appeal and patient collection efforts take a substantial amount of time and can have varying levels of success.</w:t>
      </w:r>
    </w:p>
    <w:p>
      <w:pPr>
        <w:spacing w:after="0" w:line="187" w:lineRule="exact"/>
        <w:rPr>
          <w:sz w:val="20"/>
          <w:szCs w:val="20"/>
          <w:color w:val="auto"/>
        </w:rPr>
      </w:pPr>
    </w:p>
    <w:p>
      <w:pPr>
        <w:jc w:val="both"/>
        <w:ind w:right="140" w:firstLine="449"/>
        <w:spacing w:after="0" w:line="342" w:lineRule="auto"/>
        <w:rPr>
          <w:sz w:val="20"/>
          <w:szCs w:val="20"/>
          <w:color w:val="auto"/>
        </w:rPr>
      </w:pPr>
      <w:r>
        <w:rPr>
          <w:rFonts w:ascii="Arial" w:cs="Arial" w:eastAsia="Arial" w:hAnsi="Arial"/>
          <w:sz w:val="16"/>
          <w:szCs w:val="16"/>
          <w:color w:val="auto"/>
        </w:rPr>
        <w:t>We bill for the VeriStrat and Nodify XL2 tests using test specific CPT codes—81538 and 0080U, respectively. The GeneStrat test is billed based on the genes that are ordered by the physician using the existing molecular pathology codes. The Nodify CDT test is billed using the unlisted MAAA code.</w:t>
      </w:r>
    </w:p>
    <w:p>
      <w:pPr>
        <w:spacing w:after="0" w:line="124"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With the evolution of genomic testing, individual commercial third-party payers’ medical coverage policies around the CPT codes we bill and their associated payment rates have changed over time, resulting in changes to our reimbursement revenues. We believe all of our products provide significant clinical value and reduction in downstream healthcare spend, as evidenced in research studies and clinical publications, which we believe will continue to support and drive third-party payer reimbursement.</w:t>
      </w:r>
    </w:p>
    <w:p>
      <w:pPr>
        <w:spacing w:after="0" w:line="18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strategy includes educating commercial third-party payers and evidence review organizations regarding our strong clinical data, which we believe validates the value of our tests and will eventually result in more commercial third-party payers covering our tests. The VeriStrat test is covered by many private payers including Aetna, Cigna, Humana, and various Blue Cross Blue Shield plans. We are actively engaged with private payers to expand coverage and contracting for all of our marketed tests.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121"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Diagnosis—Nodule Management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Prognosis, Treatment Guidance and Monitoring—NSCLC</w:t>
      </w:r>
    </w:p>
    <w:p>
      <w:pPr>
        <w:spacing w:after="0" w:line="117"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We are unaware of any other diagnostic test available, commercially or in development, that will compete with our VeriStrat immune profiling test. There is substantial interest and activity in tumor profiling through liquid biopsy. Our genomic test offering, GeneStrat, faces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 Testing</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believe that our competitors include national and state laboratories,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Biopharmaceutical Diagnostic Discovery, Development &amp; Testing Services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Laboratory Operations</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perform the VeriStrat, GeneStrat, and COVID-19 ddPCR tests in our Boulder, Colorado clinical laboratory. The laboratory is CAP-accredited, CLIA-certified, New York Department of Health (NYSDOH)— 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 and we believe our existing workflows will continue to successfully deliver our tests within this timeframe.</w:t>
      </w:r>
    </w:p>
    <w:p>
      <w:pPr>
        <w:spacing w:after="0" w:line="17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Nodify XL2, Nodify CDT, and COVID-19 complete antibody tests are performed in our De Soto, Kansas clinical laboratory. This clinical laboratory is CLIA-certified, COLA-accredited, New York Department of Health—permitted and licensed, and licensed by California, Maryland, Pennsylvania, and Rhode Island. Efforts are underway with the NYSDOH to become permitted and licensed to perform Nodify XL2 and Nodify CDT testing for samples from the state of New York.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 and we believe our existing workflows will continue to successfully deliver our tests within this timeframe.</w:t>
      </w:r>
    </w:p>
    <w:p>
      <w:pPr>
        <w:spacing w:after="0" w:line="19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Personnel in both facilities are responsible for quality assurance oversight, licensing, and regulation compliance and maintenance to ensure data integrity and consistent, validated processes.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as described below, is the sole source supplier for our GeneStrat test and COVID-19 diagnostic and antibody testing program. Oncimmune is also the sole source supplier for our Nodify CDT tests but there are known secondary suppliers for these materials. We have initiated the second source qualification process for the majority of these critical components.</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 CoV-2 tests until alternatives could be validated.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all tests for the next 24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9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have invested heavily in the protection of our key assets, namely the VeriStrat</w:t>
      </w:r>
      <w:r>
        <w:rPr>
          <w:rFonts w:ascii="Arial" w:cs="Arial" w:eastAsia="Arial" w:hAnsi="Arial"/>
          <w:sz w:val="14"/>
          <w:szCs w:val="14"/>
          <w:color w:val="auto"/>
        </w:rPr>
        <w:t>®</w:t>
      </w:r>
      <w:r>
        <w:rPr>
          <w:rFonts w:ascii="Arial" w:cs="Arial" w:eastAsia="Arial" w:hAnsi="Arial"/>
          <w:sz w:val="17"/>
          <w:szCs w:val="17"/>
          <w:color w:val="auto"/>
        </w:rPr>
        <w:t xml:space="preserve"> and GeneStrat</w:t>
      </w:r>
      <w:r>
        <w:rPr>
          <w:rFonts w:ascii="Arial" w:cs="Arial" w:eastAsia="Arial" w:hAnsi="Arial"/>
          <w:sz w:val="14"/>
          <w:szCs w:val="14"/>
          <w:color w:val="auto"/>
        </w:rPr>
        <w:t>®</w:t>
      </w:r>
      <w:r>
        <w:rPr>
          <w:rFonts w:ascii="Arial" w:cs="Arial" w:eastAsia="Arial" w:hAnsi="Arial"/>
          <w:sz w:val="17"/>
          <w:szCs w:val="17"/>
          <w:color w:val="auto"/>
        </w:rPr>
        <w:t xml:space="preserve"> tests, and we acquired a patent portfolio relating to the Nodify XL2</w:t>
      </w:r>
      <w:r>
        <w:rPr>
          <w:rFonts w:ascii="Arial" w:cs="Arial" w:eastAsia="Arial" w:hAnsi="Arial"/>
          <w:sz w:val="14"/>
          <w:szCs w:val="14"/>
          <w:color w:val="auto"/>
        </w:rPr>
        <w:t>®</w:t>
      </w:r>
      <w:r>
        <w:rPr>
          <w:rFonts w:ascii="Arial" w:cs="Arial" w:eastAsia="Arial" w:hAnsi="Arial"/>
          <w:sz w:val="17"/>
          <w:szCs w:val="17"/>
          <w:color w:val="auto"/>
        </w:rPr>
        <w:t xml:space="preserve"> and CDT</w:t>
      </w:r>
      <w:r>
        <w:rPr>
          <w:rFonts w:ascii="Arial" w:cs="Arial" w:eastAsia="Arial" w:hAnsi="Arial"/>
          <w:sz w:val="14"/>
          <w:szCs w:val="14"/>
          <w:color w:val="auto"/>
        </w:rPr>
        <w:t>™</w:t>
      </w:r>
      <w:r>
        <w:rPr>
          <w:rFonts w:ascii="Arial" w:cs="Arial" w:eastAsia="Arial" w:hAnsi="Arial"/>
          <w:sz w:val="17"/>
          <w:szCs w:val="17"/>
          <w:color w:val="auto"/>
        </w:rPr>
        <w:t xml:space="preserve"> tests in our acquisitions of Integrated Diagnostics in June 2018, and of Oncimmune USA in October 2019 from Oncimmune Limited (Oncimmune). We own patents and patent applications as well as trade secrets relating to our products currently in development, collection device for whole blood,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Arial" w:cs="Arial" w:eastAsia="Arial" w:hAnsi="Arial"/>
          <w:sz w:val="14"/>
          <w:szCs w:val="14"/>
          <w:color w:val="auto"/>
        </w:rPr>
        <w:t>™</w:t>
      </w:r>
      <w:r>
        <w:rPr>
          <w:rFonts w:ascii="Arial" w:cs="Arial" w:eastAsia="Arial" w:hAnsi="Arial"/>
          <w:sz w:val="17"/>
          <w:szCs w:val="17"/>
          <w:color w:val="auto"/>
        </w:rPr>
        <w:t xml:space="preserve"> technology developed by Bio-Rad and which we employ in our GeneStrat test.</w:t>
      </w:r>
    </w:p>
    <w:p>
      <w:pPr>
        <w:spacing w:after="0" w:line="178"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Our patent strategy has focused on creating and acquiring protection for our VeriStrat and Nodify XL2 proteomic tests, while utilizing trade secret and some methods patent protection for our genomic test (the GeneStrat test)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For more information regarding this license and supply agreement, please see “—Material Agreements—Agreements with Bio-Rad.” Bio-Rad owns patents relating to ddPCR and to which we have a non-exclusive license to utilize for the performance of ddPCR in cancer detection testing for third parties as set forth in the Bio-Rad License Agreement. In addition, we have separately been granted permission by Bio-Rad to use the Bio-Rad SARS-CoV-2 ddPCR assay and Platelia SARS-CoV-2 Total Ab assay for commercial diagnostic services. For more information regarding the permission granted to us by Bio-Rad with respect to such tests, please see “Business—Material Agreements—Agreements with Bio-Rad.” We are unaware of patents owned by Bio-Rad relating to its COVID-19 antibody test but acknowledge that Bio-Rad has know-how and trade secrets relating to this assay.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w:t>
      </w:r>
      <w:r>
        <w:rPr>
          <w:rFonts w:ascii="Arial" w:cs="Arial" w:eastAsia="Arial" w:hAnsi="Arial"/>
          <w:sz w:val="14"/>
          <w:szCs w:val="14"/>
          <w:color w:val="auto"/>
        </w:rPr>
        <w:t>®</w:t>
      </w:r>
      <w:r>
        <w:rPr>
          <w:rFonts w:ascii="Arial" w:cs="Arial" w:eastAsia="Arial" w:hAnsi="Arial"/>
          <w:sz w:val="17"/>
          <w:szCs w:val="17"/>
          <w:color w:val="auto"/>
        </w:rPr>
        <w:t xml:space="preserve"> technologies and our approaches to using mass shot matrix-assisted laser desorption time of flight (MALDI-TOF) technology (DeepMALDI</w:t>
      </w:r>
      <w:r>
        <w:rPr>
          <w:rFonts w:ascii="Arial" w:cs="Arial" w:eastAsia="Arial" w:hAnsi="Arial"/>
          <w:sz w:val="14"/>
          <w:szCs w:val="14"/>
          <w:color w:val="auto"/>
        </w:rPr>
        <w:t>®</w:t>
      </w:r>
      <w:r>
        <w:rPr>
          <w:rFonts w:ascii="Arial" w:cs="Arial" w:eastAsia="Arial" w:hAnsi="Arial"/>
          <w:sz w:val="17"/>
          <w:szCs w:val="17"/>
          <w:color w:val="auto"/>
        </w:rPr>
        <w:t xml:space="preserve"> techniques). Additionally, our first device patent was issued in 2019 for our internally designed blood collection device.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As of September 21, 2020, our patent portfolio includes approximately 48 issued United States patents, 35 issued foreign patents, which includes 2 European patents that were nationalized in multiple European countries, and 37 pending applications (including 1 PCT applications and 22 foreign patent applications). With regard to our product development efforts, PCT applications have been filed around our risk of recurrence and primary immunoresistance tests.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 can be broken down into 5 categories:</w:t>
      </w:r>
    </w:p>
    <w:p>
      <w:pPr>
        <w:spacing w:after="0" w:line="131" w:lineRule="exact"/>
        <w:rPr>
          <w:sz w:val="20"/>
          <w:szCs w:val="20"/>
          <w:color w:val="auto"/>
        </w:rPr>
      </w:pPr>
    </w:p>
    <w:p>
      <w:pPr>
        <w:ind w:left="1000" w:hanging="372"/>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the VeriStrat and Nodify tests and uses of these tests;</w:t>
      </w:r>
    </w:p>
    <w:p>
      <w:pPr>
        <w:spacing w:after="0" w:line="130" w:lineRule="exact"/>
        <w:rPr>
          <w:rFonts w:ascii="Arial" w:cs="Arial" w:eastAsia="Arial" w:hAnsi="Arial"/>
          <w:sz w:val="18"/>
          <w:szCs w:val="18"/>
          <w:color w:val="auto"/>
        </w:rPr>
      </w:pPr>
    </w:p>
    <w:p>
      <w:pPr>
        <w:ind w:left="1000" w:right="840" w:hanging="372"/>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methods for developing classifiers using the Diagnostic Cortex and DeepMALDI technologies;</w:t>
      </w:r>
    </w:p>
    <w:p>
      <w:pPr>
        <w:spacing w:after="0" w:line="75" w:lineRule="exact"/>
        <w:rPr>
          <w:rFonts w:ascii="Arial" w:cs="Arial" w:eastAsia="Arial" w:hAnsi="Arial"/>
          <w:sz w:val="18"/>
          <w:szCs w:val="18"/>
          <w:color w:val="auto"/>
        </w:rPr>
      </w:pPr>
    </w:p>
    <w:p>
      <w:pPr>
        <w:ind w:left="1000" w:hanging="372"/>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currently in development;</w:t>
      </w:r>
    </w:p>
    <w:p>
      <w:pPr>
        <w:spacing w:after="0" w:line="130" w:lineRule="exact"/>
        <w:rPr>
          <w:rFonts w:ascii="Arial" w:cs="Arial" w:eastAsia="Arial" w:hAnsi="Arial"/>
          <w:sz w:val="18"/>
          <w:szCs w:val="18"/>
          <w:color w:val="auto"/>
        </w:rPr>
      </w:pPr>
    </w:p>
    <w:p>
      <w:pPr>
        <w:ind w:left="1000" w:hanging="372"/>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our novel blood collection device; and</w:t>
      </w:r>
    </w:p>
    <w:p>
      <w:pPr>
        <w:spacing w:after="0" w:line="130" w:lineRule="exact"/>
        <w:rPr>
          <w:rFonts w:ascii="Arial" w:cs="Arial" w:eastAsia="Arial" w:hAnsi="Arial"/>
          <w:sz w:val="18"/>
          <w:szCs w:val="18"/>
          <w:color w:val="auto"/>
        </w:rPr>
      </w:pPr>
    </w:p>
    <w:p>
      <w:pPr>
        <w:ind w:left="1000" w:hanging="372"/>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developed for our third-party partners.</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Pending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and United States non-provisional patent applications, if such PCT or United States non-provisional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95"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adjustment to the term of any of our patents. As a result, our owned and licensed patent portfolio may not provide us with sufficient rights to exclude others from commercializing products similar or identical to ours.</w:t>
      </w:r>
    </w:p>
    <w:p>
      <w:pPr>
        <w:spacing w:after="0" w:line="170"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71"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four of our commercial tests (namely the VeriStrat, GeneStrat, Nodify XL2 and Nodify CDT tests), and a suite of research tests (ImmunoStrat), as well as having trademark protection for our core development and methodological platforms, such as our Diagnostic Cortex and DeepMALDI technologies. In all, as of September 21, 2020, we have 20 uniquely registered United States trademarks 7 of which (including Biodesix, VeriStrat, and GeneStrat) have received foreign issuances as well. We will continue to pursue protection in the United States and abroad for our branded assets and will continue to use branding to protect products currently in development, key Biodesix developments and non-trade secret methodologies.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also rely on trade secrets, including know how, confidential information, unpatented technologies and other proprietary information, to</w:t>
      </w:r>
    </w:p>
    <w:p>
      <w:pPr>
        <w:spacing w:after="0" w:line="35" w:lineRule="exact"/>
        <w:rPr>
          <w:sz w:val="20"/>
          <w:szCs w:val="20"/>
          <w:color w:val="auto"/>
        </w:rPr>
      </w:pPr>
    </w:p>
    <w:p>
      <w:pPr>
        <w:ind w:right="20" w:firstLine="8"/>
        <w:spacing w:after="0" w:line="268" w:lineRule="auto"/>
        <w:tabs>
          <w:tab w:leader="none" w:pos="2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strengthen or enhance our competitive position, (2) protect and maintain aspects of our business that are not amenable to, or that we do not presently consider appropriate for, patent protection, and (3)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7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8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Clinical laboratory tests like our diagnostic tests are regulated under the CLIA and State law. The FDA regulates medical devices pursuant to the FDCA, including many diagnostic test kits, such as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in vitro clinical tests (IVCTs)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83" w:lineRule="exact"/>
        <w:rPr>
          <w:sz w:val="20"/>
          <w:szCs w:val="20"/>
          <w:color w:val="auto"/>
        </w:rPr>
      </w:pPr>
    </w:p>
    <w:p>
      <w:pPr>
        <w:ind w:left="1000" w:right="100" w:hanging="547"/>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July 9, 2012, Congress passed legislation in the FDASIA requiring the agency to notify the Committee on Health, Education, Labor, and Pensions and the House Committee on Energy and Commerce of its intent to regulate LDTs. This law, though enacted, had a 5-year sunset provision, meaning that FDA is no longer subject to this notification requirement.</w:t>
      </w:r>
    </w:p>
    <w:p>
      <w:pPr>
        <w:spacing w:after="0" w:line="89" w:lineRule="exact"/>
        <w:rPr>
          <w:rFonts w:ascii="Arial" w:cs="Arial" w:eastAsia="Arial" w:hAnsi="Arial"/>
          <w:sz w:val="18"/>
          <w:szCs w:val="18"/>
          <w:color w:val="auto"/>
        </w:rPr>
      </w:pPr>
    </w:p>
    <w:p>
      <w:pPr>
        <w:ind w:left="1000" w:hanging="547"/>
        <w:spacing w:after="0" w:line="255"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October 2014, the FDA issued two draft guidance documents: </w:t>
      </w:r>
      <w:r>
        <w:rPr>
          <w:rFonts w:ascii="Arial" w:cs="Arial" w:eastAsia="Arial" w:hAnsi="Arial"/>
          <w:sz w:val="18"/>
          <w:szCs w:val="18"/>
          <w:i w:val="1"/>
          <w:iCs w:val="1"/>
          <w:color w:val="auto"/>
        </w:rPr>
        <w:t>Framework for Regulatory Oversight of Laboratory Developed Tests</w:t>
      </w:r>
      <w:r>
        <w:rPr>
          <w:rFonts w:ascii="Arial" w:cs="Arial" w:eastAsia="Arial" w:hAnsi="Arial"/>
          <w:sz w:val="18"/>
          <w:szCs w:val="18"/>
          <w:color w:val="auto"/>
        </w:rPr>
        <w:t xml:space="preserve">, which provided an overview of how the FDA would regulate LDTs through a risk-based approach, and </w:t>
      </w:r>
      <w:r>
        <w:rPr>
          <w:rFonts w:ascii="Arial" w:cs="Arial" w:eastAsia="Arial" w:hAnsi="Arial"/>
          <w:sz w:val="18"/>
          <w:szCs w:val="18"/>
          <w:i w:val="1"/>
          <w:iCs w:val="1"/>
          <w:color w:val="auto"/>
        </w:rPr>
        <w:t>FDA Notification and Medical Device</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for Laboratory Developed Tests</w:t>
      </w:r>
      <w:r>
        <w:rPr>
          <w:rFonts w:ascii="Arial" w:cs="Arial" w:eastAsia="Arial" w:hAnsi="Arial"/>
          <w:sz w:val="18"/>
          <w:szCs w:val="18"/>
          <w:color w:val="auto"/>
        </w:rPr>
        <w:t>, which provided guidance on how the FDA intends to collect information on existing LDTs,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97"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75" w:lineRule="exact"/>
        <w:rPr>
          <w:rFonts w:ascii="Arial" w:cs="Arial" w:eastAsia="Arial" w:hAnsi="Arial"/>
          <w:sz w:val="18"/>
          <w:szCs w:val="18"/>
          <w:color w:val="auto"/>
        </w:rPr>
      </w:pPr>
    </w:p>
    <w:p>
      <w:pPr>
        <w:ind w:left="1000" w:right="220" w:hanging="547"/>
        <w:spacing w:after="0" w:line="259"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92"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March 2017, the draft Diagnostic Accuracy and Innovation Act (DAIA) was introduced and outlined a regulatory approach for IVCT tests, i.e., IVDs and LDTs, that was risk-based and flexible.</w:t>
      </w:r>
    </w:p>
    <w:p>
      <w:pPr>
        <w:spacing w:after="0" w:line="75"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April 2017, the FDA issued a document describing 20 case studies of LDTs that raised concerns about the safety and efficacy of this category of tests.</w:t>
      </w:r>
    </w:p>
    <w:p>
      <w:pPr>
        <w:spacing w:after="0" w:line="75" w:lineRule="exact"/>
        <w:rPr>
          <w:rFonts w:ascii="Arial" w:cs="Arial" w:eastAsia="Arial" w:hAnsi="Arial"/>
          <w:sz w:val="18"/>
          <w:szCs w:val="18"/>
          <w:color w:val="auto"/>
        </w:rPr>
      </w:pPr>
    </w:p>
    <w:p>
      <w:pPr>
        <w:ind w:left="1000" w:right="340" w:hanging="547"/>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89" w:lineRule="exact"/>
        <w:rPr>
          <w:rFonts w:ascii="Arial" w:cs="Arial" w:eastAsia="Arial" w:hAnsi="Arial"/>
          <w:sz w:val="18"/>
          <w:szCs w:val="18"/>
          <w:color w:val="auto"/>
        </w:rPr>
      </w:pPr>
    </w:p>
    <w:p>
      <w:pPr>
        <w:ind w:left="1000" w:right="40" w:hanging="547"/>
        <w:spacing w:after="0" w:line="273"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On October 31, 2018, the FDA issued its Safety Communication entitled “The FDA Warns Against the Use of Many Genetic Tests with Unapproved Claims to Predict Patient Response to Specific 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83" w:lineRule="exact"/>
        <w:rPr>
          <w:rFonts w:ascii="Arial" w:cs="Arial" w:eastAsia="Arial" w:hAnsi="Arial"/>
          <w:sz w:val="17"/>
          <w:szCs w:val="17"/>
          <w:color w:val="auto"/>
        </w:rPr>
      </w:pPr>
    </w:p>
    <w:p>
      <w:pPr>
        <w:ind w:left="1000" w:right="60" w:hanging="547"/>
        <w:spacing w:after="0" w:line="308"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December 2018, a new draft bill which revised the DAIA and incorporated feedback from the FDA was released. The Verifying Accurate, Leading-edge, IVCT Development (VALID) Act creates a risk-based regulatory framework for IVCT regulation.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320" w:top="459" w:right="3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9"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76" w:lineRule="exact"/>
        <w:rPr>
          <w:rFonts w:ascii="Arial" w:cs="Arial" w:eastAsia="Arial" w:hAnsi="Arial"/>
          <w:sz w:val="17"/>
          <w:szCs w:val="17"/>
          <w:color w:val="auto"/>
        </w:rPr>
      </w:pPr>
    </w:p>
    <w:p>
      <w:pPr>
        <w:ind w:left="1000" w:hanging="54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March 5, 2020, identical versions of the VALID Act were introduced in both chambers of Congress.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August 19, 2020, HHS announced a new policy determining that FDA must engage in notice-and-comment rulemaking before requiring premarket review of LDTs.</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To date, the FDA has not engaged in notice-and-comment rulemaking or released broad-sweeping guidance,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currently 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are monitoring developments and anticipate that our products will be able to comply with requirements that may be imposed by the FDA. In the meantime, we maintain our CLIA accreditation, which permits the use of LDTs for diagnostics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Emergency Use Authorization</w:t>
      </w:r>
    </w:p>
    <w:p>
      <w:pPr>
        <w:spacing w:after="0" w:line="121" w:lineRule="exact"/>
        <w:rPr>
          <w:sz w:val="20"/>
          <w:szCs w:val="20"/>
          <w:color w:val="auto"/>
        </w:rPr>
      </w:pPr>
    </w:p>
    <w:p>
      <w:pPr>
        <w:ind w:right="440" w:firstLine="449"/>
        <w:spacing w:after="0" w:line="286" w:lineRule="auto"/>
        <w:rPr>
          <w:sz w:val="20"/>
          <w:szCs w:val="20"/>
          <w:color w:val="auto"/>
        </w:rPr>
      </w:pPr>
      <w:r>
        <w:rPr>
          <w:rFonts w:ascii="Arial" w:cs="Arial" w:eastAsia="Arial" w:hAnsi="Arial"/>
          <w:sz w:val="17"/>
          <w:szCs w:val="17"/>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165" w:lineRule="exact"/>
        <w:rPr>
          <w:sz w:val="20"/>
          <w:szCs w:val="20"/>
          <w:color w:val="auto"/>
        </w:rPr>
      </w:pPr>
    </w:p>
    <w:p>
      <w:pPr>
        <w:jc w:val="both"/>
        <w:ind w:right="520" w:firstLine="449"/>
        <w:spacing w:after="0" w:line="263" w:lineRule="auto"/>
        <w:rPr>
          <w:sz w:val="20"/>
          <w:szCs w:val="20"/>
          <w:color w:val="auto"/>
        </w:rPr>
      </w:pPr>
      <w:r>
        <w:rPr>
          <w:rFonts w:ascii="Arial" w:cs="Arial" w:eastAsia="Arial" w:hAnsi="Arial"/>
          <w:sz w:val="18"/>
          <w:szCs w:val="18"/>
          <w:color w:val="auto"/>
        </w:rPr>
        <w:t>On February 4,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While this emergency declaration is effective, the FDA may authorize the use of an unapproved product or an unapproved use of an approved product if it concludes that:</w:t>
      </w:r>
    </w:p>
    <w:p>
      <w:pPr>
        <w:spacing w:after="0" w:line="76" w:lineRule="exact"/>
        <w:rPr>
          <w:sz w:val="20"/>
          <w:szCs w:val="20"/>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agent referred to in the emergency declaration could cause a serious or life-threatening disease or condition;</w:t>
      </w:r>
    </w:p>
    <w:p>
      <w:pPr>
        <w:spacing w:after="0" w:line="130" w:lineRule="exact"/>
        <w:rPr>
          <w:rFonts w:ascii="Arial" w:cs="Arial" w:eastAsia="Arial" w:hAnsi="Arial"/>
          <w:sz w:val="18"/>
          <w:szCs w:val="18"/>
          <w:color w:val="auto"/>
        </w:rPr>
      </w:pPr>
    </w:p>
    <w:p>
      <w:pPr>
        <w:ind w:left="1000" w:right="360" w:hanging="547"/>
        <w:spacing w:after="0" w:line="308"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51" w:lineRule="exact"/>
        <w:rPr>
          <w:rFonts w:ascii="Arial" w:cs="Arial" w:eastAsia="Arial" w:hAnsi="Arial"/>
          <w:sz w:val="17"/>
          <w:szCs w:val="17"/>
          <w:color w:val="auto"/>
        </w:rPr>
      </w:pPr>
    </w:p>
    <w:p>
      <w:pPr>
        <w:ind w:left="1000" w:right="42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is no adequate, approved, and available alternative to the authorized product for diagnosing, preventing, or treating the relevant disease or condition;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other criteria prescribed by the FDA is satisfied. </w:t>
      </w:r>
      <w:r>
        <w:rPr>
          <w:rFonts w:ascii="Arial" w:cs="Arial" w:eastAsia="Arial" w:hAnsi="Arial"/>
          <w:sz w:val="18"/>
          <w:szCs w:val="18"/>
          <w:i w:val="1"/>
          <w:iCs w:val="1"/>
          <w:color w:val="auto"/>
        </w:rPr>
        <w:t>Id.</w:t>
      </w:r>
      <w:r>
        <w:rPr>
          <w:rFonts w:ascii="Arial" w:cs="Arial" w:eastAsia="Arial" w:hAnsi="Arial"/>
          <w:sz w:val="18"/>
          <w:szCs w:val="18"/>
          <w:color w:val="auto"/>
        </w:rPr>
        <w:t xml:space="preserve"> § 360bbb-3(c).</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Bio-Rad SARS-CoV-2 ddPCR test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As stated in the FDA’s Policy for COVID-19, the FDA does not expect a separate notification or EUA request from laboratories that are performing testing using EUA-authorized test kits purchased from commercial manufacturers or their distributors. According to the FDA Policy for COVID-19 Tests, a laboratory may make certain modifications to an EUA-authorized test if the modified test is validated using a bridging study without submitting an EUA amendment or formal notification. A laboratory may modify an EUA authorized test for use of a new specimen through a bridging study when the new specimen type has been previously authorized for another test of the same technology without submitting an EUA amendment or formal notification.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Laboratory Licensing Requirements</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Biodesix Boulder, Colorado clinical laboratory is a CAP-accredited clinical laboratory regulated by CMS pursuant to CLIA. CMS has granted CAP deeming authority under CLIA, which allows CAP to inspect laboratories in lieu of CMS. The CAP accreditation program involves unannounced on-site inspections of our laboratories. In addition to holding a CLIA Certificate and CAP laboratory accreditation, Biodesix’s Quality Management System (QMS) holds an ISO 13485:2016 certificate. The Biodesix Boulder, Colorado clinical laboratory has received approval from NYSDOH, NYS CLEP in Soluble Tumor Markers and Molecular, Cellular Tumor Markers as well as holding state permits and licenses in California, Maryland, New York, Pennsylvania, and Rhode Island.</w:t>
      </w:r>
    </w:p>
    <w:p>
      <w:pPr>
        <w:spacing w:after="0" w:line="192"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certification under CLIA certificate of accreditation by CAP. The Boulder, Colorado clinical laboratory most recently passed its CAP inspection in February 2019.</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Biodesix De Soto, Kansas clinical laboratory is a COLA-accredited clinical laboratory regulated by CMS pursuant to CLIA. COLA Inc. (COLA) was founded in 1988 as a private alternative to help laboratories stay in compliance with CLIA. In 1993, the Health Care Financing Administration (now CMS) granted COLA deeming authority under CLIA, and in 1997 The Joint Commission also recognized COLA Inc.’s laboratory accreditation program. The De Soto, Kansas clinical laboratory is inspected biennially by COLA. The De Soto, Kansas clinical laboratory most recently passed inspection in August 2019. The De Soto, Kansas clinical laboratory also holds state permits and licenses in California, Maryland, New York, Pennsylvania, and Rhode Island.</w:t>
      </w:r>
    </w:p>
    <w:p>
      <w:pPr>
        <w:spacing w:after="0" w:line="19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recently proposed a rule to harmonize and modernize its QSR, which would supplant the existing requirements with ISO 13485:2016. In March 2020, we passed an ISO 13485:2016 inspection.</w:t>
      </w:r>
    </w:p>
    <w:p>
      <w:pPr>
        <w:spacing w:after="0" w:line="192"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64"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 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49"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2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Our Boulder, Colorado and De Soto, Kansas laboratories are certified and adhere to the NYS CLEP, based on New York State Public Health Law, Article 5 Title 5. NYS CLEP is exempt from CLIA and establishes their own method of laboratory certification and assay validation approval. To process NYS patient specimens a laboratory must submit a robust analytical and clinical validation package to demonstrate clinical utility of the test and receive approval prior to offing the test in the state of New York. Our GeneStrat and VeriStrat tests have received NYS CLEP approval. NYS CLEP requires semi-annual inspections to ensure the laboratory meets all general and specialty standards. Biodesix passed NYS CLEP inspection in May 2019 and is currently scheduled for a routine re-inspection in May 2021. Although delays related to NYS CLEP’s COVID-19 response resulted in the department’s inability to complete the review of our Boulder, Colorado and De Soto, Kansas laboratories prior to the permit expiration date, the current permit expiration dates have been extended until NYS CLEP has made a final determination of the application.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for medical devices in the United States</w:t>
      </w:r>
    </w:p>
    <w:p>
      <w:pPr>
        <w:spacing w:after="0" w:line="121"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Medical devices are subject to extensive regulation in the United States and elsewhere, including by the FDA and its foreign counterparts.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regulations specific to medical devices are wide ranging and govern, among other things:</w:t>
      </w:r>
    </w:p>
    <w:p>
      <w:pPr>
        <w:spacing w:after="0" w:line="116" w:lineRule="exact"/>
        <w:rPr>
          <w:sz w:val="20"/>
          <w:szCs w:val="20"/>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Device classification</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8" w:lineRule="exact"/>
        <w:rPr>
          <w:sz w:val="20"/>
          <w:szCs w:val="20"/>
          <w:color w:val="auto"/>
        </w:rPr>
      </w:pPr>
    </w:p>
    <w:p>
      <w:pPr>
        <w:ind w:right="320" w:firstLine="449"/>
        <w:spacing w:after="0" w:line="301" w:lineRule="auto"/>
        <w:rPr>
          <w:sz w:val="20"/>
          <w:szCs w:val="20"/>
          <w:color w:val="auto"/>
        </w:rPr>
      </w:pPr>
      <w:r>
        <w:rPr>
          <w:rFonts w:ascii="Arial" w:cs="Arial" w:eastAsia="Arial" w:hAnsi="Arial"/>
          <w:sz w:val="16"/>
          <w:szCs w:val="16"/>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5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Premarket submission process</w:t>
      </w:r>
    </w:p>
    <w:p>
      <w:pPr>
        <w:spacing w:after="0" w:line="121"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17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166" w:lineRule="exact"/>
        <w:rPr>
          <w:sz w:val="20"/>
          <w:szCs w:val="20"/>
          <w:color w:val="auto"/>
        </w:rPr>
      </w:pPr>
    </w:p>
    <w:p>
      <w:pPr>
        <w:ind w:right="280" w:firstLine="449"/>
        <w:spacing w:after="0" w:line="311" w:lineRule="auto"/>
        <w:rPr>
          <w:sz w:val="20"/>
          <w:szCs w:val="20"/>
          <w:color w:val="auto"/>
        </w:rPr>
      </w:pPr>
      <w:r>
        <w:rPr>
          <w:rFonts w:ascii="Arial" w:cs="Arial" w:eastAsia="Arial" w:hAnsi="Arial"/>
          <w:sz w:val="16"/>
          <w:szCs w:val="16"/>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8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8"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49"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Prior to approval of a PMA, the FDA may conduct inspections of any clinical trial data and clinical trial sites, as well as inspections of any manufacturing facility and processes. The FDA’s review of a PMA application generally takes between one and three years, but may take significantly longer.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92"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6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8"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Alternatively, the FDA also allows the submission of a direct de novo petition. This procedure allows a manufacturer whose novel device is automatically classified into Class III to request down-classification of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8"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Companion Diagnostics and the Premarket Process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95"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Post-Market FDA Regulation</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Laws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8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EKRA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 party payers. EKRA includes a number of statutory exceptions that provide protection from EKRA liability if the applicable requirements are met.</w:t>
      </w:r>
    </w:p>
    <w:p>
      <w:pPr>
        <w:spacing w:after="0" w:line="15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Stark Law generally prohibits, among other things, clinical laboratories and other so-called “designated health services” entities from billing Medicare for any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8"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The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$11,665 to $23,331 per false claim or statement for penalties assessed after June 19, 2020, with respect to violations occurring after November 2, 2015.</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7"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w:t>
      </w:r>
    </w:p>
    <w:p>
      <w:pPr>
        <w:spacing w:after="0" w:line="12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FCPA and similar international bribery laws make it unlawful for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 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Laws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Numerous federal and state laws and regulations, including HIPAA, as amended by the HITECH, govern the collection, dissemination, security, use and confidentiality of protected health information (PHI) and personal information. In the course of performing our business we obtain personal information, including PHI. Laws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regulations relating to privacy, data protection, and consumer protection are evolving and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at times either a CE or a BA, as defined by HIPAA. Our subcontractors that create, receive, maintain, transmit or otherwise process PHI on our behalf are HIPAA BAs and must also comply with HIPAA, as applicable.</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HIPAA and HITECH include the privacy and security rules, breach notification requirements and electronic transaction standards. The privacy rule governs the use and disclosure of PHI by CEs and BAs. The privacy rule generally prohibits the use or disclosure of PHI except as permitted under the rule. The rule also sets forth individual patient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HITECH’s breach notification rule, a CE must notify individuals, the Secretary of HHS, and in some circumstances, the media of certain breaches of unsecured PHI or ePHI.</w:t>
      </w:r>
    </w:p>
    <w:p>
      <w:pPr>
        <w:spacing w:after="0" w:line="19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Penalties for failure to comply with a requirement of HIPAA and HITECH vary depending on the number and nature of the violations, but can be significant and include civil monetary or criminal penalties. HIPAA is enforced by the Department of Health and Human Services, Office of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CEs, such as us, and their BAs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6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State laws may be more stringent, broader in scope or offer greater individual rights with respect to PHI than HIPAA, and state laws may differ from each other, which may complicate compliance efforts. For instance, the CCPA became effective on January 1,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a new California ballot initiative, the California Privacy Rights Act (CPRA), has garnered enough signatures to be included on the November 2020 ballot in California. If voted into law by California residents, the CPRA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and if passed, such laws may have potentially conflicting requirements that could continue to make compliance challenging and costly.</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8"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We may also be subject to laws and regulations in foreign countries covering data privacy and other protection of health and employee information that may add additional compliance burden and complexity. For example, in the EEA and the United Kingdom, the collection and use of personal data is governed by the GDPR.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 penalties, third 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 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Regulations</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92"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8"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r>
        <w:rPr>
          <w:rFonts w:ascii="Arial" w:cs="Arial" w:eastAsia="Arial" w:hAnsi="Arial"/>
          <w:sz w:val="17"/>
          <w:szCs w:val="17"/>
          <w:b w:val="1"/>
          <w:bCs w:val="1"/>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In March 2010, the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76"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The Trump administration and Congress have, and we expect they will continue to, seek to modify, repeal, or otherwise invalidate all, or certain provisions of, the ACA. Since January 2017, the Trump administration has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Concurrently, Congress has considered legislation that would repeal or repeal and replace all or part of the ACA. While Congress has not passed comprehensive repeal legislation, two bills affecting the implementation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taxes under the ACA have been signed into law. The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unconstitutional. The United States Supreme Court granted certiorari on March 2, 2020, and the case is expected to be decided in 2021.</w:t>
      </w:r>
    </w:p>
    <w:p>
      <w:pPr>
        <w:spacing w:after="0" w:line="19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cut through FY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Regulations</w:t>
      </w:r>
    </w:p>
    <w:p>
      <w:pPr>
        <w:spacing w:after="0" w:line="121"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Integrated Diagnostics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On June 30, 2018, we purchased select assets and liabilities from Integrated Diagnostics, Inc. and IND Funding, LLC (collectively, the Seller) which included CLIA lab in Seattle, Washington and all rights to the Nodify XL2 test and the intellectual property related to that test. The purchase was made for total consideration of $27.6 million, consisting of $8.0 million (10,649,604 shares) of our Company’s Series G Preferred Stock and contingent consideration with an initial fair market value of $19.6 million.</w:t>
      </w:r>
    </w:p>
    <w:p>
      <w:pPr>
        <w:spacing w:after="0" w:line="18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acquisition of Integrated Diagnostics included a contingent consideration arrangement that requires additional consideration to be paid by us to the Seller based on the Milestone of the attainment of a three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consecutive month gross margin target of $2 million within a seven-year period. The amount can be payable in stock or cash at our and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Oncimmune USA</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On October 31, 2019, we completed an acquisition of United Kingdom-based Oncimmune’s United States operations including its CLIA clinical laboratory in De Soto, Kansas and its IPN malignancy test, then marketed in the United States as the EarlyCDT-Lung. We renamed the test and relaunched the test on February 28, 2020 as the Nodify CDT test and the De Soto, Kansas clinical laboratory will be the sole United States provider of the Nodify CDT test.</w:t>
      </w:r>
    </w:p>
    <w:p>
      <w:pPr>
        <w:spacing w:after="0" w:line="18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part of the acquisition, we and Oncimmune entered into several agreements to govern the relationship between the parties and to allow us to provide the Nodify CDT test. The overarching umbrella PCA defines the general relationship between the parties. Included under the PCA was (a) an asset purchase agreement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66"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As consideration for the rights granted to us, we agreed to payments of $1.2 million and further agreed to an option fee for the screening option of $9 million due within 30 days of exercising the option. We also agreed to a revenue share payment of 8% of recognized revenue for non-screening tests up to an annual minimum volume and 5% thereafter, with an escalating minimum through the first four years of sales. The minimum sales volumes will be adjusted upwards in the event we exercise the screening option. Royalty payments of $0.1 million were paid for the six months ended June 30, 2020. As of June 30, 2020, we have paid $1.0 million of the agreed upon payments. In July 2020, we paid the remaining $0.2 million. In September 2020, we notified Oncimmune that we would not exercise this option for expansion of the field of use.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Agreements with Bio-Rad</w:t>
      </w:r>
    </w:p>
    <w:p>
      <w:pPr>
        <w:spacing w:after="0" w:line="117"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In August 2019, we entered into the Bio-Rad License. Bio-Rad is a key supplier of equipment and reagents used to perform ddPCR testing—a service offered by us under a fee for service agreement—and the core technology powering the GeneStrat and COVID ddPCR tests.</w:t>
      </w:r>
    </w:p>
    <w:p>
      <w:pPr>
        <w:spacing w:after="0" w:line="124"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Under the terms of the Bio-Rad License, we received a non-exclusive license, without the right to grant sublicenses, to utilize certain of Bio-Rad’s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pursuant to a separately executed supply agreement with Bio-Rad. As further consideration for the non-exclusive license, we agreed to pay a royalty of 2.5% on the net revenue received for the performance of such ddPCR testing collected from third parties.</w:t>
      </w:r>
    </w:p>
    <w:p>
      <w:pPr>
        <w:spacing w:after="0" w:line="176"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Bio-Rad License expires in August 2024. Either party may terminate for the other’s uncured material breach or bankruptcy events. Bio-Rad may terminate the Bio-Rad License if we do not purchase licensed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9" w:right="3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products under the separate supply agreement for a consecutive twelve month period or for any material breach by us of the supply agreement.</w:t>
      </w:r>
    </w:p>
    <w:p>
      <w:pPr>
        <w:spacing w:after="0" w:line="23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March 2020, we entered into a Material Transfer Agreement, which was amended in April 2020, with Bio-Rad for the purpose of collaborating to submit for an EUA for Bio-Rad’s SARS-CoV-2 ddPCR test pursuant to which Biodesix was granted a non-exclusive license, without the right to grant sublicenses, to use certain testing materials provided by Bio-Rad, including reagents and assays, for such purpose. The intent of the agreement was for Biodesix to create, validate and file Bio-Rad’s SARS-CoV-2 ddPCR assay for EUA with the FDA specifically for use in our laboratory in Colorado. Additionally, under the agreement, Bio-Rad agreed to file a kit manufacturer SARS-CoV-2 EUA with the FDA for broad distribution in the U.S. Additionally, under the agreement, we performed feasibility, verification and validation studies, including developing software for process automation, sample accessioning, data management and reporting, all required to demonstrate that the test operated as claimed by the manufacturer, and further, to validate the test as required by our certifying regulatory agencies for high complexity laboratory testing. As part of the validation effort, we agreed to supply the ddPCR testing equipment, trained laboratory personnel, extraction kits and process testing, patient samples and full access to all resulting data for use in joint publications and purposes. We entered into an amendment to include additional materials that Bio-Rad had the option to purchase from us, including nasopharyngeal swab samples and other reagents necessary for the validation efforts. In a separate letter from Bio-Rad, we were additionally granted permission by Bio-Rad to use the Bio-Rad SARS-CoV-2 ddPCR assay for commercial diagnostic services.</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April 2020, we entered into a second Material Transfer Agreement with respect to Bio-Rad’s Platelia SARS-CoV-2 Total Ab assay for the purpose of evaluating the performance of such assay pursuant to which Biodesix was granted a non-exclusive license to use such assays provided by Bio-Rad for such purpose. In a separate letter from Bio-Rad, we were also granted permission by Bio-Rad to use the Platelia SARS-CoV-2 Total Ab assay for commercial diagnostic services.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w:t>
      </w:r>
    </w:p>
    <w:p>
      <w:pPr>
        <w:spacing w:after="0" w:line="187"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Further, we granted the lender a security interest in all of our assets through a pledge and security agreement, patent security agreement and trademark security agreement, each between us and the lender.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Drug Co-Development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April 2014, we and AVEO entered into a Co-Development and Collaboration Agreement (AVEO Agreement) whereby the two parties agreed to co-develop AVEO’s compound ficlatuzumab and our VeriStrat test. Under the AVEO Agreement, we agreed to use commercially reasonable efforts to continue to develop the VeriStrat test and obtain regulatory approval for VeriStrat as a companion diagnostic for ficlatuzumab in certain major markets. We agreed with AVEO to agree on a development plan for ficlatuzumab and VeriStrat.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320" w:top="459" w:right="3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AVEO Agreement, we agreed to co-develop their clinical trial asset, ficlatuzumab (HGF-inhibitor), along with our proteomic test, BDX004 (a variant of our VeriStrat test), a test that identifies a subgroup of individuals who derive the most benefit from this drug. In collaboration with AVEO, we reported early clinical data on ficlatuzumab in head and neck cancer, acute myeloid leukemia, and pancreatic cancer. Most recently, we announced data from our phase 1b study in pancreatic cancer, a challenging disease to treat, that demonstrated encouraging responses that support the further assessment of the drug. We believe BDX004 could help differentiate patient benefit to ficlatuzumab across multiple indications and support decision making in therapeutic selection.</w:t>
      </w:r>
    </w:p>
    <w:p>
      <w:pPr>
        <w:spacing w:after="0" w:line="192"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As part of the AVEO Agreement, we granted AVEO a perpetual, non-exclusive, royalty-free license to certain background intellectual property related to VeriStrat, our interest in joint inventions developed under the AVEO Agreement and certain diagnostic data to develop, manufacture, seek regulatory approval for and commercialize ficlatuzumab and certain IVD devices for use in connection with ficlatuzumab. AVEO granted us a perpetual, non-exclusive, royalty-free license to certain background intellectual property related to ficlatuzumab, their interest in joint inventions developed under the AVEO Agreement and certain clinical data and biomarker data to develop, manufacture and commercialize VeriStrat and certain IVD devices other than VeriStrat. We solely own inventions relating to VeriStrat (excluding ficlatuzumab) and AVEO solely owns inventions relating to ficlatuzumab (excluding VeriStrat), and we jointly own all other inventions under the AVEO Agreement.</w:t>
      </w:r>
    </w:p>
    <w:p>
      <w:pPr>
        <w:spacing w:after="0" w:line="177"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As consideration for the licenses under the AVEO Agreement, we agreed to reimburse AVEO for $15 million of certain ficlatuzumab clinical development costs. Additionally, we agreed to pay half of AVEO’s clinical development costs above that $15 million cap. Unless we or AVEO exercises our right to opt-out of the co-development, we equally share in any income received from licensing rights to ficlatuzumab to any third parties. If either party exercises the right to opt-out prior to the first commercial sale of ficlatuzumab, the party that opts out will receive 25% of any such income.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w:t>
      </w:r>
    </w:p>
    <w:p>
      <w:pPr>
        <w:spacing w:after="0" w:line="17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any event, we and AVEO agreed to negotiate a definitive commercialization agreement for ficlatuzumab in good faith upon results of a clinical trial for ficlatuzumab, pursuant to which AVEO would be the lead commercialization party. Such commercialization agreement would allocate commercialization responsibilities, provide decision-making processes, and include other terms related to the commercialization of ficlatuzumab. The AVEO Agreement provides that under such commercialization agreement, we would share all profits and losses from the commercialization of ficlatuzumab, except that each party would have the option to opt-out of commercialization activities and we would be entitled to receive a low single-digit royalty of net sales of ficlatuzumab made by AVEO. The AVEO Agreement also sets forth certain key provisions to be included in the definitive commercialization agreement. We and AVEO agreed that under such commercialization agreement, we would share all profits and losses from the commercialization of ficlatuzumab, except that each party would have the option to opt-out of commercialization activities and instead receive a low single-digit royalty of net sales of ficlatuzumab made by the other party.</w:t>
      </w:r>
    </w:p>
    <w:p>
      <w:pPr>
        <w:spacing w:after="0" w:line="181"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AVEO Agreement continues in force until terminated by either party for the other’s uncured material breach or bankruptcy events, or as terminated under the terms of the commercialization agreement. If we terminate the AVEO Agreement for anything other than a breach by AVEO that prevents or irreparably disrupts certain clinical activities, AVEO will be deemed to have exercised its opt-out rights and will receive 25% of any income received by us for licenses under ficlatuzumab to third parties. If we terminate for a breach by AVEO that prevents or irreparably disrupts certain clinical activities, AVEO will instead receive 12.5% of any such income.</w:t>
      </w:r>
    </w:p>
    <w:p>
      <w:pPr>
        <w:spacing w:after="0" w:line="188"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October 2016 we and AVEO amended the AVEO Agreement to deem our obligation to cover initial pre-clinical costs satisfied in exchange for a one-time payment of all applicable development costs incurred to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date, and to provide that we and AVEO would share development costs. Under the amended terms, we agreed to allow AVEO to recapture these costs that it otherwise would not have been responsible for sharing, from any royalties or revenues eventually derived under the AVEO Agreement.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Ficlatuzumab is currently being evaluated in SCCHN, PDAC, and AML.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 of June 30, 2020, we had 154 full time employees, 43 of whom were engaged in development activities, and 38 of whom were engaged in general and administrative functions. Our employees are primarily located in Boulder, Colorado, with additional employees located in De Soto, Kansas and remotely across the country. None of our employees are represented by any collective bargaining agreements. We believe that we maintain good relations with our employees.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occupy approximately 29,722 square feet of office and laboratory space in Boulder, Colorado under a lease that ends on January 14, 2023. We also occupy 9,066 square feet of office and laboratory space in De Soto, Kansas under a lease that ends on October 31, 2020. A portion of our employees are located outside of Colorado and Kansas, and others work from home. We believe our existing facilities meet our current needs. We will need additional office space in the future as we continue to build our development, commercial and support teams. We believe we can find suitable additional space in the future on commercially reasonable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may from time to time be involved in various legal proceedings and other matters arising in the normal course of business. For example, we have received, and may in the future continue to, receive letters, claims or complaints from others alleging false advertising, patent infringement, violation of employment practices and trademark infringement. We have also instituted, and may in the future institute additional, legal proceedings to enforce our rights and seek remedies, such as monetary damages, injunctive relief and declaratory relief. We cannot predict the results of any such disputes, and despite the potential outcomes, the existence thereof may have an adverse material impact on us because of diversion of management time and attention as well as the financial costs related to resolving such disputes.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459"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sets forth information concerning certain individuals, including their ages as of June 30, 2020, who are expected to serve as our directors and executive officers upon completion of this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80" w:type="dxa"/>
            <w:vAlign w:val="bottom"/>
          </w:tcPr>
          <w:p>
            <w:pPr>
              <w:spacing w:after="0"/>
              <w:rPr>
                <w:sz w:val="16"/>
                <w:szCs w:val="16"/>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700" w:type="dxa"/>
            <w:vAlign w:val="bottom"/>
          </w:tcPr>
          <w:p>
            <w:pPr>
              <w:spacing w:after="0"/>
              <w:rPr>
                <w:sz w:val="16"/>
                <w:szCs w:val="16"/>
                <w:color w:val="auto"/>
              </w:rPr>
            </w:pPr>
          </w:p>
        </w:tc>
      </w:tr>
      <w:tr>
        <w:trPr>
          <w:trHeight w:val="25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3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Kieran O’Kane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Commercial Officer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Robert Georgantas III,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88"/>
              </w:rPr>
              <w:t>Senior Vice President, Research and Translational Science</w:t>
            </w: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Gary Pestano,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Development Officer</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Chairman and 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Jean Franchi</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Hany Massarany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7"/>
        </w:trPr>
        <w:tc>
          <w:tcPr>
            <w:tcW w:w="4360" w:type="dxa"/>
            <w:vAlign w:val="bottom"/>
            <w:gridSpan w:val="2"/>
          </w:tcPr>
          <w:p>
            <w:pPr>
              <w:spacing w:after="0"/>
              <w:rPr>
                <w:sz w:val="20"/>
                <w:szCs w:val="20"/>
                <w:color w:val="auto"/>
              </w:rPr>
            </w:pPr>
            <w:r>
              <w:rPr>
                <w:rFonts w:ascii="Arial" w:cs="Arial" w:eastAsia="Arial" w:hAnsi="Arial"/>
                <w:sz w:val="18"/>
                <w:szCs w:val="18"/>
                <w:color w:val="auto"/>
              </w:rPr>
              <w:t>Jack Schuler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Charles Watts,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33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Scott Hutton </w:t>
      </w:r>
      <w:r>
        <w:rPr>
          <w:rFonts w:ascii="Arial" w:cs="Arial" w:eastAsia="Arial" w:hAnsi="Arial"/>
          <w:sz w:val="17"/>
          <w:szCs w:val="17"/>
          <w:color w:val="auto"/>
        </w:rPr>
        <w:t>has served as our President, Chief Executive Officer and Director since January 2020, and previously held the role of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Officer from March 2018 to December 2019. Additionally, Mr. Hutton has served on the board of Eximis Surgical since February 2018 and was an Observer on the Board of Directors of Aqueduct Critical Care from September 2014 to January 2017. Mr. Hutton joined Biodesix from Spectranetics Corp (NASDAQ: SPNC), a U.S.-based global leader in vascular intervention and lead management solutions (now part of Royal Philips (NYSE: PHG)),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(NYSE: MDT),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in Health and Kinesiology from Purdue University. In July 2011, Mr. Hutton received the </w:t>
      </w:r>
      <w:r>
        <w:rPr>
          <w:rFonts w:ascii="Arial" w:cs="Arial" w:eastAsia="Arial" w:hAnsi="Arial"/>
          <w:sz w:val="17"/>
          <w:szCs w:val="17"/>
          <w:i w:val="1"/>
          <w:iCs w:val="1"/>
          <w:color w:val="auto"/>
        </w:rPr>
        <w:t>Medtronic Wallin Leadership Award</w:t>
      </w:r>
      <w:r>
        <w:rPr>
          <w:rFonts w:ascii="Arial" w:cs="Arial" w:eastAsia="Arial" w:hAnsi="Arial"/>
          <w:sz w:val="17"/>
          <w:szCs w:val="17"/>
          <w:color w:val="auto"/>
        </w:rPr>
        <w:t xml:space="preserve"> for his focus on talent development, business performance, and his personal and intentional demonstration of leadership.</w:t>
      </w:r>
    </w:p>
    <w:p>
      <w:pPr>
        <w:spacing w:after="0" w:line="179"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b w:val="1"/>
          <w:bCs w:val="1"/>
          <w:i w:val="1"/>
          <w:iCs w:val="1"/>
          <w:color w:val="auto"/>
        </w:rPr>
        <w:t xml:space="preserve">Robin Harper Cowie </w:t>
      </w:r>
      <w:r>
        <w:rPr>
          <w:rFonts w:ascii="Arial" w:cs="Arial" w:eastAsia="Arial" w:hAnsi="Arial"/>
          <w:sz w:val="18"/>
          <w:szCs w:val="18"/>
          <w:color w:val="auto"/>
        </w:rPr>
        <w:t>has served as our Chief Financial Officer since April 2017. She has been with the Company in multiple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positions since March 2011, serving as Vice President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64"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b w:val="1"/>
          <w:bCs w:val="1"/>
          <w:i w:val="1"/>
          <w:iCs w:val="1"/>
          <w:color w:val="auto"/>
        </w:rPr>
        <w:t xml:space="preserve">Kieran O’Kane </w:t>
      </w:r>
      <w:r>
        <w:rPr>
          <w:rFonts w:ascii="Arial" w:cs="Arial" w:eastAsia="Arial" w:hAnsi="Arial"/>
          <w:sz w:val="18"/>
          <w:szCs w:val="18"/>
          <w:color w:val="auto"/>
        </w:rPr>
        <w:t>has served as our Chief Commercial Officer since March 2020 and has been with the Company in multiple marketing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roles since February 2018. From April 2016 to February 2018, prior to joining Biodesix, Mr. O’Kane lead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9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b w:val="1"/>
          <w:bCs w:val="1"/>
          <w:i w:val="1"/>
          <w:iCs w:val="1"/>
          <w:color w:val="auto"/>
        </w:rPr>
        <w:t xml:space="preserve">Gary Pestano, Ph.D. </w:t>
      </w:r>
      <w:r>
        <w:rPr>
          <w:rFonts w:ascii="Arial" w:cs="Arial" w:eastAsia="Arial" w:hAnsi="Arial"/>
          <w:sz w:val="16"/>
          <w:szCs w:val="16"/>
          <w:color w:val="auto"/>
        </w:rPr>
        <w:t>has served as our Chief Development Officer since October 2018 and has been with the Company in Product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since March 2012. Prior to joining Biodesix, Dr. Pestano held senior positions in Pharma Services, R&amp;D and Project Leadership at Ventana Medical Systems, a member of the Roche Group, from 2003 to 2012. Dr. Pestano’s experience in laboratory operations management and assay development for high complexity molecular diagnostics in oncology and virology include molecular and proteomic testing. Dr. Pestano is the co-inventor on multiple national and international patents for diagnostic tests. He has also fostered many collaborations in academia and industry as a part of new product development. Dr. Pestano received a B.S. in Biochemistry from The City College of New York, his Ph.D. in Molecular Cell Biology at The Graduate Center, City University of New York where his thesis focused on vaccine development for novel genetic variants of HIV-1. He conducted his post-doctoral training in Cancer Immunology and AIDS at the Dana Farber Cancer Institute, Harvard Medical School.</w:t>
      </w:r>
    </w:p>
    <w:p>
      <w:pPr>
        <w:spacing w:after="0" w:line="165"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b w:val="1"/>
          <w:bCs w:val="1"/>
          <w:i w:val="1"/>
          <w:iCs w:val="1"/>
          <w:color w:val="auto"/>
        </w:rPr>
        <w:t xml:space="preserve">Robert W. Georgantas III, Ph.D. </w:t>
      </w:r>
      <w:r>
        <w:rPr>
          <w:rFonts w:ascii="Arial" w:cs="Arial" w:eastAsia="Arial" w:hAnsi="Arial"/>
          <w:sz w:val="18"/>
          <w:szCs w:val="18"/>
          <w:color w:val="auto"/>
        </w:rPr>
        <w:t>has served as our Senior Vice President of Research and Translational Science since August 2019. From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prior to joining Biodesix, Dr. Georgantas worked at AbbVie where he served as Director of Immunology Programs and Biomarkers within the Genomics Research Center of Excellence, a group of experts tasked with applying genetics, genomics, epigenetics, and metagenomics to inform the product pipeline primarily regarding new target discovery, biomarkers for clinical trials, and asset positioning. Dr. Georgantas is recognized as a leader of immunology translational science and strategy. Dr. Georgantas completed his Ph.D. in pharmacology and molecular medicine at The Johns Hopkins University School of Medicine.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John Patience has served as a Director of the Company since June 2008 and Chairman of the Board since September 2020. Mr. Patience currently serves as both a Director and Chairman of the board of Accelerate Diagnostics, Inc. (NASDAQ: AXDX) and has served in that capacity since joining the board in 2012. Mr. Patience served as a director of Ventana Medical Systems, Inc. from 1989 and as Vice Chairman from 1999 until Ventana’s acquisition by Roche in 2008. Mr. Patience also served as a director of Stericycle, Inc. (NASDAQ: SRCL) since its founding in 1989 to June 2018. Mr. Patience is also a founding partner of Crabtree Partners, a private equity investment partnership in Lake Forest, Illinois. Mr. Patience was previously a partner of a venture capital investment firm that provided both Ventana and Stericycle with early 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78"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b w:val="1"/>
          <w:bCs w:val="1"/>
          <w:i w:val="1"/>
          <w:iCs w:val="1"/>
          <w:color w:val="auto"/>
        </w:rPr>
        <w:t xml:space="preserve">Jean M. Franchi </w:t>
      </w:r>
      <w:r>
        <w:rPr>
          <w:rFonts w:ascii="Arial" w:cs="Arial" w:eastAsia="Arial" w:hAnsi="Arial"/>
          <w:sz w:val="18"/>
          <w:szCs w:val="18"/>
          <w:color w:val="auto"/>
        </w:rPr>
        <w:t>has served as a Director of the Company since April 2020. Ms. Franchi is currently Chief Financial Officer at Replimune,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biotechnology company developing oncolytic immuno-gene therapies. Prior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459"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Replimmune, Ms. Franchi was Chief Financial Officer at Merrimack Pharmaceuticals from 2017 to 2019, Dimension Therapeutics from 2015 to 2017, and Good Start Genetics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Biophytis BSA and Visioneering Technologies, Inc. Ms. Franchi received her B.A. in Accounting from Hofstra University.</w:t>
      </w:r>
    </w:p>
    <w:p>
      <w:pPr>
        <w:spacing w:after="0" w:line="188"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b w:val="1"/>
          <w:bCs w:val="1"/>
          <w:i w:val="1"/>
          <w:iCs w:val="1"/>
          <w:color w:val="auto"/>
        </w:rPr>
        <w:t xml:space="preserve">Hany Massarany </w:t>
      </w:r>
      <w:r>
        <w:rPr>
          <w:rFonts w:ascii="Arial" w:cs="Arial" w:eastAsia="Arial" w:hAnsi="Arial"/>
          <w:sz w:val="17"/>
          <w:szCs w:val="17"/>
          <w:color w:val="auto"/>
        </w:rPr>
        <w:t>has served as a Director of the Company since July 2020. Mr. Massarany was President and Chief Executive Officer of GenMark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Diagnostics, Inc. (NASDAQ: GNMK) from April 2011 to March 2020. From February 2009 to April 2011, Mr. Massarany served as President of at Ventana Medical Systems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 xml:space="preserve">Jack Schuler </w:t>
      </w:r>
      <w:r>
        <w:rPr>
          <w:rFonts w:ascii="Arial" w:cs="Arial" w:eastAsia="Arial" w:hAnsi="Arial"/>
          <w:sz w:val="17"/>
          <w:szCs w:val="17"/>
          <w:color w:val="auto"/>
        </w:rPr>
        <w:t>has served as a Director of the Company since June 2008. Mr. Schuler served as a director of Ventana Medical Systems, Inc. from 1991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Chairman 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(NYSE:ABT), Medtronic (Lead Director) (NYSE: MDT), Stericyle (Chairman) (NASDAQ: SRCL), Chiron Corporation, and Quidel Corporation (NASDAQ: QDEL), and currently serves on the board of directors of Accelerate Diagnostics (NASDAQ: AXDX). Mr. Schuler holds a B.S. in Mechanical Engineering from Tufts University and an M.B.A. from Stanford University Graduate School of Business Administration.</w:t>
      </w:r>
    </w:p>
    <w:p>
      <w:pPr>
        <w:spacing w:after="0" w:line="17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b w:val="1"/>
          <w:bCs w:val="1"/>
          <w:i w:val="1"/>
          <w:iCs w:val="1"/>
          <w:color w:val="auto"/>
        </w:rPr>
        <w:t>Matthew Strobeck, Ph.D</w:t>
      </w:r>
      <w:r>
        <w:rPr>
          <w:rFonts w:ascii="Arial" w:cs="Arial" w:eastAsia="Arial" w:hAnsi="Arial"/>
          <w:sz w:val="17"/>
          <w:szCs w:val="17"/>
          <w:color w:val="auto"/>
        </w:rPr>
        <w:t>. has served as a Director of the Company since January 2012. Dr. Strobeck is currently the Managing Partner of Birchview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In addition, Dr. Strobeck is currently a Director of Quidel Corporation (NASDAQ: QDEL), Accelerate Diagnostics (NASDAQ: AXDX), Tepha Inc., and Monteris Medical. Dr. Strobeck received a B.S. from St. Lawrence University, a Ph.D. from the University of Cincinnati, a S.M. from the Harvard University/MIT Health Sciences Technology Program, and a S.M. from the MIT Sloan School of Management.</w:t>
      </w:r>
    </w:p>
    <w:p>
      <w:pPr>
        <w:spacing w:after="0" w:line="17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b w:val="1"/>
          <w:bCs w:val="1"/>
          <w:i w:val="1"/>
          <w:iCs w:val="1"/>
          <w:color w:val="auto"/>
        </w:rPr>
        <w:t>Charles Watts, M.D</w:t>
      </w:r>
      <w:r>
        <w:rPr>
          <w:rFonts w:ascii="Arial" w:cs="Arial" w:eastAsia="Arial" w:hAnsi="Arial"/>
          <w:sz w:val="16"/>
          <w:szCs w:val="16"/>
          <w:color w:val="auto"/>
        </w:rPr>
        <w:t>. has served as a Director of the Company since July 2019. Until his retirement, Dr. Watts served as Chief Medical Officer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Northwestern Memorial Hospital (NMH) and Associate Dean for Clinical Affairs at the Feinberg School of Medicine, Northwestern University from 2001 to 2011. Prior to his tenure at Northwestern, Dr. Watts served as Chief of Clinical Affairs and Associate Dean at the University of Michigan Medical Center. He has also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ten directors.</w:t>
      </w:r>
    </w:p>
    <w:p>
      <w:pPr>
        <w:spacing w:after="0" w:line="124"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that will go into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92" w:lineRule="exact"/>
        <w:rPr>
          <w:sz w:val="20"/>
          <w:szCs w:val="20"/>
          <w:color w:val="auto"/>
        </w:rPr>
      </w:pPr>
    </w:p>
    <w:p>
      <w:pPr>
        <w:ind w:left="1000" w:right="8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 directors will be John Patience and Scott Hutton, and their terms will expire at our first annual meeting of stockholders following this offering;</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II directors will be Matthew Strobeck, Ph.D. and Charles Watts, M.D., and their terms will expire at our second annual meeting of stockholders following this offering; and</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III directors will be Jean Franchi, Hany Massarany and Jack Schuler, and their terms will be expire at our third annual meeting of stockholders following this offering.</w:t>
      </w:r>
    </w:p>
    <w:p>
      <w:pPr>
        <w:spacing w:after="0" w:line="170"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Our amended and restated certificate of incorporation and amended and restated bylaws that will go into effect upon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Under the listing requirements and rules of Nasdaq Global Market, independent directors must comprise a majority of our Board of Directors as a listed company within one year of the closing of this offering.</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and Messrs. Massarany, Strobeck, Watts, Schuler and Patience do not have any relationships that would interfere with the exercise of independent judgment in carrying out the responsibilities of a director and that each of these directors is “independent” as that term is defined under the applicable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Our corporate governance guidelines, which will become effective immediately prior to the completion of this offering, will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Patience currently serves as the Chairman of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Our Board of Directors may establish other committees to facilitate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459" w:right="3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management of our business. The composition and functions of each committee are described below. Members serve on these committees until their resignation or until otherwise determined by our Board of Directors.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Effective as of the date the registration statement of which this prospectus forms a part is declared effective by the SEC, our audit committee will consist of Ms. Franchi and Messrs. Massarany and Strobeck, each of whom our Board of Directors has determined satisfies the independence requirements under the applicable listing requirements and rules of the Nasdaq Global Market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83" w:lineRule="exact"/>
        <w:rPr>
          <w:sz w:val="20"/>
          <w:szCs w:val="20"/>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discussing with our management the adequacy and effectiveness of our disclosure controls and procedures;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assisting with design and implementation of our risk assessment functions;</w:t>
      </w:r>
    </w:p>
    <w:p>
      <w:pPr>
        <w:spacing w:after="0" w:line="130"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 and deciding whether to retain its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an independent registered public accounting firm;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audit committee and adequacy of its charter.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compensation committee will consist of Messrs. Massarany, Patience and Watts, and the chair of our compensation committee will be Mr. Massarany. Our Board of Directors has determined that each of Messrs. Massarany, Patience and Watts is independent under the applicable listing requirements and rules of the Nasdaq Global Market and is a “non-employee director” as defined in Rule 16b-3 promulgated under the Exchange Act. The functions of this committee include:</w:t>
      </w:r>
    </w:p>
    <w:p>
      <w:pPr>
        <w:spacing w:after="0" w:line="63" w:lineRule="exact"/>
        <w:rPr>
          <w:sz w:val="20"/>
          <w:szCs w:val="20"/>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modifying and overseeing overall compensation strategy and policies;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approving the compensation and other terms of employment of our chief executive officer, other executive officers and senior management, as appropriate;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reviewing and approving the compensation arrangements with our executive officers and other senior management, as appropriate;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recommending to the full Board of Directors the compensation of our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459"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appointing and overseeing the work of compensation consultants, legal counsel or any other advisors and consultants engaged for the purpose of advising the compensation committee;</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adopting and administering equity award plans, compensation plans and similar programs, as well as modification or termination of plans and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evaluating with the chief executive officer the succession plans for our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compensation committee and the adequacy of its charter.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420" w:firstLine="449"/>
        <w:spacing w:after="0" w:line="259" w:lineRule="auto"/>
        <w:rPr>
          <w:sz w:val="20"/>
          <w:szCs w:val="20"/>
          <w:color w:val="auto"/>
        </w:rPr>
      </w:pPr>
      <w:r>
        <w:rPr>
          <w:rFonts w:ascii="Arial" w:cs="Arial" w:eastAsia="Arial" w:hAnsi="Arial"/>
          <w:sz w:val="18"/>
          <w:szCs w:val="18"/>
          <w:color w:val="auto"/>
        </w:rPr>
        <w:t>Effective as of the date the registration statement of which this prospectus forms a part is declared effective by the SEC, our nominating and corporate governance committee consists of Ms. Franchi and Messrs. Strobeck and Schuler and the chair of our nominating and corporate governance committee will be Mr. Strobeck. Our Board of Directors has determined that Ms. Franchi and Messrs. Strobeck and Schuler are independent under the applicable listing standards. The functions of this committee include:</w:t>
      </w:r>
    </w:p>
    <w:p>
      <w:pPr>
        <w:spacing w:after="0" w:line="92" w:lineRule="exact"/>
        <w:rPr>
          <w:sz w:val="20"/>
          <w:szCs w:val="20"/>
          <w:color w:val="auto"/>
        </w:rPr>
      </w:pPr>
    </w:p>
    <w:p>
      <w:pPr>
        <w:ind w:left="1000" w:right="24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00" w:right="120" w:hanging="547"/>
        <w:spacing w:after="0" w:line="308"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amendments to our corporate governance policies; and</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have adopted a Code of Conduct that applies to all of our employees, officers (including our principal executive officer, principal financial officer and principal accounting officer or controller, or persons performing similar functions), agents and representatives, including directors and consultants. The full text of our Code of Conduct will be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The information contained on, or accessible from, or hyperlinked to, our website is not part of, and is not incorporated into,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 or has served during the last calendar year, as a member of the Board of Directors or compensation committee of any entity that has one or more executive officers serving as a member of our Board of Directors or compensation committee.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During the year ended December 31, 2019, none of our non-employee directors received retainers or other cash payments with respect to service on our Board of Directors or any of its committees. In connection with this offering, we expect to adopt a formal non-employee director compensation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table sets forth information for the fiscal year ended December 31, 2019 regarding the compensation awarded to, earned by or paid to our non-employee directors. The only compensation received by our non-employee directors was in the form of restricted stock units (RSUs) and option awards.</w:t>
      </w:r>
    </w:p>
    <w:p>
      <w:pPr>
        <w:spacing w:after="0" w:line="184"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In respect of 2019 service, Messrs. Schuler, Patience, Miller, and Strobeck each received stock options representing the right to purchase 35,158 shares of our common stock. Dr. Watts joined the Board of Directors as of July 16, 2019. The Board of Directors granted him a new member equity award and a pro-rata award for the term from his first board meeting until March 31, 2020, upon availability from the stock option pool. As such, Dr. Watts received stock options representing the right to purchase 26,368 shares of our common stock. These stock options vest in a series of twelve (12) successive, equal monthly installments measured from the vesting commencement date. Moreover, Dr. Watts received an RSU award with respect to 26,368 shares of our common stock. Two-fifths (2/5) of the shares subject to this RSU award vest on the second anniversary of the vesting commencement date, with the remaining balance vesting in a series of thirty-six (36) successive equal monthly installments measured from the second anniversary of the vesting commencement date, provided that, no shares will be issued until the earlier of Dr. Watts’ separation from service other than for cause and the fifth anniversary of the vesting commencement date. In the event Dr. Watts is terminated for cause, this award will be forfeited and no shares will be issued.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600" w:type="dxa"/>
            <w:vAlign w:val="bottom"/>
            <w:vMerge w:val="restart"/>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Jack Schuler</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 Miller</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Watts, M.D.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5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RSUs, calculated in accordance with FASB ASC Topic 718 based on the assumption that the value of each RSU was equal to $0.77.</w:t>
      </w:r>
    </w:p>
    <w:p>
      <w:pPr>
        <w:spacing w:after="0" w:line="1" w:lineRule="exact"/>
        <w:rPr>
          <w:rFonts w:ascii="Arial" w:cs="Arial" w:eastAsia="Arial" w:hAnsi="Arial"/>
          <w:sz w:val="18"/>
          <w:szCs w:val="18"/>
          <w:color w:val="auto"/>
        </w:rPr>
      </w:pPr>
    </w:p>
    <w:p>
      <w:pPr>
        <w:ind w:left="460" w:right="100" w:hanging="452"/>
        <w:spacing w:after="0" w:line="252"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11 of our audited financial statements included elsewhere in this prospectus and under the heading “Management’s Discussion and Analysis of Financial Condition and Results of Operations—Critical Accounting Policies and Significant Judgments and Estimates—Stock-based compensation and common stock valuation” in this prospectus. These amounts do not correspond to the actual value that may be recognized by the named executive officers upon vesting of the applicable awards.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Our current executive compensation program is intended to align executive compensation with our performance objectives and business strategy and to enable us to attract, motivate, retain and reward executive officers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the year ended December 31, 2019, the material elements of our executive compensation program were base salary, discretionary cash bonus and equity awards in the form of stock options.</w:t>
      </w:r>
    </w:p>
    <w:p>
      <w:pPr>
        <w:spacing w:after="0" w:line="164"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Following this offering, we expect that our executive compensation program will evolve to reflect our status as a newly publicly-traded company, while still supporting our overall business and compensation objectives. The compensation committee of our Board of Directors (Compensation Committee) oversees our executive compensation program. In addition, during the year ended December 31, 2019, we retained an independent executive compensation consultant to help advise on elements of our executive compensation program. This section provides a discussion of the compensation paid or awarded to our Chief Executive Officer and our two other most highly compensated executive officers serving as of December 31, 2019, the end of fiscal 2019. We refer to these individuals as our “named executive officers.” For the year ended December 31, 2019, our named executive officers were:</w:t>
      </w:r>
    </w:p>
    <w:p>
      <w:pPr>
        <w:spacing w:after="0" w:line="70" w:lineRule="exact"/>
        <w:rPr>
          <w:sz w:val="20"/>
          <w:szCs w:val="20"/>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David Brunel, Former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Robin Harper Cowie, Chief Financial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Scott Hutton, Former Chief Operating Officer.</w:t>
      </w:r>
    </w:p>
    <w:p>
      <w:pPr>
        <w:spacing w:after="0" w:line="225" w:lineRule="exact"/>
        <w:rPr>
          <w:sz w:val="20"/>
          <w:szCs w:val="20"/>
          <w:color w:val="auto"/>
        </w:rPr>
      </w:pPr>
    </w:p>
    <w:p>
      <w:pPr>
        <w:ind w:right="220" w:firstLine="449"/>
        <w:spacing w:after="0" w:line="293" w:lineRule="auto"/>
        <w:rPr>
          <w:sz w:val="20"/>
          <w:szCs w:val="20"/>
          <w:color w:val="auto"/>
        </w:rPr>
      </w:pPr>
      <w:r>
        <w:rPr>
          <w:rFonts w:ascii="Arial" w:cs="Arial" w:eastAsia="Arial" w:hAnsi="Arial"/>
          <w:sz w:val="16"/>
          <w:szCs w:val="16"/>
          <w:color w:val="auto"/>
        </w:rPr>
        <w:t>Effective December 31, 2019, Mr. Brunel ceased to be our Company’s Chief Executive Officer. Effective January 1, 2020, Mr. Brunel became our Company’s Chairman of the Board of Directors. Pursuant to the Brunel Consulting Agreement as described in the section titled “Certain 2020 Actions”, Mr. Brunel resigned from his position as Chairman of the Board of Directors and ceased to be a member of the Board of Directors effective as of September 14, 2020. As of such resignation, Mr. Brunel began service at the pleasure of the Board of Directors as a Director Emeritus. He will cease providing services to the Company as an employee on December 31, 2020 and will provide consulting services to the Company beginning on January 1, 2021. Effective January 1, 2020, Mr. Hutton ceased to be our Chief Operating Officer and became our President and Chief Executive Officer.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320" w:top="459" w:right="3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executive officer’s scope of responsibility and accountability to us. Please see the “Salary” column in the 2019 Summary Compensation Table for the base salary amounts received by each named executive officer during the year ended December 31, 2019.</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Generally, our Compensation Committee establishes a Company-based performance metric as a threshold vesting criteria for any payouts for a particular annual bonus period. In determining bonus payouts, if any, individual performance of our named executive officers with respect to individual goals established at the beginning of the applicable year is only considered if that metric is met or exceeded. For 2019, the Compensation Committee determined that the Company’s revenue would be the applicable Company-based metric, and at year end, measured actual revenue against targeted revenue, determined in accordance with U.S. GAAP. No payouts were earned or made under the 2019 annual cash bonus program.</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To further align the interests of our executive officers with the interests of our stockholders and to further focus our executive officers on our long-term performance, we have historically granted equity compensation in the form of stock options. In the year ended December 31, 2019, the Board of Directors awarded Messrs. Brunel, Hutton, and Ms. Harper Cowie stock options (Time-Vested Options) representing the right to purchase 45,485, 42,116, and 35,377 shares of our common stock, respectively, on a five-year vesting schedule. Two fifths (2/5) of the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service through the applicable vesting date. In September 2020, the Board of Directors amended the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1"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In the year ended December 31, 2019, the Board of Directors also awarded Messrs. Brunel, Hutton, and Ms. Harper Cowie stock options (Performance-Vested Options) representing the right to purchase 26,954, 25,269, and 17,688 shares of our common stock, respectively, on a three-year vesting schedule subject to the achievement of applicable performance criteria. One third (1/3) of these Performance-Vested Options vest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168"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Please see “Outstanding Equity Awards at Fiscal 2019 Year-End” for a summary of the outstanding equity awards held by each of the named executive officers as of 2019 year-end.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9" w:right="3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during the year ended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Fiscal</w:t>
            </w: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47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8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Year</w:t>
            </w: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right"/>
              <w:ind w:right="2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5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David Brunel</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2019</w:t>
            </w: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343,750</w:t>
            </w:r>
          </w:p>
        </w:tc>
        <w:tc>
          <w:tcPr>
            <w:tcW w:w="3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7"/>
              </w:rPr>
              <w:t>41,157</w:t>
            </w:r>
          </w:p>
        </w:tc>
        <w:tc>
          <w:tcPr>
            <w:tcW w:w="3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6"/>
              </w:rPr>
              <w:t>384,907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Former Chief Executive Officer </w:t>
            </w:r>
            <w:r>
              <w:rPr>
                <w:rFonts w:ascii="Arial" w:cs="Arial" w:eastAsia="Arial" w:hAnsi="Arial"/>
                <w:sz w:val="15"/>
                <w:szCs w:val="15"/>
                <w:color w:val="auto"/>
              </w:rPr>
              <w:t>(1)</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5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298,475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38,285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336,760</w:t>
            </w:r>
          </w:p>
        </w:tc>
        <w:tc>
          <w:tcPr>
            <w:tcW w:w="0" w:type="dxa"/>
            <w:vAlign w:val="bottom"/>
          </w:tcPr>
          <w:p>
            <w:pPr>
              <w:spacing w:after="0"/>
              <w:rPr>
                <w:sz w:val="1"/>
                <w:szCs w:val="1"/>
                <w:color w:val="auto"/>
              </w:rPr>
            </w:pP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 xml:space="preserve">Former Chief Operating Officer </w:t>
            </w:r>
            <w:r>
              <w:rPr>
                <w:rFonts w:ascii="Arial" w:cs="Arial" w:eastAsia="Arial" w:hAnsi="Arial"/>
                <w:sz w:val="15"/>
                <w:szCs w:val="15"/>
                <w:color w:val="auto"/>
              </w:rPr>
              <w:t>(2)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Robin Harper Cowie</w:t>
            </w:r>
          </w:p>
        </w:tc>
        <w:tc>
          <w:tcPr>
            <w:tcW w:w="8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5"/>
              </w:rPr>
              <w:t>263,525</w:t>
            </w:r>
          </w:p>
        </w:tc>
        <w:tc>
          <w:tcPr>
            <w:tcW w:w="12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30,150</w:t>
            </w:r>
          </w:p>
        </w:tc>
        <w:tc>
          <w:tcPr>
            <w:tcW w:w="7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293,675</w:t>
            </w:r>
          </w:p>
        </w:tc>
        <w:tc>
          <w:tcPr>
            <w:tcW w:w="0" w:type="dxa"/>
            <w:vAlign w:val="bottom"/>
          </w:tcPr>
          <w:p>
            <w:pPr>
              <w:spacing w:after="0"/>
              <w:rPr>
                <w:sz w:val="1"/>
                <w:szCs w:val="1"/>
                <w:color w:val="auto"/>
              </w:rPr>
            </w:pPr>
          </w:p>
        </w:tc>
      </w:tr>
      <w:tr>
        <w:trPr>
          <w:trHeight w:val="24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55"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Brunel’s service as our Chief Executive Officer terminated on December 31, 2019, after which he became Chairman of our Board of Directors. Mr. Brunel resigned from the Board of Directors in September 2020. Effective January 1, 2021, Mr. Brunel is expected to transition into a consulting role for which he will be paid a quarterly fee of $5,000.</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Mr. Hutton’s service as our Chief Operating Officer terminated on January 1, 2020, after which he became the President and Chief Executive Officer.</w:t>
      </w:r>
    </w:p>
    <w:p>
      <w:pPr>
        <w:spacing w:after="0" w:line="3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our 2019 performance measured against the Company’s objectives, our Compensation Committee determined not to award payouts under the 2019 annual cash bonus program.</w:t>
      </w:r>
    </w:p>
    <w:p>
      <w:pPr>
        <w:ind w:left="460" w:right="580" w:hanging="452"/>
        <w:spacing w:after="0" w:line="253"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FASB ASC Topic 718. The assumptions used in calculating the grant date fair value of the award disclosed in this column are set forth in Note 11 of our audited financial statements included elsewhere in this prospectus. These amounts do not correspond to the actual value that may be recognized by the named executive officers upon vesting of the applicable awards.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2019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regarding the outstanding equity awards held by each of the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As of the year ended December 31, 2019, none of the named executive officers held any outstanding restricted stock units or other stock awards.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Grant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60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7"/>
        </w:trPr>
        <w:tc>
          <w:tcPr>
            <w:tcW w:w="2560" w:type="dxa"/>
            <w:vAlign w:val="bottom"/>
            <w:vMerge w:val="continue"/>
          </w:tcPr>
          <w:p>
            <w:pPr>
              <w:spacing w:after="0"/>
              <w:rPr>
                <w:sz w:val="13"/>
                <w:szCs w:val="13"/>
                <w:color w:val="auto"/>
              </w:rPr>
            </w:pPr>
          </w:p>
        </w:tc>
        <w:tc>
          <w:tcPr>
            <w:tcW w:w="2600" w:type="dxa"/>
            <w:vAlign w:val="bottom"/>
          </w:tcPr>
          <w:p>
            <w:pPr>
              <w:jc w:val="right"/>
              <w:ind w:right="392"/>
              <w:spacing w:after="0" w:line="157" w:lineRule="exact"/>
              <w:rPr>
                <w:sz w:val="20"/>
                <w:szCs w:val="20"/>
                <w:color w:val="auto"/>
              </w:rPr>
            </w:pPr>
            <w:r>
              <w:rPr>
                <w:rFonts w:ascii="Arial" w:cs="Arial" w:eastAsia="Arial" w:hAnsi="Arial"/>
                <w:sz w:val="14"/>
                <w:szCs w:val="14"/>
                <w:b w:val="1"/>
                <w:bCs w:val="1"/>
                <w:color w:val="auto"/>
              </w:rPr>
              <w:t>Date</w:t>
            </w:r>
          </w:p>
        </w:tc>
        <w:tc>
          <w:tcPr>
            <w:tcW w:w="130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1"/>
              </w:rPr>
              <w:t>(#) Exercisable</w:t>
            </w:r>
          </w:p>
        </w:tc>
        <w:tc>
          <w:tcPr>
            <w:tcW w:w="144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1"/>
              </w:rPr>
              <w:t>(#) Unexercisable</w:t>
            </w:r>
          </w:p>
        </w:tc>
        <w:tc>
          <w:tcPr>
            <w:tcW w:w="114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4"/>
              </w:rPr>
              <w:t>Options (#)</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David Brunel</w:t>
            </w: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4/26/2010</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7,045</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16.33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4/25/2020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4/22/2011</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11,281</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16.33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4/21/2021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8/8/2011</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21,058</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3.33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8/7/2021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1/30/2012</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19,373</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3.33</w:t>
            </w:r>
          </w:p>
        </w:tc>
        <w:tc>
          <w:tcPr>
            <w:tcW w:w="1200" w:type="dxa"/>
            <w:vAlign w:val="bottom"/>
          </w:tcPr>
          <w:p>
            <w:pPr>
              <w:jc w:val="right"/>
              <w:spacing w:after="0"/>
              <w:rPr>
                <w:sz w:val="20"/>
                <w:szCs w:val="20"/>
                <w:color w:val="auto"/>
              </w:rPr>
            </w:pPr>
            <w:r>
              <w:rPr>
                <w:rFonts w:ascii="Arial" w:cs="Arial" w:eastAsia="Arial" w:hAnsi="Arial"/>
                <w:sz w:val="18"/>
                <w:szCs w:val="18"/>
                <w:color w:val="auto"/>
              </w:rPr>
              <w:t>1/29/2022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1/30/2012</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8,495</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20.90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1/29/2022</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2/5/2013</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884</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23.75</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2/4/2023</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3/11/2013</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18,784</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3.45</w:t>
            </w:r>
          </w:p>
        </w:tc>
        <w:tc>
          <w:tcPr>
            <w:tcW w:w="1200" w:type="dxa"/>
            <w:vAlign w:val="bottom"/>
          </w:tcPr>
          <w:p>
            <w:pPr>
              <w:jc w:val="right"/>
              <w:spacing w:after="0"/>
              <w:rPr>
                <w:sz w:val="20"/>
                <w:szCs w:val="20"/>
                <w:color w:val="auto"/>
              </w:rPr>
            </w:pPr>
            <w:r>
              <w:rPr>
                <w:rFonts w:ascii="Arial" w:cs="Arial" w:eastAsia="Arial" w:hAnsi="Arial"/>
                <w:sz w:val="18"/>
                <w:szCs w:val="18"/>
                <w:color w:val="auto"/>
              </w:rPr>
              <w:t>3/10/2023</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2/4/2014</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18,531</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4.40</w:t>
            </w:r>
          </w:p>
        </w:tc>
        <w:tc>
          <w:tcPr>
            <w:tcW w:w="1200" w:type="dxa"/>
            <w:vAlign w:val="bottom"/>
          </w:tcPr>
          <w:p>
            <w:pPr>
              <w:jc w:val="right"/>
              <w:spacing w:after="0"/>
              <w:rPr>
                <w:sz w:val="20"/>
                <w:szCs w:val="20"/>
                <w:color w:val="auto"/>
              </w:rPr>
            </w:pPr>
            <w:r>
              <w:rPr>
                <w:rFonts w:ascii="Arial" w:cs="Arial" w:eastAsia="Arial" w:hAnsi="Arial"/>
                <w:sz w:val="18"/>
                <w:szCs w:val="18"/>
                <w:color w:val="auto"/>
              </w:rPr>
              <w:t>2/3/2024</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2/20/2014</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14,381</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24.34</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2/19/2024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4/8/2015</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8,282</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140</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4.40</w:t>
            </w:r>
          </w:p>
        </w:tc>
        <w:tc>
          <w:tcPr>
            <w:tcW w:w="1200" w:type="dxa"/>
            <w:vAlign w:val="bottom"/>
          </w:tcPr>
          <w:p>
            <w:pPr>
              <w:jc w:val="right"/>
              <w:spacing w:after="0"/>
              <w:rPr>
                <w:sz w:val="20"/>
                <w:szCs w:val="20"/>
                <w:color w:val="auto"/>
              </w:rPr>
            </w:pPr>
            <w:r>
              <w:rPr>
                <w:rFonts w:ascii="Arial" w:cs="Arial" w:eastAsia="Arial" w:hAnsi="Arial"/>
                <w:sz w:val="18"/>
                <w:szCs w:val="18"/>
                <w:color w:val="auto"/>
              </w:rPr>
              <w:t>4/7/2025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4/7/2016</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51,564</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9,125</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0.84</w:t>
            </w:r>
          </w:p>
        </w:tc>
        <w:tc>
          <w:tcPr>
            <w:tcW w:w="1200" w:type="dxa"/>
            <w:vAlign w:val="bottom"/>
          </w:tcPr>
          <w:p>
            <w:pPr>
              <w:jc w:val="right"/>
              <w:spacing w:after="0"/>
              <w:rPr>
                <w:sz w:val="20"/>
                <w:szCs w:val="20"/>
                <w:color w:val="auto"/>
              </w:rPr>
            </w:pPr>
            <w:r>
              <w:rPr>
                <w:rFonts w:ascii="Arial" w:cs="Arial" w:eastAsia="Arial" w:hAnsi="Arial"/>
                <w:sz w:val="18"/>
                <w:szCs w:val="18"/>
                <w:color w:val="auto"/>
              </w:rPr>
              <w:t>4/6/2026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10/14/2016</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4,643</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0.84</w:t>
            </w:r>
          </w:p>
        </w:tc>
        <w:tc>
          <w:tcPr>
            <w:tcW w:w="1200" w:type="dxa"/>
            <w:vAlign w:val="bottom"/>
          </w:tcPr>
          <w:p>
            <w:pPr>
              <w:jc w:val="right"/>
              <w:spacing w:after="0"/>
              <w:rPr>
                <w:sz w:val="20"/>
                <w:szCs w:val="20"/>
                <w:color w:val="auto"/>
              </w:rPr>
            </w:pPr>
            <w:r>
              <w:rPr>
                <w:rFonts w:ascii="Arial" w:cs="Arial" w:eastAsia="Arial" w:hAnsi="Arial"/>
                <w:sz w:val="18"/>
                <w:szCs w:val="18"/>
                <w:color w:val="auto"/>
              </w:rPr>
              <w:t>10/13/2026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5/16/2017</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19,654</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14,038</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0.42</w:t>
            </w:r>
          </w:p>
        </w:tc>
        <w:tc>
          <w:tcPr>
            <w:tcW w:w="1200" w:type="dxa"/>
            <w:vAlign w:val="bottom"/>
          </w:tcPr>
          <w:p>
            <w:pPr>
              <w:jc w:val="right"/>
              <w:spacing w:after="0"/>
              <w:rPr>
                <w:sz w:val="20"/>
                <w:szCs w:val="20"/>
                <w:color w:val="auto"/>
              </w:rPr>
            </w:pPr>
            <w:r>
              <w:rPr>
                <w:rFonts w:ascii="Arial" w:cs="Arial" w:eastAsia="Arial" w:hAnsi="Arial"/>
                <w:sz w:val="18"/>
                <w:szCs w:val="18"/>
                <w:color w:val="auto"/>
              </w:rPr>
              <w:t>5/15/2027</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12,915</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20,777</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0.42</w:t>
            </w:r>
          </w:p>
        </w:tc>
        <w:tc>
          <w:tcPr>
            <w:tcW w:w="1200" w:type="dxa"/>
            <w:vAlign w:val="bottom"/>
          </w:tcPr>
          <w:p>
            <w:pPr>
              <w:jc w:val="right"/>
              <w:spacing w:after="0"/>
              <w:rPr>
                <w:sz w:val="20"/>
                <w:szCs w:val="20"/>
                <w:color w:val="auto"/>
              </w:rPr>
            </w:pPr>
            <w:r>
              <w:rPr>
                <w:rFonts w:ascii="Arial" w:cs="Arial" w:eastAsia="Arial" w:hAnsi="Arial"/>
                <w:sz w:val="18"/>
                <w:szCs w:val="18"/>
                <w:color w:val="auto"/>
              </w:rPr>
              <w:t>4/3/2028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67,386</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4.46</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12/31/2027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3/22/2019</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45,485</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26,954</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0.78</w:t>
            </w:r>
          </w:p>
        </w:tc>
        <w:tc>
          <w:tcPr>
            <w:tcW w:w="1200" w:type="dxa"/>
            <w:vAlign w:val="bottom"/>
          </w:tcPr>
          <w:p>
            <w:pPr>
              <w:jc w:val="right"/>
              <w:spacing w:after="0"/>
              <w:rPr>
                <w:sz w:val="20"/>
                <w:szCs w:val="20"/>
                <w:color w:val="auto"/>
              </w:rPr>
            </w:pPr>
            <w:r>
              <w:rPr>
                <w:rFonts w:ascii="Arial" w:cs="Arial" w:eastAsia="Arial" w:hAnsi="Arial"/>
                <w:sz w:val="18"/>
                <w:szCs w:val="18"/>
                <w:color w:val="auto"/>
              </w:rPr>
              <w:t>12/31/2028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Scott Hutton</w:t>
            </w: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84,233</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0.42</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4/3/2028</w:t>
            </w:r>
          </w:p>
        </w:tc>
        <w:tc>
          <w:tcPr>
            <w:tcW w:w="0" w:type="dxa"/>
            <w:vAlign w:val="bottom"/>
          </w:tcPr>
          <w:p>
            <w:pPr>
              <w:spacing w:after="0"/>
              <w:rPr>
                <w:sz w:val="1"/>
                <w:szCs w:val="1"/>
                <w:color w:val="auto"/>
              </w:rPr>
            </w:pPr>
          </w:p>
        </w:tc>
      </w:tr>
      <w:tr>
        <w:trPr>
          <w:trHeight w:val="228"/>
        </w:trPr>
        <w:tc>
          <w:tcPr>
            <w:tcW w:w="2560" w:type="dxa"/>
            <w:vAlign w:val="bottom"/>
          </w:tcPr>
          <w:p>
            <w:pPr>
              <w:spacing w:after="0"/>
              <w:rPr>
                <w:sz w:val="19"/>
                <w:szCs w:val="19"/>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3/22/2019</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42,116</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25,269</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0.78</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12/31/2028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-2475230</wp:posOffset>
            </wp:positionV>
            <wp:extent cx="7132320" cy="22028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Robin Harper Cowie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4/22/2011</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2,526</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4/21/2021</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2/4/2014</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10,107</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4.40</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2/3/2024</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4/8/2015</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6,626</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4.40</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4/7/2025</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4/7/2016</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35,885</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7,665</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0.84</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4/6/2026</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5/16/2017</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9,827</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7,019</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5/15/2027</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4/4/2018</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8,072</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12,985</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4/3/2028</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3/22/2019</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35,377</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17,688</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0.78</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12/31/2028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These stock options vest in a series of sixty (60) successive, equal monthly installments measured from the vesting commencement date.</w:t>
      </w:r>
    </w:p>
    <w:p>
      <w:pPr>
        <w:spacing w:after="0" w:line="34"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2" w:lineRule="exact"/>
        <w:rPr>
          <w:rFonts w:ascii="Arial" w:cs="Arial" w:eastAsia="Arial" w:hAnsi="Arial"/>
          <w:sz w:val="18"/>
          <w:szCs w:val="18"/>
          <w:color w:val="auto"/>
        </w:rPr>
      </w:pPr>
    </w:p>
    <w:p>
      <w:pPr>
        <w:jc w:val="both"/>
        <w:ind w:left="460" w:right="40" w:hanging="452"/>
        <w:spacing w:after="0" w:line="255"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40" w:hanging="452"/>
        <w:spacing w:after="0" w:line="283"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year ended December 31, 2019, the Board of Directors awarded Messrs. Brunel, Hutton, and Ms. Harper Cowie stock options representing the right to purchase 26,954, 25,269 and 17,688 shares of our common stock, respectively. One third (1/3) of these performance-based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(1/3) of each executive’s award was cancelled, and the remaining two thirds (2/3) of each of Mr. Hutton’s and Ms. Cowie’s awards are currently outstanding.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believes that the achievement of the performance hurdles remains uncertain, and retains ultimate discretion to determine whether such performance hurdles have been met.</w:t>
      </w:r>
    </w:p>
    <w:p>
      <w:pPr>
        <w:spacing w:after="0" w:line="2"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Under the terms of the Brunel Consulting Agreement, the expiration date of these stock options has been amended to be the earlier of (i) December 31, 2021, (ii) thirty (30) days after the termination of the Brunel Consulting Agreement, and (iii) the original expiration date of such term as reflected in the table above.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Harper Cowie Offer Letters</w:t>
      </w:r>
    </w:p>
    <w:p>
      <w:pPr>
        <w:spacing w:after="0" w:line="117"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color w:val="auto"/>
        </w:rPr>
        <w:t>For the year ended December 31, 2019, Ms. Harper Cowie was party to an offer letter agreement with the Company, dated as of March 11, 2011, as amended (the 2011 Harper Cowie Offer Letter). Effective February 16, 2019, Ms. Harper Cowie’s base salary was raised to $265,000 annually, and she is eligible to receive a bonus of up to 50% of her base salary if certain milestones and objectives determined by the Company were achieved.</w:t>
      </w:r>
    </w:p>
    <w:p>
      <w:pPr>
        <w:spacing w:after="0" w:line="149"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Ms. Harper Cowie and the Company entered into a new offer letter agreement, dated as of February 23, 2020, which supersedes the 2011 Harper Cowie Offer Letter (the 2020 Harper Cowie Offer Letter). Under the terms of the 2020 Harper Cowie Offer Letter, Ms. Harper Cowie is entitled to a base salary of $290,000 annually effective the beginning of the first month after this offering,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2011 Harper Cowie Offer Letter, including but not limited to a termination following a change in control. The severance benefits consist of (i) base salary continuation for a period of 6 months following the effective date of a general release of claims, less standard deductions and withholdings, and (ii) if Ms. Harper Cowie timely elects healthcare continuation coverage under the Consolidated Omnibus Reconciliation Act of 1985, as amended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Pursuant to the 2020 Harper Cowie Offer Letter, in the event Ms. Harper Cowie resigned, or if her employment was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Hutton Offer Letters</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For the year ended December 31, 2019, Mr. Hutton was party to an offer letter agreement with the Company, dated as of February 8, 2018, as amended (the 2018 Hutton Offer Letter). Effective February 16, 2019, Mr. Hutton’s base salary was raised to $300,000 annually. Under the terms of the 2018 Hutton Offer Letter, Mr. Hutton is eligible to receive a bonus of up to 50% of his base salary if certain milestones and objectives determined by the Company are achieved. Mr. Hutton and the Company entered into a new offer letter agreement, dated as of February 23, 2020, which supersedes the 2018 Hutton Offer Letter (the 2020 Hutton Offer Letter). Under the terms of the 2020 Hutton Offer Letter, effective January 1, 2020, Mr. Hutton’s base salary was raised to $350,000 annually. Effective the beginning of the first month after this offering, Mr. Hutton’s base salary will be further adjusted to $425,000 annually, and he will be eligible to receive a bonus of up to 100% of his base salary.</w:t>
      </w:r>
    </w:p>
    <w:p>
      <w:pPr>
        <w:spacing w:after="0" w:line="17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addition, Mr. Hutton is entitled to certain severance benefits in the event that his employment with the Company is terminated without Cause, as defined in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 (i) base salary continuation for a period of 12 months following the effective date of a general release of claims, less standard deductions and withholdings, and (ii) if Mr. Hutton timely elects healthcare continuation coverage under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8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shall cease to vest and be forfeited on Mr. Hutton’s last day of employment. In the event that Mr. Hutton’s employment is terminated by the Company without Cause, as defined in the 2020 Hutton Offer Letter, he is entitled to the same severance benefits as provided for under the 2018 Hutton Offer Letter, plus an additional payout of target bonus previously established by the Compensation Committee. Furthermore, any change in control which results in a change of position will trigger the accelerated vesting of 100% of all unvested and then outstanding options held by Mr. Hutton.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320" w:top="459" w:right="3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 2016, our Board of Directors adopted our 2016 Equity Incentive Plan (the 2016 Incentive Plan). The following summary describes the material terms of the 2016 Incentive Plan. This summary is not a complete description of all provisions of the 2016 Incentive Plan and is qualified in its entirety by reference to the 2016 Incentive Plan, which will be filed as an exhibit to the registration statement of which this prospectus is a part.</w:t>
      </w:r>
    </w:p>
    <w:p>
      <w:pPr>
        <w:spacing w:after="0" w:line="16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purpose of the 2016 Incentive Plan is to help secure and retain persons performing services to the Company, provide incentives for such persons to exert maximum efforts for the success of the Company and any affiliate, and provide a means by which such persons may benefit from increases in value of the Company’s common stock. The 2016 Incentive Plan provides for the grant of incentive stock options (within the meaning of Section 422 of the Code), nonstatutory stock options, stock appreciation rights, restricted stock awards, restricted stock units (RSUs), and other stock awards. Only directors, employees and consultants who provide services to us or any affiliate of ours are eligible to receive such awards.</w:t>
      </w:r>
    </w:p>
    <w:p>
      <w:pPr>
        <w:spacing w:after="0" w:line="17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The number of shares reserved for issuance under the 2016 Incentive Plan as of December 31, 2019 was 1,853,026,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issued in satisfaction of incentive stock option awards.</w:t>
      </w:r>
    </w:p>
    <w:p>
      <w:pPr>
        <w:spacing w:after="0" w:line="170"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To the extent an equity award granted under the 2016 Incentive Plan or the Company’s predecessor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In addition, to the extent shares subject to an award are withheld to satisfy a participant’s tax withholding obligations on a stock award, or are reacquired by the Company as consideration for the exercise or purchase price of a stock award, such shares will become available for future issuance under the 2016 Incentive Plan.</w:t>
      </w:r>
    </w:p>
    <w:p>
      <w:pPr>
        <w:spacing w:after="0" w:line="161"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As of December 31, 2019, our employees, directors and consultants hold outstanding stock options granted under the 2016 Incentive Plan for the purchase of up to 1,665,384 shares of our common stock, with 621,806 of those options vested as of such date, and outstanding RSUs with respect to 26,368 shares of our common stock.</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or committees delegated by our Board of Directors, administers the 2016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Subject to the terms of the 2016 Incentive Plan, our Board of Directors will have the authority to determine the eligibility for awards and the terms, conditions, and restrictions, including vesting terms, the number of shares subject to an award, and any performance goals applicable to awards made under the 2016 Incentive Plan. The Board of Directors also will have the authority, subject to the terms of the 2016 Incentive Plan, to construe and interpret the 2016 Incentive Plan and awards.</w:t>
      </w:r>
    </w:p>
    <w:p>
      <w:pPr>
        <w:spacing w:after="0" w:line="188"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any affiliate are eligible to participate in the 2016 Incentive Plan, if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for participation by the plan administrator.</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Our Board of Directors may grant incentive stock options, nonstatutory stock options,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under the 2016 Incentive Plan, provided that incentive stock options are granted only to employees of the Company, a parent corporation or a subsidiary corporation. The exercise price of stock options and stock appreciation rights under the 2016 Incentive Plan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2016 Incentive Plan, the Board of Directors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Board of Directors permits otherwise), as specified in the award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459"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Our Board of Directors will decide at the time of grant whether an award will be in the form of restricted stock, RSUs, or other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Board of Directors will determine the terms of the awards, including the number of shares subject to the award, vesting, and the nature of any performance measures. Our Board of Directors may grant other stock awards that are valued in whole or in part by reference to, or otherwise based on, shares of our common stock, including the appreciation in value thereof.</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2016 Incentive Plan does not allow options or stock appreciation rights to be transferred other than by will or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descent and distribution following the participant’s death. Restricted stock awards may be transferable by the participant only upon such terms and conditions as set forth in the award agreement, as the Board of Directors determines in its sole discretion.</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If any change is made in our common stock, without the receipt of consideration by us, such as through a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reincorporation, recapitalization, stock dividend, dividend in property other than cash, large nonrecurring cash dividend, stock split, reverse stock split, liquidating dividend, combination of shares, exchange of shares, change in corporate structure, or any similar equity restructuring transaction, appropriate and proportionate adjustments will be made in the number, class, and price of shares subject to each outstanding award and the number and kind of shares subject to the plan.</w:t>
      </w:r>
    </w:p>
    <w:p>
      <w:pPr>
        <w:spacing w:after="0" w:line="188"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we experience a corporate transaction under the terms of the 2016 Incentive Plan, subject to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award agreement or any other written agreement between the participant and the Company or any affiliate, or unless otherwise expressly provided by the Board of Directors at the time of grant of an award, our Board of Directors may (i) arrange for the surviving or acquiring corporation to assume or continue the stock awards, or to substitute stock awards; (ii) arrange for the assignment of any reacquisition or repurchase rights held by the Company in respect of common stock issued pursuant to stock awards to the surviving or acquiring corporation; (iii) accelerate the vesting, in whole or in part, of stock awards, and terminate such awards if not exercised; (iv) arrange for the lapse, in whole or in part, of any reacquisition or repurchase rights held by the Company with respect to stock awards; (v) cancel or arrange for the cancellation of stock awards in exchange for such cash consideration or no consideration as our Board of Directors, in its sole discretion, may consider appropriate; or (vi) make a payment (in the form determined by the Board of Directors) equal to the excess, if any, of the value of the property a participant would have received upon the exercise of a stock award immediately prior to the effective time of the corporate transaction over any exercise price payable by such participant in connection with such exercise, which payments may be made subject to conditions or contingencies applicable to shareholders of common stock in the transaction. The Board of Directors is not required to take the same action or actions with respect to all stock awards or portions thereof with respect to all participants, and may take different actions with respected to vested and unvested portions of stock awards.</w:t>
      </w:r>
    </w:p>
    <w:p>
      <w:pPr>
        <w:spacing w:after="0" w:line="18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we experience a change in control under the terms of the 2016 Incentive Plan, an award may be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as may be provided in the award agreement or in any other written agreement between the Company or any affiliate and the participant.</w:t>
      </w:r>
    </w:p>
    <w:p>
      <w:pPr>
        <w:spacing w:after="0" w:line="184"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Board of Directors has the discretion to grant awards under the 2016 Incentive Plan, and therefore it is not possible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filing of this prospectus to determine future awards that will be received by our named executive officers or others under the 2016 Incentive Plan. Only directors, employees, and consultants are eligible for consideration to participate in the 2016 Incentive Plan.</w:t>
      </w:r>
    </w:p>
    <w:p>
      <w:pPr>
        <w:spacing w:after="0" w:line="165"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has the authority to amend or terminate the 2016 Incentive Plan, subject to any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required by law. No amendment may impair the rights of a holder of an outstanding award without the consent of such holder.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2006 Employee, Director and Consultant Stock Plan</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following is a description of the material terms of the Biodesix, Inc. 2006 Employee, Director and Consultant Stock Plan, as amended and restated in 2008, 2011 and 2013 (the 2006 Incentive Plan). The summary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below does not contain a complete description of all provisions of the 2006 Incentive Plan and is qualified in its entirety by reference to the plan, a copy of which will be included as an exhibit to the registration statement of which this prospectus forms a part.</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2006 Incentive Plan was replaced by the 2016 Incentive Plan. The 2006 Incentive Plan governs outstanding awards granted prior to the adoption of the 2016 Incentive Plan, but no further awards will be granted pursuant to the 2006 Incentive Plan.</w:t>
      </w:r>
    </w:p>
    <w:p>
      <w:pPr>
        <w:spacing w:after="0" w:line="170"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At the time the 2006 Incentive Plan was replaced by the 2016 Incentive Plan, 135,040 shares of our common stock remained</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for issuance under the 2006 Incentive Plan and became available for issuance under the 2016 Incentive Plan. In addition, from and after the date on which the 2016 Incentive Plan was adopted, to the extent that any equity award granted under the 2006 Incentive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As of December 31, 2019, our employees, directors and consultants hold outstanding stock options granted under the 2006 Incentive Plan for the purchase of up to 250,708 shares of our common stock, with 247,277 of those options vested as of such date.</w:t>
      </w:r>
    </w:p>
    <w:p>
      <w:pPr>
        <w:spacing w:after="0" w:line="17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delegated by our board of directors, administers the 2006 Incentive Plan.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our 2006 Incentive Plan, the plan administrator has the authority to, among other things, determine the eligibility for awards and the terms, conditions, and restrictions, including vesting terms, the number of shares subject to an award, and any performance goals applicable to awards made under the 2006 Incentive Plan, construe and interpret the 2006 Incentive Plan and all awards granted thereunder, and to exercise powers and to perform acts necessary or expedient to promote the best interests of the Company.</w:t>
      </w:r>
    </w:p>
    <w:p>
      <w:pPr>
        <w:spacing w:after="0" w:line="188"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any affiliate were eligible to participate in the 2006 Incentive Plan, if</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for participation by the plan administrator.</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2006 Incentive Plan, we were authorized to grant stock options, stock appreciation rights,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RSUs, and other stock awards.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Under the terms of the 2006 Incentive Plan relating to stock options and stock appreciation rights, upon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service, the participant may exercise his or her options or stock appreciation rights, to the extent vested (unless the Board of Directors permits otherwise), as specified in the award agreement.</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color w:val="auto"/>
        </w:rPr>
        <w:t>If any change is made in our common stock, without the receipt of consideration by us, such as through a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reincorporation, recapitalization, stock dividend, dividend in property other than cash, stock split, reverse stock split, liquidating dividend, combination of shares, exchange of shares, change in corporate structure, or other similar transaction, appropriate and proportionate adjustments will be made in the number, class, and price of shares subject to each outstanding award and the number and kind of shares subject to the plan.</w:t>
      </w:r>
    </w:p>
    <w:p>
      <w:pPr>
        <w:spacing w:after="0" w:line="15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we experience a corporate transaction under the terms of the 2006 Incentive Plan, subject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instrument evidencing the stock award or any other written agreement between the participant and the Company or any affiliate, or unless otherwise expressly provided by the Board of Directors at the time of grant of an award, the surviving or acquiring corporation may assume or continue any or all outstanding stock awards, or substitute similar stock awards, and any reacquisition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repurchase rights held by the Company in respect of common stock issued pursuant to stock awards may be assigned by the Company to its successor in connection with such corporate transaction. However, if a surviving or acquiring corporation or its respective parent chooses to assume or substitute none or only a portion of the stock awards, the stock awards that have not been assumed, continued, or substituted for similar awards, unless otherwise determined by the Board of Directors, terminate if not exercised at or prior to the effective time of the corporate transaction, and any reacquisition or repurchase rights held by the Company with respect to the stock awards shall lapse. Notwithstanding the forgoing, in the event a stock award will terminate if not exercised prior to the effective time of a corporate transaction, our Board of Directors may provide, in its sole discretion, that the participant will receive a payment (in the form determined by the Board of Directors) equal to the excess, if any, of the value of the property the participant would have received upon the exercise of a stock award immediately prior to the effective time of the corporate transaction over any exercise price payable by such participant in connection with such exercise.</w:t>
      </w:r>
    </w:p>
    <w:p>
      <w:pPr>
        <w:spacing w:after="0" w:line="18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we experience a change in control under the terms of the 2006 Incentive Plan, an award may be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as may be provided in the award agreement or in any other written agreement between the Company or any affiliate and the participant.</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Board of Directors may, at any time, amend or terminate the 2006 Incentive Plan as it shall deem advisable,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stockholder approval required by law. No amendment may impair the rights of a holder of an outstanding award without the consent of such holder.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Bonus-to-Options Program</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following is a description of the material terms of the Biodesix, Inc. Bonus-to-Options Program, as amended and restated in 2015 (the Bonus-to-Options Program). The Bonus-to-Options Program was initially adopted by the Board of Directors in 2008, and subsequently amended and restated in 2010, 2011 and 2015. The summary below does not contain a complete description of all provisions of the Bonus-to-Options Program and is qualified in its entirety by reference to the plan, a copy of which will be included as an exhibit to the registration statement of which this prospectus forms a part.</w:t>
      </w:r>
    </w:p>
    <w:p>
      <w:pPr>
        <w:spacing w:after="0" w:line="188"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Bonus-to-Options Program is only available to the Chief Executive Officer, direct reports to the Chief Executive Officer and vice presidents of the Company. The Bonus-to-Options Program allows executives to convert some or all of their annual cash bonus into fully vested, non-qualified stock options to purchase shares of our common stock. Executives must declare their intent to participate in this program not later than the last day of the calendar year prior to the taxable year for which bonuses will be awarded. For the first year in which an executive becomes eligible to participate, the executive has 30 days to declare his or her intent to participate in this program. Executives may declare their intent to convert a percentage of their bonus, up to 100%, or designate a maximum dollar amount of bonus to be converted into options under this program. None of our named executive officers received option awards under this program during the year ended December 31, 2019.</w:t>
      </w:r>
    </w:p>
    <w:p>
      <w:pPr>
        <w:spacing w:after="0" w:line="17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The exercise price for the options under the Bonus-to-Options Program equals the greater of the “Deemed Preferred Price” or the then current price for the shares of our common stock. The Deemed Preferred Price is determined by dividing (i) the sum of the products of (A) the share price in each of the most recent sales of preferred stock of the Company and (B) with respect to each such sale, the number of months elapsed between such sale and earlier to occur of the next subsequent sale of preferred stock of the Company or the final day of the calendar year by (ii) 12, rounded down to the nearest whole cent. Options issued under this program must be exercised within a ten-year term.</w:t>
      </w:r>
    </w:p>
    <w:p>
      <w:pPr>
        <w:spacing w:after="0" w:line="176"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A maximum of 1% of the fully-diluted equity, as of December 31 of the year for which the bonus was awarded, may be issued in any one year to the executives. If the executive team has elected to receive options that, in the aggregate, would total more than the maximum allotment for the year, then a maximum percentage of each person’s bonus to be converted to options will be set such that the 1% threshold is not exceeded. As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459"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June 30, 2020, our executives held outstanding stock options granted under the Bonus-to-Options Program for the purchase of up to 173,233 shares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2020 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Brunel Consulting Agreement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Mr. Brunel resigned his position as Chairman of the Board of Directors, resigned from any committees of the Board of Directors of which he was a part, and ceased being a member of the Board of Directors effective September 14, 2020. Thereafter he began his service at the pleasure of the Board of Directors as a Director Emeritus. In addition, Mr. Brunel and the Company entered into a consulting agreement, dated as of September 19, 2020 (the Brunel Consulting Agreement), pursuant to which Mr. Brunel will cease providing services to the Company as an employee on December 31, 2020 and will provide consulting services to the Company beginning on January 1, 2021.</w:t>
      </w:r>
    </w:p>
    <w:p>
      <w:pPr>
        <w:spacing w:after="0" w:line="188"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The consulting period under the Brunel Consulting Agreement will extend from and including January 1, 2021 through December 31, 2021 unless earlier terminated by either party. During the consulting period Mr. Brunel will be entitled to receive a quarterly consulting fee of $5,000.</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Brunel Consulting Agreement further provides that each stock option held by Mr. Brunel, other than those stock options granted under the Bonus-to-Options Program, as amended and restated, be amended to provide that the expiration date of such stock option is the earlier of (i) December 31, 2021, (ii) thirty (30) days after the termination of the Brunel Consulting Agreement, and (iii) the original expiration date of such term. For any outstanding stock options held by Mr. Brunel that remain subject to time-based vesting, the parties agreed that such vesting would continue through January 1, 2021, and that the unvested portion of any such option would be cancelled. The 2020 Tranche of Mr. Brunel’s Performance-Vested Option remains outstanding and will have the opportunity to vest based on the Company’s recognized revenue in 2020. However, the 2021 Tranche of Mr. Brunel’s Performance-Vested Option was cancelled.</w:t>
      </w:r>
    </w:p>
    <w:p>
      <w:pPr>
        <w:spacing w:after="0" w:line="195" w:lineRule="exact"/>
        <w:rPr>
          <w:sz w:val="20"/>
          <w:szCs w:val="20"/>
          <w:color w:val="auto"/>
        </w:rPr>
      </w:pPr>
    </w:p>
    <w:p>
      <w:pPr>
        <w:ind w:right="640" w:firstLine="449"/>
        <w:spacing w:after="0" w:line="311" w:lineRule="auto"/>
        <w:rPr>
          <w:sz w:val="20"/>
          <w:szCs w:val="20"/>
          <w:color w:val="auto"/>
        </w:rPr>
      </w:pPr>
      <w:r>
        <w:rPr>
          <w:rFonts w:ascii="Arial" w:cs="Arial" w:eastAsia="Arial" w:hAnsi="Arial"/>
          <w:sz w:val="16"/>
          <w:szCs w:val="16"/>
          <w:color w:val="auto"/>
        </w:rPr>
        <w:t>Mr. Brunel is subject to restrictive covenants as set forth in the Brunel Consulting Agreement, including perpetual non-disparagement and confidentiality covenants, and, during a restricted period commencing on the effective date of such agreement and expiring on December 31, 2021, covenants regarding non-competition, no interference with customers and suppliers of the Company, non-solicitation, and no-hire.</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Modifications of Prior Equity Grants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As described above, in September 2020 the Board of Directors of the Company amended the Time-Vested Options and the Performance-Vested Options as follows.</w:t>
      </w:r>
    </w:p>
    <w:p>
      <w:pPr>
        <w:spacing w:after="0" w:line="170"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Under the original vesting schedule for the Time-Vested Awards, two fifths (2/5) of the stock options vest two years after the vesting commencement date, and the remaining balance vest in a series of thirty-six (36) successive equal monthly installments measured from the second anniversary of the vesting commencement. As amended,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Under the original terms of the Performance-Vested Awards, one third (1/3) of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Directors determined that the performance hurdle was not met. As a result, one third (1/3) of each executive’s award was cancelled, and the remaining two thirds (2/3) of each of Mr. Hutton’s and Ms. Cowie’s award is currently outstanding. The 2020 Tranche of Mr. Brunel’s Performance-Vested Option also remains outstanding, and will have the opportunity to vest based on the Company’s recognized revenue in 2020. However,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connection with this offering, our board of directors and our current stockholders are expected to approve the 2020 Incentive Plan, to be effective prior to the completion of this offering. The 2020 Incentive Plan, if created, would replace the 2016 Incentive Plan, as described above. The following summary describes what we expect to be the material terms of the 2020 Incentive Plan. This summary is not a complete description of all provisions of the 2020 Incentive Plan and is qualified in its entirety by reference to the 2020 Incentive Plan, which will be filed as an exhibit to the registration statement of which this prospectus is a part.</w:t>
      </w:r>
    </w:p>
    <w:p>
      <w:pPr>
        <w:spacing w:after="0" w:line="188"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The purposes of the 2020 Incentive Plan are to align the interests of the Company’s stockholders and those eligible for awards, to retain officers, directors, employees, and other service providers, and to motivate such persons to act in the long-term best interests of the Company and its stockholders. The 2020 Incentive Plan provides for the grant of incentive stock options (within the meaning of Section 422 of the Code), nonstatutory stock options, stock appreciation rights, restricted stock awards, restricted stock units, performance awards and other stock awards. Officers, directors, employees, consultants, agents and independent contractors who provide services to us or to any subsidiary of ours are eligible to receive such awards.</w:t>
      </w:r>
    </w:p>
    <w:p>
      <w:pPr>
        <w:spacing w:after="0" w:line="16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i w:val="1"/>
          <w:iCs w:val="1"/>
          <w:color w:val="auto"/>
        </w:rPr>
        <w:t>Stock Subject to the Plan</w:t>
      </w:r>
      <w:r>
        <w:rPr>
          <w:rFonts w:ascii="Arial" w:cs="Arial" w:eastAsia="Arial" w:hAnsi="Arial"/>
          <w:sz w:val="16"/>
          <w:szCs w:val="16"/>
          <w:color w:val="auto"/>
        </w:rPr>
        <w:t>. The number of shares reserved for issuance under the 2020 Incentive Plan is 1,893,395, plus an annual increase added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the December 31st of the immediately preceding calendar year and (ii) such lesser amount determined by the board of directors. Up to 4,790,481 shares of our common stock that may be issued under the 2020 Incentive Plan may be issued in satisfaction of incentive stock option awards.</w:t>
      </w:r>
    </w:p>
    <w:p>
      <w:pPr>
        <w:spacing w:after="0" w:line="161"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To the extent an equity award granted under the 2020 Incentive Plan (other than any substitute award) or granted under any other equity plan maintained by us under which awards are outstanding as of the effective date of the 2020 Incentive Plan (the Prior Plans) expires or otherwise terminates without having been exercised or paid in full, or is settled in cash, the shares subject to such award will become available for future grant under the 2020 Incentive Plan. In addition, to the extent shares subject to an award are withheld to satisfy a participant’s tax withholding obligation upon the exercise or settlement of such award (other than any substitute award) or to pay the exercise price of a stock option granted under the 2020 Incentive Plan or a Prior Plan, such shares will become available for future grant under the 2020 Incentive Plan.</w:t>
      </w:r>
    </w:p>
    <w:p>
      <w:pPr>
        <w:spacing w:after="0" w:line="17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i w:val="1"/>
          <w:iCs w:val="1"/>
          <w:color w:val="auto"/>
        </w:rPr>
        <w:t>Director Compensation Limit</w:t>
      </w:r>
      <w:r>
        <w:rPr>
          <w:rFonts w:ascii="Arial" w:cs="Arial" w:eastAsia="Arial" w:hAnsi="Arial"/>
          <w:sz w:val="18"/>
          <w:szCs w:val="18"/>
          <w:color w:val="auto"/>
        </w:rPr>
        <w:t>. The aggregate value of cash compensation paid and the grant date fair value of equity awards granted during any year</w:t>
      </w:r>
      <w:r>
        <w:rPr>
          <w:rFonts w:ascii="Arial" w:cs="Arial" w:eastAsia="Arial" w:hAnsi="Arial"/>
          <w:sz w:val="18"/>
          <w:szCs w:val="18"/>
          <w:i w:val="1"/>
          <w:iCs w:val="1"/>
          <w:color w:val="auto"/>
        </w:rPr>
        <w:t xml:space="preserve"> </w:t>
      </w:r>
      <w:r>
        <w:rPr>
          <w:rFonts w:ascii="Arial" w:cs="Arial" w:eastAsia="Arial" w:hAnsi="Arial"/>
          <w:sz w:val="18"/>
          <w:szCs w:val="18"/>
          <w:color w:val="auto"/>
        </w:rPr>
        <w:t>to any non-employee director will not exceed $600,000 for incumbent non-employee directors and $1,050,000 for non-employee directors who are first appointed to our board of directors in such year.</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will administer the 2020 Incentive Plan. Our board of directors has the authority to amend and</w:t>
      </w:r>
      <w:r>
        <w:rPr>
          <w:rFonts w:ascii="Arial" w:cs="Arial" w:eastAsia="Arial" w:hAnsi="Arial"/>
          <w:sz w:val="18"/>
          <w:szCs w:val="18"/>
          <w:i w:val="1"/>
          <w:iCs w:val="1"/>
          <w:color w:val="auto"/>
        </w:rPr>
        <w:t xml:space="preserve"> </w:t>
      </w:r>
      <w:r>
        <w:rPr>
          <w:rFonts w:ascii="Arial" w:cs="Arial" w:eastAsia="Arial" w:hAnsi="Arial"/>
          <w:sz w:val="18"/>
          <w:szCs w:val="18"/>
          <w:color w:val="auto"/>
        </w:rPr>
        <w:t>modify the plan, subject to any stockholder approval required by law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60"/>
          </w:cols>
          <w:pgMar w:left="320" w:top="459"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stock exchange rules. Subject to the terms of the 2020 Incentive Plan, our Compensation Committee will have the authority to determine the eligibility for awards and the terms, conditions, and restrictions, including vesting terms, the number of shares subject to an award, and any performance goals applicable to grants made under the 2020 Incentive Plan. The Compensation Committee also will have the authority, subject to the terms of the 2020 Incentive Plan, to construe and interpret the 2020 Incentive Plan and awards, and amend outstanding awards at any time.</w:t>
      </w:r>
    </w:p>
    <w:p>
      <w:pPr>
        <w:spacing w:after="0" w:line="17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i w:val="1"/>
          <w:iCs w:val="1"/>
          <w:color w:val="auto"/>
        </w:rPr>
        <w:t>Stock Options and Stock Appreciation Rights</w:t>
      </w:r>
      <w:r>
        <w:rPr>
          <w:rFonts w:ascii="Arial" w:cs="Arial" w:eastAsia="Arial" w:hAnsi="Arial"/>
          <w:sz w:val="16"/>
          <w:szCs w:val="16"/>
          <w:color w:val="auto"/>
        </w:rPr>
        <w:t>. Our Compensation Committee may grant incentive stock options, nonstatutory stock options, and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under the 2020 Incentive Plan, provided that incentive stock options are granted only to employees. The exercise price of stock options and stock appreciation rights under the 2020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2020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2020 Incentive Plan prohibits the payment of dividend equivalents with respect to options and stock appreciation rights and prohibits the repricing of options and stock appreciation rights without stockholder approval.</w:t>
      </w:r>
    </w:p>
    <w:p>
      <w:pPr>
        <w:spacing w:after="0" w:line="17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Our Compensation Committee will decide at the time of grant whether an award will be in the form of restricted stock,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provided that (i) a distribution with respect to shares of common stock, other than a regular cash dividend, and (ii) a regular cash dividend with respect to shares of common stock that are subject to performance-based vesting conditions, in each case, will be deposited with us and will be subject to the same restrictions as the underlying shares of common stock. The recipient of restricted stock units will not have voting rights, but his or her award agreement may provide for the receipt of dividend equivalents, provided that any dividend equivalents with respect to restricted stock units that are subject to performance-based vesting conditions will be subject to the same restrictions as the underlying restricted stock units. 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172"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Compensation Committee will determine the value of any performance award, the vesting and nature of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and whether the award is denominated or settled in cash or in shares of our common stock. The performance goals applicable to a particular award will be determined by our Compensation Committee at the time of grant. Any dividends or dividend equivalents with respect to a performance award subject to performance-based vesting conditions will be subject to the same restrictions as such performance award.</w:t>
      </w:r>
    </w:p>
    <w:p>
      <w:pPr>
        <w:spacing w:after="0" w:line="15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The 2020 Incentive Plan does not allow awards to be transferred other than by will or the laws of inheritance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death, and options may be exercised, during the lifetime of the participant, only by the participant. However, an award agreement may permit a participant to assign an award to a family member by gift or pursuant to a domestic relations order, or to a trust, family limited partnership or similar entity established for one of the participant’s family members. A participant may also designate a beneficiary who will receive outstanding awards upon the participant’s death.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If any change is made in our common stock, without the receipt of consideration by us, such as through a stock split,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extraordinary distribution, recapitalization, combination of shares, exchange of shares or other similar transaction, appropriate adjustments will be made in the number, class, and price of shares subject to each outstanding award and the numerical share limits contained in the plan.</w:t>
      </w:r>
    </w:p>
    <w:p>
      <w:pPr>
        <w:spacing w:after="0" w:line="14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Subject to the terms of the applicable award agreement, upon a “change in control” (as defined in the 2020 Incentive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may, in its discretion, determine whether some or all outstanding options and stock appreciation rights will become exercisable in full or in part, whether the restriction period and performance period applicable to some or all outstanding restricted stock awards and restricted stock unit awards will lapse in full or in part and whether the performance measures applicable to some or all outstanding awards will be deemed to be satisfied. Our board of directors may further require that shares of stock of the corporation resulting from such a change in control, or a parent corporation thereof, be substituted for some or all of our shares of common stock subject to an outstanding award and that any outstanding awards, in whole or in part, be surrendered to us by the holder and be immediately cancelled by us in exchange for a cash payment, shares of capital stock of the corporation resulting from or succeeding us, other property or a combination of cash, such shares of stock or other property.</w:t>
      </w:r>
    </w:p>
    <w:p>
      <w:pPr>
        <w:spacing w:after="0" w:line="178"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granted under the 2020 Incentive Plan and any cash payment or shares of our common stock delivered pursuant to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2020 Incentive Plan are subject to forfeiture, recovery, or other action pursuant to the applicable award agreement or any clawback or recoupment policy that we may adopt.</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has the authority to amend, suspend or terminate the 2020 Incentive Plan,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 exchange rules. Our 2020 Incentive Plan will terminate on the ten-year anniversary of its approval by our board of directors, unless we terminate it earlier.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right="520" w:firstLine="449"/>
        <w:spacing w:after="0" w:line="259" w:lineRule="auto"/>
        <w:rPr>
          <w:sz w:val="20"/>
          <w:szCs w:val="20"/>
          <w:color w:val="auto"/>
        </w:rPr>
      </w:pPr>
      <w:r>
        <w:rPr>
          <w:rFonts w:ascii="Arial" w:cs="Arial" w:eastAsia="Arial" w:hAnsi="Arial"/>
          <w:sz w:val="18"/>
          <w:szCs w:val="18"/>
          <w:color w:val="auto"/>
        </w:rPr>
        <w:t>In connection with this offering, our board of directors and our current stockholders are expected to approve the ESPP to be effective upon the completion of this offering. The following summary describes what we expect to be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87"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Generally, all of our full-time employees (including those of our consolidated subsidiaries, other than those subsidiaries excluded from participation by our board of directors or Compensation Committee) are eligible to participate in the ESPP. The Compensation Committee retains the discretion to change the scope of eligible participants, subject to applicable limitations under the Code. The ESPP permits employees to purchase our common stock through payroll deductions during six-month offering periods. The Compensation Committee retains the discretion to change the duration of future offering periods, subject to applicable limitations under the Code. Subject to applicable Code limitations,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although the Compensation Committee retains the discretion to change the duration of future purchase periods, subject to the limitations under the Code. Under the terms of the ESPP, the purchase price per share with respect to an offering period will equal the lesser of (i) 85% of the fair market value of a share of our common stock on the first business day of such offering period and</w:t>
      </w:r>
    </w:p>
    <w:p>
      <w:pPr>
        <w:spacing w:after="0" w:line="6" w:lineRule="exact"/>
        <w:rPr>
          <w:sz w:val="20"/>
          <w:szCs w:val="20"/>
          <w:color w:val="auto"/>
        </w:rPr>
      </w:pPr>
    </w:p>
    <w:p>
      <w:pPr>
        <w:ind w:firstLine="8"/>
        <w:spacing w:after="0" w:line="253" w:lineRule="auto"/>
        <w:tabs>
          <w:tab w:leader="none" w:pos="2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Except as otherwise determined by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Compensation Committee with respect to future offering periods, no participant may purchase more than offering period.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during any</w:t>
      </w:r>
    </w:p>
    <w:p>
      <w:pPr>
        <w:spacing w:after="0" w:line="463" w:lineRule="exact"/>
        <w:rPr>
          <w:sz w:val="20"/>
          <w:szCs w:val="20"/>
          <w:color w:val="auto"/>
        </w:rPr>
      </w:pPr>
    </w:p>
    <w:p>
      <w:pPr>
        <w:sectPr>
          <w:pgSz w:w="11900" w:h="16838" w:orient="portrait"/>
          <w:cols w:equalWidth="0" w:num="2">
            <w:col w:w="7640" w:space="720"/>
            <w:col w:w="2860"/>
          </w:cols>
          <w:pgMar w:left="320" w:top="459" w:right="359" w:bottom="1440" w:gutter="0" w:footer="0" w:header="0"/>
          <w:type w:val="continuous"/>
        </w:sectPr>
      </w:pPr>
    </w:p>
    <w:p>
      <w:pPr>
        <w:ind w:right="60" w:firstLine="449"/>
        <w:spacing w:after="0" w:line="287" w:lineRule="auto"/>
        <w:rPr>
          <w:sz w:val="20"/>
          <w:szCs w:val="20"/>
          <w:color w:val="auto"/>
        </w:rPr>
      </w:pPr>
      <w:r>
        <w:rPr>
          <w:rFonts w:ascii="Arial" w:cs="Arial" w:eastAsia="Arial" w:hAnsi="Arial"/>
          <w:sz w:val="16"/>
          <w:szCs w:val="16"/>
          <w:color w:val="auto"/>
        </w:rPr>
        <w:t>Subject to adjustment for stock splits, stock dividends or other changes in our capital stock, 338,106 shares of our common stock have been reserved for issuance under the ESPP. Subject to the adjustment provisions contained in the ESPP, the maximum number of shares of our common stock available under the ESPP will automatically increase on the first trading day of each calendar year, commencing January 2021, by an amount equal to the lesser of</w:t>
      </w:r>
    </w:p>
    <w:p>
      <w:pPr>
        <w:spacing w:after="0" w:line="2" w:lineRule="exact"/>
        <w:rPr>
          <w:sz w:val="20"/>
          <w:szCs w:val="20"/>
          <w:color w:val="auto"/>
        </w:rPr>
      </w:pPr>
    </w:p>
    <w:p>
      <w:pPr>
        <w:ind w:right="740" w:firstLine="8"/>
        <w:spacing w:after="0" w:line="260" w:lineRule="auto"/>
        <w:tabs>
          <w:tab w:leader="none" w:pos="2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1% of the shares of our common stock issued and outstanding on December 31 of the immediately preceding calendar year, and (ii) an amount determined by our board of directors.</w:t>
      </w:r>
    </w:p>
    <w:p>
      <w:pPr>
        <w:spacing w:after="0" w:line="185"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the exercise of its sole discretion, in lieu of such assumption or substitution to either terminate all outstanding options under the ESPP and return to each participant the payroll deductions credited to such participant’s account or to provide for the offering period in progress to end on a date prior to the consummation of such sale or merger.</w:t>
      </w:r>
    </w:p>
    <w:p>
      <w:pPr>
        <w:spacing w:after="0" w:line="19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ESPP will be administered by the Compensation Committee or a designee of the Compensation Committee.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459" w:right="35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460" w:firstLine="449"/>
        <w:spacing w:after="0" w:line="259"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 other than compensation arrangements which are described in the sections titled “Executive Compensation” and “Management—Non-Employee Director Compensation.”</w:t>
      </w:r>
    </w:p>
    <w:p>
      <w:pPr>
        <w:spacing w:after="0" w:line="187"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We have established a written related party transaction policy that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Financings</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have issued preferred stock from time to time to finance our operations or to make acquisitions. The purchasers of some of our preferred stock are covered persons or their affiliates.</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2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following table sets forth the number of shares of Series G Preferred Stock and Series H Preferred Stock purchased in the foregoing transactions by holders of more than 5% of our capital stock and their affiliated entities and our directors. None of our executive officers purchased shares of Series G Preferred Stock or Series H Preferred Stock in the foregoing transactions.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Series 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Series H</w:t>
            </w:r>
          </w:p>
        </w:tc>
        <w:tc>
          <w:tcPr>
            <w:tcW w:w="0" w:type="dxa"/>
            <w:vAlign w:val="bottom"/>
          </w:tcPr>
          <w:p>
            <w:pPr>
              <w:spacing w:after="0"/>
              <w:rPr>
                <w:sz w:val="1"/>
                <w:szCs w:val="1"/>
                <w:color w:val="auto"/>
              </w:rPr>
            </w:pPr>
          </w:p>
        </w:tc>
      </w:tr>
      <w:tr>
        <w:trPr>
          <w:trHeight w:val="158"/>
        </w:trPr>
        <w:tc>
          <w:tcPr>
            <w:tcW w:w="8760" w:type="dxa"/>
            <w:vAlign w:val="bottom"/>
            <w:gridSpan w:val="2"/>
            <w:vMerge w:val="continue"/>
          </w:tcPr>
          <w:p>
            <w:pPr>
              <w:spacing w:after="0"/>
              <w:rPr>
                <w:sz w:val="13"/>
                <w:szCs w:val="13"/>
                <w:color w:val="auto"/>
              </w:rPr>
            </w:pPr>
          </w:p>
        </w:tc>
        <w:tc>
          <w:tcPr>
            <w:tcW w:w="13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12,556,262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8,959,765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John Patience and entities affiliated with John Patience</w:t>
            </w:r>
            <w:r>
              <w:rPr>
                <w:rFonts w:ascii="Arial" w:cs="Arial" w:eastAsia="Arial" w:hAnsi="Arial"/>
                <w:sz w:val="15"/>
                <w:szCs w:val="15"/>
                <w:color w:val="auto"/>
              </w:rPr>
              <w:t>(2)</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7,668,930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4,182,413</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Manlia Limited</w:t>
            </w:r>
            <w:r>
              <w:rPr>
                <w:rFonts w:ascii="Arial" w:cs="Arial" w:eastAsia="Arial" w:hAnsi="Arial"/>
                <w:sz w:val="15"/>
                <w:szCs w:val="15"/>
                <w:color w:val="auto"/>
              </w:rPr>
              <w:t>(3)</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4,913,376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2,024,338</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Matthew Strobeck and entities affiliated with Matthew Strobeck</w:t>
            </w:r>
            <w:r>
              <w:rPr>
                <w:rFonts w:ascii="Arial" w:cs="Arial" w:eastAsia="Arial" w:hAnsi="Arial"/>
                <w:sz w:val="15"/>
                <w:szCs w:val="15"/>
                <w:color w:val="auto"/>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1,660,268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996,664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Sciences Alternative Financing and entities affiliated with Life Sciences Alternative Financing</w:t>
            </w:r>
            <w:r>
              <w:rPr>
                <w:rFonts w:ascii="Arial" w:cs="Arial" w:eastAsia="Arial" w:hAnsi="Arial"/>
                <w:sz w:val="15"/>
                <w:szCs w:val="15"/>
                <w:color w:val="auto"/>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10,649,904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1,651,389</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Lawrence T. Kennedy, Jr. Revocable Trust UAD 6/19/01</w:t>
            </w:r>
            <w:r>
              <w:rPr>
                <w:rFonts w:ascii="Arial" w:cs="Arial" w:eastAsia="Arial" w:hAnsi="Arial"/>
                <w:sz w:val="15"/>
                <w:szCs w:val="15"/>
                <w:color w:val="auto"/>
              </w:rPr>
              <w:t>(6)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4,000,000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2,597,236</w:t>
            </w:r>
          </w:p>
        </w:tc>
        <w:tc>
          <w:tcPr>
            <w:tcW w:w="0" w:type="dxa"/>
            <w:vAlign w:val="bottom"/>
          </w:tcPr>
          <w:p>
            <w:pPr>
              <w:spacing w:after="0"/>
              <w:rPr>
                <w:sz w:val="1"/>
                <w:szCs w:val="1"/>
                <w:color w:val="auto"/>
              </w:rPr>
            </w:pPr>
          </w:p>
        </w:tc>
      </w:tr>
      <w:tr>
        <w:trPr>
          <w:trHeight w:val="350"/>
        </w:trPr>
        <w:tc>
          <w:tcPr>
            <w:tcW w:w="8760" w:type="dxa"/>
            <w:vAlign w:val="bottom"/>
            <w:gridSpan w:val="2"/>
          </w:tcPr>
          <w:p>
            <w:pPr>
              <w:ind w:left="5480"/>
              <w:spacing w:after="0"/>
              <w:rPr>
                <w:sz w:val="20"/>
                <w:szCs w:val="20"/>
                <w:color w:val="auto"/>
              </w:rPr>
            </w:pPr>
            <w:r>
              <w:rPr>
                <w:rFonts w:ascii="Arial" w:cs="Arial" w:eastAsia="Arial" w:hAnsi="Arial"/>
                <w:sz w:val="18"/>
                <w:szCs w:val="18"/>
                <w:color w:val="auto"/>
              </w:rPr>
              <w:t>183</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60" w:hanging="452"/>
        <w:spacing w:after="0" w:line="255"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shares of preferred stock purchased by Jack Schuler, a member of our Board of Directors who together with his affiliates holds more than 5% of our capital stock, and by Jack W. Schuler Living Trust, Schuler GC 2010 Continuation Trust, Schuler Grandchildren LLC, Tanya Eva Schuler, Trust, Therese Heidi Shuler, Trust, and Tino Hans Schuler, Trust.</w:t>
      </w:r>
    </w:p>
    <w:p>
      <w:pPr>
        <w:spacing w:after="0" w:line="2" w:lineRule="exact"/>
        <w:rPr>
          <w:rFonts w:ascii="Arial" w:cs="Arial" w:eastAsia="Arial" w:hAnsi="Arial"/>
          <w:sz w:val="18"/>
          <w:szCs w:val="18"/>
          <w:color w:val="auto"/>
        </w:rPr>
      </w:pPr>
    </w:p>
    <w:p>
      <w:pPr>
        <w:ind w:left="460" w:right="300" w:hanging="452"/>
        <w:spacing w:after="0" w:line="265"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Includes shares of preferred stock purchased by John Patience Trust, dated July 23, 1993 and Patience Enterprises LP, entities affiliated with John Patience, a member of our Board of Directors who together with his affiliates holds more than 5% of our capital stock.</w:t>
      </w: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 Cawthorn is an affiliate of Manlia Limited, which holds more than 5% of our capital stock.</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shares of preferred stock purchased by Clajer Capital LLC. Dr. Strobeck, a member of our Board of Directors is an affiliate of Clajer Capital LLC.</w:t>
      </w:r>
    </w:p>
    <w:p>
      <w:pPr>
        <w:ind w:left="460" w:right="6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shares of preferred stock acquired by Life Sciences Alternative Financing LLC and IND Funding LLC in connection with the acquisition of certain assets and liabilities of Integrated Diagnostics, Inc., which together hold more than 5% of our capital stock.</w:t>
      </w: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Lawrence T. Kennedy, Jr. Revocable Trust UAD 6/19/01 holds more than 5% of our capital stock.</w:t>
      </w:r>
    </w:p>
    <w:p>
      <w:pPr>
        <w:spacing w:after="0" w:line="211"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0.1684664 share of common stock. Upon the closing of this offering, each share of Series B-1 Preferred Stock will convert into approximately 0.196 shares of common stock. For a description of the material rights and privileges of the preferred stock, see “Description of Capital Stock—Preferred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Financings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March 2020, we issued $10.0 million in convertible debt (the March 2020 Notes) that was scheduled to mature in August 2020. In August 2020, the maturity date of this debt was extended to June 30, 2021.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85"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included a number of our directors and their affiliates.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August and September 2019 we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81"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including the right to demand that we file a registration statement or request that their shares be covered by a registration statement that we are otherwise filing. The IRA also provides certain major stockholders with information rights, which will terminate upon the closing of this offering, and a right of first refusal with regard to certain issuances of our capital stock, which will not apply to, and will terminate upon, the closing of, this offering. After the closing of this offering, the holders of 20,090,745 shares of common stock issuable on conversion of outstanding preferred stock, will be entitled to rights with respect to the registration of their shares of common stock under the Securities Act under this agreement. For a description of these registration rights, see “Description of Capital Stock—Registration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October 2018, we entered into an amended and restated voting agreement with certain holders of our preferred stock and common stock, including certain holders of 5% of our capital stock, and including certain members of, and affiliates of, our directors and certain of our executive officers. Pursuant to the Voting Agreement, certain holders of our preferred stock and common stock have agreed to vote their shares in favor of specified transactions approved by the requisite supermajority of the shares of our voting capital stock held by investors party thereto. The Voting Agreement will terminate upon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In October 2018, we entered into an amended and restated right of first refusal and co-sale agreement (Co-Sale Agreement) with certain holders of our preferred stock and common stock, including certain holders of 5% of our capital stock, and including certain members of, and affiliates of, our directors and certain of our executive officers. Pursuant to the Co-Sale Agreement, we have a right of first refusal in respect of certain sales of securities by certain holders of our capital stock. To the extent we do not exercise such right in full, certain holders of our preferred stock are granted certain rights of first refusal and co-sale in respect of such sales. The Co-Sale Agreement will terminate upon the closing of this offering.</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320" w:top="459"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Value Rights Agreement</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February 2016, we entered into a contingent value rights agreement (CVR Agreement) with certain holders of our preferred and common stock, including several members of our Board. Pursuant to the CVR Agreement, the holders would be eligible to receive in the aggregate up to 15% of any future income and proceeds that we would receive, subject to a number of conditions and offsets, with respect to ficlatuzumab rights under our agreement with AVEO.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560" w:firstLine="449"/>
        <w:spacing w:after="0" w:line="342" w:lineRule="auto"/>
        <w:rPr>
          <w:sz w:val="20"/>
          <w:szCs w:val="20"/>
          <w:color w:val="auto"/>
        </w:rPr>
      </w:pPr>
      <w:r>
        <w:rPr>
          <w:rFonts w:ascii="Arial" w:cs="Arial" w:eastAsia="Arial" w:hAnsi="Arial"/>
          <w:sz w:val="16"/>
          <w:szCs w:val="16"/>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October 15, 2020:</w:t>
      </w:r>
    </w:p>
    <w:p>
      <w:pPr>
        <w:spacing w:after="0" w:line="142" w:lineRule="exact"/>
        <w:rPr>
          <w:sz w:val="20"/>
          <w:szCs w:val="20"/>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October 15,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7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based percentage ownership of common stock before this offering on 20,405,792 shares of common stock outstanding as of October 15, 2020, which includes 20,090,745 shares of common stock resulting from the conversion of all outstanding shares of preferred stock immediately upon the closing of this offering, as if this conversion had occurred as of October 15, 2020. Percentage ownership of common stock after this offering assumes the sale of 4,166,667 shares of common stock in this offering and no exercise of the underwriters’ over-allotment option, as well as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The table below does not reflect any shares of common stock that may be purchased in this offering, including through the directed share program described under “Underwriters—Directed Share Program.” Unless otherwise indicated, the address for each beneficial owner listed in the table below is c/o Biodesix, Inc., 2970 Wilderness Place, Suite 100, Boulder, Colorado 80301.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Shares Beneficially</w:t>
            </w: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7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6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Owned Following</w:t>
            </w: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5480" w:type="dxa"/>
            <w:vAlign w:val="bottom"/>
            <w:vMerge w:val="restart"/>
          </w:tcPr>
          <w:p>
            <w:pPr>
              <w:spacing w:after="0"/>
              <w:rPr>
                <w:sz w:val="14"/>
                <w:szCs w:val="14"/>
                <w:color w:val="auto"/>
              </w:rPr>
            </w:pPr>
          </w:p>
        </w:tc>
        <w:tc>
          <w:tcPr>
            <w:tcW w:w="17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this Offering</w:t>
            </w: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this Offering</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2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6,704,263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7,670,069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29.0%</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Patience and entities affiliated with John Patience</w:t>
            </w:r>
            <w:r>
              <w:rPr>
                <w:rFonts w:ascii="Arial" w:cs="Arial" w:eastAsia="Arial" w:hAnsi="Arial"/>
                <w:sz w:val="15"/>
                <w:szCs w:val="15"/>
                <w:color w:val="auto"/>
              </w:rPr>
              <w:t>(2)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4,634,979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4,823,315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18.2%</w:t>
            </w:r>
          </w:p>
        </w:tc>
        <w:tc>
          <w:tcPr>
            <w:tcW w:w="0" w:type="dxa"/>
            <w:vAlign w:val="bottom"/>
          </w:tcPr>
          <w:p>
            <w:pPr>
              <w:spacing w:after="0"/>
              <w:rPr>
                <w:sz w:val="1"/>
                <w:szCs w:val="1"/>
                <w:color w:val="auto"/>
              </w:rPr>
            </w:pPr>
          </w:p>
        </w:tc>
      </w:tr>
      <w:tr>
        <w:trPr>
          <w:trHeight w:val="202"/>
        </w:trPr>
        <w:tc>
          <w:tcPr>
            <w:tcW w:w="7920" w:type="dxa"/>
            <w:vAlign w:val="bottom"/>
            <w:gridSpan w:val="2"/>
          </w:tcPr>
          <w:p>
            <w:pPr>
              <w:spacing w:after="0" w:line="201" w:lineRule="exact"/>
              <w:rPr>
                <w:sz w:val="20"/>
                <w:szCs w:val="20"/>
                <w:color w:val="auto"/>
              </w:rPr>
            </w:pPr>
            <w:r>
              <w:rPr>
                <w:rFonts w:ascii="Arial" w:cs="Arial" w:eastAsia="Arial" w:hAnsi="Arial"/>
                <w:sz w:val="18"/>
                <w:szCs w:val="18"/>
                <w:color w:val="auto"/>
                <w:w w:val="97"/>
              </w:rPr>
              <w:t>Life Sciences Alternative Financing LLC and entities affiliated with Life Sciences Alternative Financing</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LLC</w:t>
            </w:r>
            <w:r>
              <w:rPr>
                <w:rFonts w:ascii="Arial" w:cs="Arial" w:eastAsia="Arial" w:hAnsi="Arial"/>
                <w:sz w:val="15"/>
                <w:szCs w:val="15"/>
                <w:color w:val="auto"/>
              </w:rPr>
              <w:t>(3)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2,072,353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2,190,427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Cawthorn and entities affiliated with Robert Cawthorn</w:t>
            </w:r>
            <w:r>
              <w:rPr>
                <w:rFonts w:ascii="Arial" w:cs="Arial" w:eastAsia="Arial" w:hAnsi="Arial"/>
                <w:sz w:val="15"/>
                <w:szCs w:val="15"/>
                <w:color w:val="auto"/>
              </w:rPr>
              <w:t>(4)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1,836,766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1,987,475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Entities affiliated with Lawrence T. Kennedy, Jr.</w:t>
            </w:r>
            <w:r>
              <w:rPr>
                <w:rFonts w:ascii="Arial" w:cs="Arial" w:eastAsia="Arial" w:hAnsi="Arial"/>
                <w:sz w:val="15"/>
                <w:szCs w:val="15"/>
                <w:color w:val="auto"/>
              </w:rPr>
              <w:t>(5)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1,111,412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1,245,101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94"/>
        </w:trPr>
        <w:tc>
          <w:tcPr>
            <w:tcW w:w="2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Scott Hutton</w:t>
            </w:r>
            <w:r>
              <w:rPr>
                <w:rFonts w:ascii="Arial" w:cs="Arial" w:eastAsia="Arial" w:hAnsi="Arial"/>
                <w:sz w:val="15"/>
                <w:szCs w:val="15"/>
                <w:color w:val="auto"/>
              </w:rPr>
              <w:t>(6)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90,268</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90,268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Harper Cowie</w:t>
            </w:r>
            <w:r>
              <w:rPr>
                <w:rFonts w:ascii="Arial" w:cs="Arial" w:eastAsia="Arial" w:hAnsi="Arial"/>
                <w:sz w:val="15"/>
                <w:szCs w:val="15"/>
                <w:color w:val="auto"/>
              </w:rPr>
              <w:t>(7)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106,931</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106,931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David Brunel</w:t>
            </w:r>
            <w:r>
              <w:rPr>
                <w:rFonts w:ascii="Arial" w:cs="Arial" w:eastAsia="Arial" w:hAnsi="Arial"/>
                <w:sz w:val="15"/>
                <w:szCs w:val="15"/>
                <w:color w:val="auto"/>
              </w:rPr>
              <w:t>(8)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424,539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424,539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Schuler</w:t>
            </w:r>
            <w:r>
              <w:rPr>
                <w:rFonts w:ascii="Arial" w:cs="Arial" w:eastAsia="Arial" w:hAnsi="Arial"/>
                <w:sz w:val="15"/>
                <w:szCs w:val="15"/>
                <w:color w:val="auto"/>
              </w:rPr>
              <w:t>(9)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6,704,263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7,670,069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29.0%</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John Patience</w:t>
            </w:r>
            <w:r>
              <w:rPr>
                <w:rFonts w:ascii="Arial" w:cs="Arial" w:eastAsia="Arial" w:hAnsi="Arial"/>
                <w:sz w:val="15"/>
                <w:szCs w:val="15"/>
                <w:color w:val="auto"/>
              </w:rPr>
              <w:t>(10)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4,634,979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4,823,315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Cawthorn</w:t>
            </w:r>
            <w:r>
              <w:rPr>
                <w:rFonts w:ascii="Arial" w:cs="Arial" w:eastAsia="Arial" w:hAnsi="Arial"/>
                <w:sz w:val="15"/>
                <w:szCs w:val="15"/>
                <w:color w:val="auto"/>
              </w:rPr>
              <w:t>(11)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1,836,766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1,987,475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Matthew Strobeck, Ph.D.</w:t>
            </w:r>
            <w:r>
              <w:rPr>
                <w:rFonts w:ascii="Arial" w:cs="Arial" w:eastAsia="Arial" w:hAnsi="Arial"/>
                <w:sz w:val="15"/>
                <w:szCs w:val="15"/>
                <w:color w:val="auto"/>
              </w:rPr>
              <w:t>(12)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915,685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1,024,988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r>
              <w:rPr>
                <w:rFonts w:ascii="Arial" w:cs="Arial" w:eastAsia="Arial" w:hAnsi="Arial"/>
                <w:sz w:val="15"/>
                <w:szCs w:val="15"/>
                <w:color w:val="auto"/>
              </w:rPr>
              <w:t>(13)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256,679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256,679</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Charles Watts, M.D.</w:t>
            </w:r>
            <w:r>
              <w:rPr>
                <w:rFonts w:ascii="Arial" w:cs="Arial" w:eastAsia="Arial" w:hAnsi="Arial"/>
                <w:sz w:val="15"/>
                <w:szCs w:val="15"/>
                <w:color w:val="auto"/>
              </w:rPr>
              <w:t>(14)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49,806</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49,806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 Franchi</w:t>
            </w:r>
            <w:r>
              <w:rPr>
                <w:rFonts w:ascii="Arial" w:cs="Arial" w:eastAsia="Arial" w:hAnsi="Arial"/>
                <w:sz w:val="15"/>
                <w:szCs w:val="15"/>
                <w:color w:val="auto"/>
              </w:rPr>
              <w:t>(15)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Hany Massarany</w:t>
            </w:r>
            <w:r>
              <w:rPr>
                <w:rFonts w:ascii="Arial" w:cs="Arial" w:eastAsia="Arial" w:hAnsi="Arial"/>
                <w:sz w:val="15"/>
                <w:szCs w:val="15"/>
                <w:color w:val="auto"/>
              </w:rPr>
              <w:t>(16)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14,649</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14,649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named executive officers as a group (14 persons)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15,054,141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16,468,295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460" w:hanging="452"/>
        <w:spacing w:after="0" w:line="284"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(a) 58,596 shares of common stock issuable upon the exercise of options held by Jack Schuler that are vested and exercisable within 60 days of October 15, 2020, (b) 165,029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JS Grandchildren Trust, (c) 165,029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Schuler Descendants Trust, (d) 344,932 shares of common stock issuable upon conversion of (i) 83,085 shares of Series C Preferred Stock, (ii) 99,950 shares of Series D Preferred Stock, (iii) 107,834 shares of Series E Preferred Stock, (iv) 437,427 shares of Series F Preferred Stock, (v) 627,380 shares of Series G Preferred Stock and (vi) 691,812 shares of Series H Preferred Stock held by Schuler Grandchildren LLC, (e) 354,530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Therese Heidi Schuler, Trust, (f) 352,530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Tanya Eva Schuler, Trust, (g) 4,913,087 shares of common stock issuable upon conversion of (i) 1,454,545 shares of Series B Preferred Stock, (ii) 1,250,000 shares of Series B-1 Preferred Stock, (iii) 333,333 shares of Series C Preferred Stock, (iv) 3,101,784 shares of Series D Preferred Stock, (v) 1,759,853 shares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20"/>
        <w:spacing w:after="0" w:line="287" w:lineRule="auto"/>
        <w:rPr>
          <w:sz w:val="20"/>
          <w:szCs w:val="20"/>
          <w:color w:val="auto"/>
        </w:rPr>
      </w:pPr>
      <w:r>
        <w:rPr>
          <w:rFonts w:ascii="Arial" w:cs="Arial" w:eastAsia="Arial" w:hAnsi="Arial"/>
          <w:sz w:val="16"/>
          <w:szCs w:val="16"/>
          <w:color w:val="auto"/>
        </w:rPr>
        <w:t>Series E Preferred Stock, (vi) 6,273,780 shares of Series F Preferred Stock, (vii) 9,419,362 shares of Series G Preferred Stock, and (viii) 5,366,411 shares of Series H Preferred Stock held by Jack W. Schuler Living Trust and (h) 352,530 shares of common stock issuable upon conversion of (i) 83,416 shares of Series C Preferred Stock, (ii) 99,950 shares of Series D Preferred Stock, (iii) 107,834 shares of Series E Preferred Stock,</w:t>
      </w:r>
    </w:p>
    <w:p>
      <w:pPr>
        <w:spacing w:after="0" w:line="2"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(iv) 437,427 shares of Series F Preferred Stock, (v) 627,380 shares of Series G Preferred Stock and (vi) 736,577 shares of Series H Preferred Stock held by Tino Hans Schuler, Trust. The number of shares listed as beneficially owned after this offering includes (a) 25,271 shares of common stock to be issued to JS Grandchildren Trust, (b) 17,454 shares of common stock to be issued to Schuler Descendants Trust, (c) 37,535 shares of common stock to be issued to Schuler Grandchildren LLC, (d) 44,239 shares of common stock to be issued to Therese Heidi Schuler, Trust, (d) 44,239 shares of common stock to be issued to Tanya Eva Schuler, Trust, (e) 752,829 shares of common stock to be issued to Jack W. Schuler Living Trust, and</w:t>
      </w:r>
    </w:p>
    <w:p>
      <w:pPr>
        <w:spacing w:after="0" w:line="2" w:lineRule="exact"/>
        <w:rPr>
          <w:sz w:val="20"/>
          <w:szCs w:val="20"/>
          <w:color w:val="auto"/>
        </w:rPr>
      </w:pPr>
    </w:p>
    <w:p>
      <w:pPr>
        <w:jc w:val="both"/>
        <w:ind w:left="460" w:right="140"/>
        <w:spacing w:after="0" w:line="265" w:lineRule="auto"/>
        <w:rPr>
          <w:sz w:val="20"/>
          <w:szCs w:val="20"/>
          <w:color w:val="auto"/>
        </w:rPr>
      </w:pPr>
      <w:r>
        <w:rPr>
          <w:rFonts w:ascii="Arial" w:cs="Arial" w:eastAsia="Arial" w:hAnsi="Arial"/>
          <w:sz w:val="17"/>
          <w:szCs w:val="17"/>
          <w:color w:val="auto"/>
        </w:rPr>
        <w:t>(f) 44,239 shares of common stock to be issued to Tino Hans Schuler, Trust, in each case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 Mr. Schuler disclaims beneficial ownership of all shares other than those held by Mr. Schuler personally or by the Jack W. Schuler Living Trust.</w:t>
      </w:r>
    </w:p>
    <w:p>
      <w:pPr>
        <w:ind w:left="460" w:right="20" w:hanging="452"/>
        <w:spacing w:after="0" w:line="265"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Consists of (a) 58,596 shares of common stock issuable upon the exercise of options held by John Patience that are vested and exercisable within 60 days of October 15, 2020, (b) 1,829,368 shares of common stock issuable upon conversion of (i) 1,454,545 shares of Series B Preferred Stock, (ii) 250,000 shares of Series D Preferred Stock, (iii) 809,200 shares of Series E Preferred Stock, (iv) 3,205,681 shares of Series F Preferred Stock, (v) 957,114 shares of Series G Preferred Stock and (vi) 4,182,413 shares of Series H Preferred Stock held by Patience Enterprises LP and (c) 2,747,015 shares of common stock issuable upon conversion of (i) 1,250,000 shares of Series B-1 Preferred Stock, (ii) 666,666 shares of Series C Preferred Stock, (iii) 2,932,534 shares of Series D Preferred Stock, (iv) 1,484,624 shares of Series E Preferred Stock, (v) 3,055,837 shares of Series F Preferred Stock and (vi) 6,711,816 shares of Series G Preferred Stock held by John Patience Trust, dated July 23, 1993. The number of shares listed as beneficially owned after this offering includes (a) 81,502 shares of common stock to be issued to Patience Enterprises LP, (b) 64,338 shares of common stock to be issued to John Patience Trust, dated July 23, 1993, and (c) 42,496 shares of common stock to be issued to Patience Capital Partners LLC, in each case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1" w:lineRule="exact"/>
        <w:rPr>
          <w:rFonts w:ascii="Arial" w:cs="Arial" w:eastAsia="Arial" w:hAnsi="Arial"/>
          <w:sz w:val="17"/>
          <w:szCs w:val="17"/>
          <w:color w:val="auto"/>
        </w:rPr>
      </w:pPr>
    </w:p>
    <w:p>
      <w:pPr>
        <w:ind w:left="460" w:right="60" w:hanging="452"/>
        <w:spacing w:after="0" w:line="281"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Consists of (a) 1,794,150 shares of common stock issuable upon conversion of 10,649,904 shares of Series G Preferred Stock held by IND Funding LLC and (b) 278,203 shares of common stock issuable upon conversion of 1,651,389 shares of Series H Preferred Stock held by Life Sciences Alternative Financing LLC. The number of shares listed as beneficially owned after this offering includes (a) 102,224 shares of common stock to be issued to IND Funding LLC, and (b) 15,850 shares of common stock to be issued to Life Science Alternative Financing LLC, in each case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3"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Consists of (a) 1 share of common stock, (b) 58,596 shares of common stock issuable upon the exercise of options held by Robert Cawthorn that are vested and exercisable within 60 days of October 15, 2020 and (c) 1,778,169 shares of common stock issuable upon conversion of (i) 392,292 shares of Series A-1 Preferred Stock, (ii) 60,000 shares of Series A-2 Preferred Stock, (iii) 120,665 shares of Series A-3 Preferred Stock, (iv) 187,273 shares of Series B Preferred Stock, (v) 312,500 shares of Series B-1 Preferred Stock, (vi) 233,333 shares of Series C Preferred Stock, (vii) 299,000 shares of Series D Preferred Stock, (viii) 452,602 shares of Series E Preferred Stock, (ix) 1,508,529 shares of Series F Preferred Stock, (x) 4,913,376 shares of Series G Preferred Stock and (xi) 2,024,338 shares of Series H Preferred Stock held by Manlia Limited. The number of shares listed as beneficially owned after this offering includes 150,709 shares of common stock to be issued to Manlia Limited upon the conversion of convertible debt immediately upon closing of this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9"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80"/>
        <w:spacing w:after="0" w:line="258" w:lineRule="auto"/>
        <w:rPr>
          <w:sz w:val="20"/>
          <w:szCs w:val="20"/>
          <w:color w:val="auto"/>
        </w:rPr>
      </w:pPr>
      <w:r>
        <w:rPr>
          <w:rFonts w:ascii="Arial" w:cs="Arial" w:eastAsia="Arial" w:hAnsi="Arial"/>
          <w:sz w:val="18"/>
          <w:szCs w:val="18"/>
          <w:color w:val="auto"/>
        </w:rPr>
        <w:t>offering, based on interest accrued through October 15, 2020 and the assumed initial public offering price of $18.00 per share, which is the midpoint of the estimated offering price range set forth on the cover page of this prospectus.</w:t>
      </w:r>
    </w:p>
    <w:p>
      <w:pPr>
        <w:spacing w:after="0" w:line="1" w:lineRule="exact"/>
        <w:rPr>
          <w:sz w:val="20"/>
          <w:szCs w:val="20"/>
          <w:color w:val="auto"/>
        </w:rPr>
      </w:pPr>
    </w:p>
    <w:p>
      <w:pPr>
        <w:ind w:left="460" w:right="240" w:hanging="452"/>
        <w:spacing w:after="0" w:line="281"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(a) 774,044 shares of common stock issuable upon conversion of (i) 2,666,668 shares of Series G Preferred Stock and (ii) 1,927,983 shares of Series H Preferred Stock held by Lawrence T. Kennedy, Jr. Revocable Trust UAD 6/19/01 and as amended from time to time and (b) 337,368 shares of common stock issuable upon conversion of (i) 1,333,332 shares of Series G Preferred Stock and (ii) 669,253 shares of Series H Preferred Stock held by Lawrence T. Kennedy, Jr. Perpetuity Trust UAD 6/30/16. The number of shares listed as beneficially owned after this offering includes 133,689 shares of common stock to be issued to Lawrence T. Kennedy, Jr. Perpetuity Trust UAD 6/30/16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4"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90,268 shares of common stock issuable upon the exercise of options held by Scott Hutton that are vested and exercisable within 60 days of October 15, 2020.</w:t>
      </w:r>
    </w:p>
    <w:p>
      <w:pPr>
        <w:ind w:left="460" w:right="48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106,931 shares of common stock issuable upon the exercise of options held by Robin Harper Cowie that are vested and exercisable within 60 days of October 15, 2020.</w:t>
      </w:r>
    </w:p>
    <w:p>
      <w:pPr>
        <w:ind w:left="460" w:right="60" w:hanging="452"/>
        <w:spacing w:after="0" w:line="281"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(a) 76,732 shares of common stock, (b) 316,709 shares of common stock issuable upon the exercise of options held by David Brunel that are vested and exercisable within 60 days of October 15, 2020 and (c) 31,098 shares of common stock issuable upon conversion of (i) 660 shares of Series A-1 Preferred Stock, (ii) 110,399 shares of Series A-3 Preferred Stock and (iii) 73,540 shares of Series B Preferred Stock.</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6,704,263 shares beneficially owned by Jack Schuler and entities affiliated with Jack Schuler, as set forth in footnote (1). The number of shares listed as beneficially owned after this offering includes 965,806 shares of common stock to be issued to entities affiliated with Jack Schuler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 as set forth in footnote (1). Mr. Schuler disclaims beneficial ownership of all shares other than those held by Mr. Schuler personally or by the Jack W. Schuler Living Trust.</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4,634,979 shares beneficially owned by John Patience and entities affiliated with John Patience, as set forth in footnote (2). The number of shares listed as beneficially owned after this offering includes 188,336 shares of common stock to be issued to entities affiliated with John Patience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 as set forth in footnote (2).</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1,836,766 shares beneficially owned by Robert Cawthorn and entities affiliated with Robert Cawthorn, as set forth in footnote (4). The number of shares listed as beneficially owned after this offering includes 150,709 shares of common stock to be issued to an entity affiliated with Robert Cawthorn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 as set forth in footnote (4).</w:t>
      </w:r>
    </w:p>
    <w:p>
      <w:pPr>
        <w:spacing w:after="0" w:line="1"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(a) 61,965 shares of common stock issuable upon the exercise of options held by Dr. Matthew Strobeck that are vested and exercisable within 60 days of October 15, 2020 and (b) 831,747 shares of common stock issuable upon conversion of (i) 100,000 shares of Series C Preferred Stock, (ii) 686,250 shares of Series D Preferred Stock, (iii) 750,907 shares of Series E Preferred Stock, (iv) 903,516 shares of Series F Preferred Stock, (v) 1,660,268 shares of Series G Preferred Stock and (vi) 836,231 shares of Series H Preferred Stock held by Dr. Matthew Strobeck and (c) 21,973 shares of common stock issuable upon conversion of 130,433 shares of Series H Preferred Stock held by Clajer Capital LLC. The number of shares listed as beneficially owned after this offering includes (a) 76,539 shares of common stock to be issued to Matthew Strobeck, (b) 18,692 shares of common stock to be issued to Clajer Capital LLC, and (c) 14,072 shares of common stock to be issued to the minor children of Matthew Strobeck, in each case upon the conversion of convertible debt immediately upon closing of this offering, based on interest accrued through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60"/>
        <w:spacing w:after="0" w:line="258" w:lineRule="auto"/>
        <w:rPr>
          <w:sz w:val="20"/>
          <w:szCs w:val="20"/>
          <w:color w:val="auto"/>
        </w:rPr>
      </w:pPr>
      <w:r>
        <w:rPr>
          <w:rFonts w:ascii="Arial" w:cs="Arial" w:eastAsia="Arial" w:hAnsi="Arial"/>
          <w:sz w:val="18"/>
          <w:szCs w:val="18"/>
          <w:color w:val="auto"/>
        </w:rPr>
        <w:t>October 15, 2020 and the assumed initial public offering price of $18.00 per share, which is the midpoint of the estimated offering price range set forth on the cover page of this prospectus.</w:t>
      </w:r>
    </w:p>
    <w:p>
      <w:pPr>
        <w:spacing w:after="0" w:line="1" w:lineRule="exact"/>
        <w:rPr>
          <w:sz w:val="20"/>
          <w:szCs w:val="20"/>
          <w:color w:val="auto"/>
        </w:rPr>
      </w:pPr>
    </w:p>
    <w:p>
      <w:pPr>
        <w:ind w:left="460" w:right="10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(a) 61,965 shares of common stock issuable upon the exercise of options held by Mark Miller that are vested and exercisable within 60 days of October 15, 2020, (b) 183,484 shares of common stock issuable upon conversion of (i) 726,750 shares of Series D Preferred Stock and (ii) 362,398 shares of Series E Preferred Stock held by Tiger’s Family LLC and (c) 11,230 shares of common stock issuable upon conversion of 66,666 shares of Series C Preferred Stock held by Mark C. Miller Trust. Mark Miller disclaims beneficial ownership of the shares the 362,398 shares of Series E Preferred Stock held by Tiger’s Family LLC.</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49,806 shares of common stock issuable upon the exercise of options held by Dr. Charles Watts that are vested and exercisable within 60 days of October 15, 2020.</w:t>
      </w:r>
    </w:p>
    <w:p>
      <w:pPr>
        <w:ind w:left="46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19,576 shares of common stock issuable upon the exercise of options held by Jean Franchi that are vested and exercisable within 60 days of October 15, 2020.</w:t>
      </w:r>
    </w:p>
    <w:p>
      <w:pPr>
        <w:ind w:left="460" w:right="80" w:hanging="452"/>
        <w:spacing w:after="0" w:line="26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14,649 shares of common stock issuable upon the exercise of options held by Hany Massarany that are vested and exercisable within 60 days of October 15, 2020.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320" w:top="459" w:right="3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to be in effect upon the closing of this offering, which are filed as exhibits to the registration statement of which this prospectus is part, and by the applicable provisions of Delaware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20" w:firstLine="449"/>
        <w:spacing w:after="0" w:line="308" w:lineRule="auto"/>
        <w:rPr>
          <w:sz w:val="20"/>
          <w:szCs w:val="20"/>
          <w:color w:val="auto"/>
        </w:rPr>
      </w:pPr>
      <w:r>
        <w:rPr>
          <w:rFonts w:ascii="Arial" w:cs="Arial" w:eastAsia="Arial" w:hAnsi="Arial"/>
          <w:sz w:val="17"/>
          <w:szCs w:val="17"/>
          <w:color w:val="auto"/>
        </w:rPr>
        <w:t>Upon the closing of this offering, our amended and restated certificate of incorporation will authorize us to issue up to 200,000,000 shares of common stock, $0.001 par value per share, and 5,000,000 shares of preferred stock, $0.001 par value per share.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October 15, 2020, there were 315,047 shares of common stock issued and outstanding, held by 60 stockholders of record.</w:t>
      </w:r>
    </w:p>
    <w:p>
      <w:pPr>
        <w:spacing w:after="0" w:line="22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As of October 15, 2020, after giving effect to the conversion of all outstanding shares of preferred stock into 20,090,745 shares of common stock and the conversion of all convertible debt into 1,848,280 shares of common stock, based on the assumed initial public offering price of $18.00 per share, which is the midpoint of the estimated offering price range set forth on the cover page of this prospectus, there would have been 22,254,072 shares of common stock issued and outstanding, held by 344 stockholders of record.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459" w:right="3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As of October 15, 2020, there were 118,766,273 shares of preferred stock outstanding, which will be converted into 20,090,745 shares of common stock upon the closing of the offering. On the closing of this offering and under our amended and restated certificate of incorporation, 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will be outstanding immediately following the closing of this offering. We have no present plan to issue any shares of preferred stock.</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 Financings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have issued preferred stock from time to time to finance our operations or to make acquisitions. The purchasers of some of our preferred stock are covered persons or their affiliates.</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24"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0.1684664 shares of common stock. Upon the closing of this offering, each share of Series B-1 Preferred Stock will convert into approximately 0.196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w:t>
      </w:r>
    </w:p>
    <w:p>
      <w:pPr>
        <w:spacing w:after="0" w:line="121"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The March 2020 Notes were scheduled to mature in August 2020, but in August 2020 we extended the maturity date of this debt to June 30, 2021. The March 2020 Notes were issued in two tranches of $5.0 million, with the first tranche funded in March 2020 and the second tranche in June 2020. Interest on the March 2020 Notes is 3% per annum and is payable in full upon maturity through the conversion to Series H Preferred Stock at 80% of the original issuance price of $1.15 per share. On or before the maturity date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December 2019 Notes were scheduled to mature in August 2020, but in August 2020 we extended the maturity date of this debt to June 30,</w:t>
      </w:r>
    </w:p>
    <w:p>
      <w:pPr>
        <w:spacing w:after="0" w:line="46"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2021. The December 2019 Notes were issued in two tranches of $3.0 million, with the first tranche funded in December 2019 and the second tranche in February 2020.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 a number of our directors and their affiliates.</w:t>
      </w:r>
    </w:p>
    <w:p>
      <w:pPr>
        <w:spacing w:after="0" w:line="18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August 2019 Notes were scheduled to mature in August 2020, but in August 2020 we extended the maturity date of this debt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discounts on the automatic conversions created a put option liability that was separated from the March 2020 Notes. The estimated value of the put option liability as of the issuance of the March 2020 Notes at June 30, 2020 was $2.5 million. The put option liability was reflected as a debt discount on the March 2020 Notes, which is being amortized over the term of the March 2020 Notes. The unamortized debt discount was $1.4 million as of June 30, 2020.</w:t>
      </w:r>
    </w:p>
    <w:p>
      <w:pPr>
        <w:spacing w:after="0" w:line="187"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The discounts on the automatic conversions created a put option liability that was separated from the December 2019 Notes. The estimated value of the put option liability as of the issuance of the December 2019 Notes and June 30, 2020 was $1.5 million. The put option liability was reflected as a debt discount on the December 2019 Notes, which is being amortized over the term of the December 2019 Notes. The unamortized debt discount was $0.3 million as of June 30, 2020.</w:t>
      </w:r>
    </w:p>
    <w:p>
      <w:pPr>
        <w:spacing w:after="0" w:line="18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as of June 30, 2020.</w:t>
      </w:r>
    </w:p>
    <w:p>
      <w:pPr>
        <w:spacing w:after="0" w:line="14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$2.0 million to a total estimated value of $2.5 million as of December 31, 2019. The increase in the value of the put option liability was reflected as a change in put option in the accompanying 2019 statement of operations.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320" w:top="459" w:right="3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2020, accrued interest of $0.4 million is included in the convertible debt balance included on the accompanying balance sheet.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right="200" w:firstLine="449"/>
        <w:spacing w:after="0" w:line="279" w:lineRule="auto"/>
        <w:rPr>
          <w:sz w:val="20"/>
          <w:szCs w:val="20"/>
          <w:color w:val="auto"/>
        </w:rPr>
      </w:pPr>
      <w:r>
        <w:rPr>
          <w:rFonts w:ascii="Arial" w:cs="Arial" w:eastAsia="Arial" w:hAnsi="Arial"/>
          <w:sz w:val="17"/>
          <w:szCs w:val="17"/>
          <w:color w:val="auto"/>
        </w:rPr>
        <w:t>We have issued warrants from time to time to purchase shares of preferred stock in conjunction with the sale of preferred stock and debt. The grant date fair value and fair value at each reporting date of the warrants was determined using the Black-Scholes option pricing model with weighted average assumptions relatively consistent with those for our granted stock options, other than term, which is the contractual term of the warrant and the use of the exercise price and current estimated fair value of the respective series of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Series E</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Series G</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110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w w:val="92"/>
              </w:rPr>
              <w:t>Warrants</w:t>
            </w: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2019</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Outstanding - June 30, 2020</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June 30, 2020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Arial" w:cs="Arial" w:eastAsia="Arial" w:hAnsi="Arial"/>
                <w:sz w:val="18"/>
                <w:szCs w:val="18"/>
                <w:color w:val="auto"/>
                <w:w w:val="83"/>
              </w:rPr>
              <w:t>7.5 years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As of October 15, 2020, options to purchase an aggregate of 249,370 shares of common stock were outstanding under our 2006 Incentive Plan. As of October 15, 2020, options to purchase an aggregate of 2,473,941 shares of common stock were outstanding under our 2016 Incentive Plan. For additional information regarding the terms of these plans, see the section titled “Executive Compensation—Employee Benefit Plans.”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We are party to an IRA which provides that certain holders of shares of common stock, including those shares of common stock that will be issued upon conversion of preferred stock in connection with this offering. These shares are referred to as registrable securities. The holders of these registrable securities possess registration rights pursuant to the terms of the IRA and are described in additional detail below. We, along with certain of our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8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demand, piggyback and Form S-3 registration rights described below will terminate on the date five years following the closing part of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holders of an aggregate of 20,090,745 shares of common stock issuable upon conversion of outstanding shares of preferred stock will be entitled to certain demand registration rights. Ending on the date six months following the effective date of the registration statement of which this prospectus is a part, upon the written request of the holders of a majority of our registrable securities then outstanding that we file a registration statement under the Securities Act covering at least a majority of our registrable securities then outstanding, or lesser percent if the anticipated aggregate offering price, net of underwriting discounts and commissions, would exceed $5.0 million we are obligated to register the sale of all registrable securities that the holders may request in writing to be registered. We are required to effect no more than two registration statements that are declared or ordered effective. We may postpone the filing of a registration statement for up to 120 days once in a 12-month period if in the good faith judgment of our Board of Directors such registration would be seriously detrimental to us.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registrable securities will be entitled to certain piggyback registration rights.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will be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320" w:top="459" w:right="3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00" w:right="280" w:hanging="547"/>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00" w:right="120" w:hanging="547"/>
        <w:spacing w:after="0" w:line="275" w:lineRule="auto"/>
        <w:tabs>
          <w:tab w:leader="none" w:pos="10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1000" w:right="140" w:hanging="547"/>
        <w:spacing w:after="0" w:line="263"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00" w:hanging="547"/>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00" w:right="180" w:hanging="547"/>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Closing of this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 will:</w:t>
      </w:r>
    </w:p>
    <w:p>
      <w:pPr>
        <w:spacing w:after="0" w:line="131" w:lineRule="exact"/>
        <w:rPr>
          <w:sz w:val="20"/>
          <w:szCs w:val="20"/>
          <w:color w:val="auto"/>
        </w:rPr>
      </w:pPr>
    </w:p>
    <w:p>
      <w:pPr>
        <w:ind w:left="1000" w:right="420" w:hanging="547"/>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459"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00" w:right="160" w:hanging="547"/>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9"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00" w:right="20" w:hanging="547"/>
        <w:spacing w:after="0" w:line="308" w:lineRule="auto"/>
        <w:tabs>
          <w:tab w:leader="none" w:pos="10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00" w:right="26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amended and restated bylaws; or (iv) any action asserting a claim against us or any director or officer or other employee that is governed by the internal affairs doctrine. Notwithstanding the foregoing, the exclusive forum provision will not apply to any claim to enforce any liability or duty created by the Exchange Act or the Securities Act and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Exchange Act or the Securities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common stock is currently not listed on any securities exchange. We have applied to list our common stock on The Nasdaq Global Market under the symbol “BDSX”.</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agent’s address 150 Royall Street, Canton, Massachusetts 02021, and its telephone number is (800) 962-4284.</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320" w:top="459" w:right="3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and the availability of shares for future sale, could adversely affect the market price of our common stock prevailing from time to time. As described below, only a limited number of shares will be available for sale shortly after this offering due to contractual and legal restrictions on resale. Nonetheless, sales of substantial amounts of our common stock, or the perception that these sales could occur, could adversely affect prevailing market prices for our common stock and could impair our future ability to raise equity capital.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Based on the number of shares outstanding on October 15, 2020, upon the closing of this offering, 26,420,739 shares of common stock will be outstanding, assuming no exercise of the underwriters’ over-allotment option, and no exercise of outstanding options. All of the shares of common stock sold in this offering will be freely tradable without restrictions or further registration under the Securities Act, except for any shares sold to our “affiliates,” as that term is defined under Rule 144 under the Securities Act.</w:t>
      </w:r>
    </w:p>
    <w:p>
      <w:pPr>
        <w:spacing w:after="0" w:line="187" w:lineRule="exact"/>
        <w:rPr>
          <w:sz w:val="20"/>
          <w:szCs w:val="20"/>
          <w:color w:val="auto"/>
        </w:rPr>
      </w:pPr>
    </w:p>
    <w:p>
      <w:pPr>
        <w:jc w:val="both"/>
        <w:ind w:right="80" w:firstLine="449"/>
        <w:spacing w:after="0" w:line="279" w:lineRule="auto"/>
        <w:rPr>
          <w:sz w:val="20"/>
          <w:szCs w:val="20"/>
          <w:color w:val="auto"/>
        </w:rPr>
      </w:pPr>
      <w:r>
        <w:rPr>
          <w:rFonts w:ascii="Arial" w:cs="Arial" w:eastAsia="Arial" w:hAnsi="Arial"/>
          <w:sz w:val="17"/>
          <w:szCs w:val="17"/>
          <w:color w:val="auto"/>
        </w:rPr>
        <w:t>The remaining shares of common stock and common stock subject to stock options will be on issuance “restricted securities,” as that term is defined in Rule 144 under the Securities Act. Restricted securities may be sold in the public market only if registered under the Securities Act or if they qualify for exemption from registration under Rules 144 or 701 under the Securities Act, which are summarized below. Restricted securities may also be sold outside of the United States to non-United States persons in accordance with Rule 904 of Regulation 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of our affiliates who own either restricted or unrestricted shares of our common stock, are entitled to sell their securities without registration with the SEC under an exemption from registration provided by Rule 144 under the Securities Act.</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have been subject to the Exchange Act periodic reporting requirements for at least 90 days before the sale, and (iii) we are current in our Exchange Act reporting at the time of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3" w:lineRule="exact"/>
        <w:rPr>
          <w:sz w:val="20"/>
          <w:szCs w:val="20"/>
          <w:color w:val="auto"/>
        </w:rPr>
      </w:pPr>
    </w:p>
    <w:p>
      <w:pPr>
        <w:ind w:left="1000" w:right="4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which will equal approximately 264,207 shares immediately after the closing of this offering based on the number of shares of common stock outstanding as of October 15, 2020; or</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459" w:right="3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the restricted shares are subject to lock-up agreements as described below and in the section titled “Underwriters.”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“Underwriters” and will become eligible for sale upon the expiration of the restrictions set forth in those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ind w:right="300" w:firstLine="449"/>
        <w:spacing w:after="0" w:line="301" w:lineRule="auto"/>
        <w:rPr>
          <w:sz w:val="20"/>
          <w:szCs w:val="20"/>
          <w:color w:val="auto"/>
        </w:rPr>
      </w:pPr>
      <w:r>
        <w:rPr>
          <w:rFonts w:ascii="Arial" w:cs="Arial" w:eastAsia="Arial" w:hAnsi="Arial"/>
          <w:sz w:val="16"/>
          <w:szCs w:val="16"/>
          <w:color w:val="auto"/>
        </w:rPr>
        <w:t>As soon as practicable after the closing of this offering, we intend to file with the SEC one or more registration statements on Form S-8 under the Securities Act to register the shares of common stock that are issuable pursuant to our 2006 Incentive Plan and 2016 Incentive Plan. These registration statements will become effective immediately upon filing. Shares covered by these registration statements will then be eligible for sale in the public markets, subject to vesting restrictions, the applicable lock-up agreements described below and Rule 144 limitations applicable to affiliates.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and all of our directors and officers, as well as the other holders of substantially all of our common stock and securities convertible into or exercisable or exchangeable for our common stock outstanding immediately upon the closing of this offering, have agreed with Morgan Stanley &amp; Co. LLC and William Blair &amp; Company, L.L.C. on behalf of the underwriters that, for a period ending on and including the 180th day following the date of this prospectus, subject to certain exceptions, we and they will not, and will not publicly disclose an intention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or enter into any swap or other arrangement that transfers to another, in whole or in part, any of the economic consequences of ownership of the common stock, except with the prior written consent of Morgan Stanley &amp; Co. LLC and William Blair &amp; Company, L.L.C., in their sole discretion, with or without notice, on behalf of the underwriters. See the section titled “Underwriters” for a more complete description of the lock-up agreements with the underwriters.</w:t>
      </w:r>
    </w:p>
    <w:p>
      <w:pPr>
        <w:spacing w:after="0" w:line="18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our IRA and our standard forms of notice of exercise under our 2006 Incentive Plan and our 2016 Incentive Plan, that contain market stand-off provisions imposing restrictions on the ability of such security holders to offer, sell or transfer our equity securities for a period ending on and including the 180th day following the date of this prospectus.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320" w:top="459" w:right="3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Upon the closing of this offering, the holders of 20,090,745 shares of our common stock issuable upon conversion of outstanding shares of preferred stock, or their transferees, will be entitled to certain rights with respect to the registration of their shares under the Securities Act. Registration of these shares under the Securities Act would result in the shares becoming freely tradable without restriction under the Securities Act immediately upon the effectiveness of the registration. See the section titled “Description of Capital Stock—Registration Rights” for additional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Shares purchased through the directed share program will not be subject to lockup restrictions with the underwriters, except in the case of shares purchased by any of our officers or directors, employees and certain of our existing stockholders. For additional information, see the section titled “Underwriters—Directed Share Program.”</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80"/>
          </w:cols>
          <w:pgMar w:left="320" w:top="459" w:right="3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NON-UNITED STATES HOLDERS OF OUR COMMON STOCK</w:t>
      </w:r>
    </w:p>
    <w:p>
      <w:pPr>
        <w:spacing w:after="0" w:line="211" w:lineRule="exact"/>
        <w:rPr>
          <w:sz w:val="20"/>
          <w:szCs w:val="20"/>
          <w:color w:val="auto"/>
        </w:rPr>
      </w:pPr>
    </w:p>
    <w:p>
      <w:pPr>
        <w:ind w:right="160" w:firstLine="449"/>
        <w:spacing w:after="0" w:line="289" w:lineRule="auto"/>
        <w:rPr>
          <w:sz w:val="20"/>
          <w:szCs w:val="20"/>
          <w:color w:val="auto"/>
        </w:rPr>
      </w:pPr>
      <w:r>
        <w:rPr>
          <w:rFonts w:ascii="Arial" w:cs="Arial" w:eastAsia="Arial" w:hAnsi="Arial"/>
          <w:sz w:val="16"/>
          <w:szCs w:val="16"/>
          <w:color w:val="auto"/>
        </w:rPr>
        <w:t>The following is a summary of the material United States federal income tax consequences to non-United States holders (as defined below) of the acquisition, ownership and disposition of our common stock issued pursuant to this offering. This discussion is not a complete analysis of all potential United States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United States federal tax laws. This discussion is based on the Code and applicable Treasury Regulations promulgated thereunder, judicial decisions and published rulings and administrative pronouncements of the Internal Revenue Service (IRS) all as in effect as of the date hereof. These authorities are subject to differing interpretations and may change, possibly retroactively, resulting in United States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This discussion is limited to non-United States holders who purchase our common stock pursuant to this offering and who hold our common stock as a “capital asset” within the meaning of Section 1221 of the Code (generally, property held for investment). This discussion does not address all of the United States federal income tax consequences that may be relevant to a particular holder in light of such holder’s particular circumstances. This discussion also does not consider any specific facts or circumstances that may be relevant to holders subject to special rules under the United States federal income tax laws, including:</w:t>
      </w:r>
    </w:p>
    <w:p>
      <w:pPr>
        <w:spacing w:after="0" w:line="93" w:lineRule="exact"/>
        <w:rPr>
          <w:sz w:val="20"/>
          <w:szCs w:val="20"/>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corporations that accumulate earnings to avoid United States federal income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or dealers in securities;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foreign pension 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If an entity or arrangement that is classified as a partnership for United States federal income tax purposes holds our common stock, the United States federal income tax treatment of a partner in the partnership will generally depend on the status of the partner and the activities of the partnership. Partnerships (including entities or arrangements treated as partnerships for United States federal income tax purposes) holding our common stock and the partners in such partnerships are urged to consult their tax advisors about the particular United States federal income tax consequences to them of holding and disposing of our common stock.</w:t>
      </w:r>
    </w:p>
    <w:p>
      <w:pPr>
        <w:spacing w:after="0" w:line="184" w:lineRule="exact"/>
        <w:rPr>
          <w:sz w:val="20"/>
          <w:szCs w:val="20"/>
          <w:color w:val="auto"/>
        </w:rPr>
      </w:pPr>
    </w:p>
    <w:p>
      <w:pPr>
        <w:ind w:right="440" w:firstLine="449"/>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PARTICULAR UNITED STATES FEDERAL INCOME TAX CONSEQUENCES TO THEM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b w:val="1"/>
          <w:bCs w:val="1"/>
          <w:color w:val="auto"/>
        </w:rPr>
        <w:t>ACQUIRING, OWNING AND DISPOSING OF OUR COMMON STOCK, AS WELL AS ANY TAX CONSEQUENCES ARISING UNDER ANY STATE, LOCAL OR FOREIGN TAX LAWS, AN APPLICABLE TAX TREATY OR ANY OTHER UNITED STATES FEDERAL TAX LAWS. IN ADDITION, YOU SHOULD ALSO CONSULT WITH YOUR TAX ADVISOR WITH RESPECT TO POTENTIAL CHANGES IN UNITED STATES FEDERAL TAX LAW AS WELL AS POTENTIAL CHANGES IN STATE, LOCAL OR FOREIGN TAX 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Non-United States Holder</w:t>
      </w:r>
    </w:p>
    <w:p>
      <w:pPr>
        <w:spacing w:after="0" w:line="121" w:lineRule="exact"/>
        <w:rPr>
          <w:sz w:val="20"/>
          <w:szCs w:val="20"/>
          <w:color w:val="auto"/>
        </w:rPr>
      </w:pPr>
    </w:p>
    <w:p>
      <w:pPr>
        <w:jc w:val="both"/>
        <w:ind w:right="340" w:firstLine="449"/>
        <w:spacing w:after="0" w:line="286" w:lineRule="auto"/>
        <w:rPr>
          <w:sz w:val="20"/>
          <w:szCs w:val="20"/>
          <w:color w:val="auto"/>
        </w:rPr>
      </w:pPr>
      <w:r>
        <w:rPr>
          <w:rFonts w:ascii="Arial" w:cs="Arial" w:eastAsia="Arial" w:hAnsi="Arial"/>
          <w:sz w:val="17"/>
          <w:szCs w:val="17"/>
          <w:color w:val="auto"/>
        </w:rPr>
        <w:t>For purposes of this discussion, a non-United States holder is any beneficial owner of our common stock that is not a “United States person” or a partnership (including any entity or arrangement treated as a partnership) for United States federal income tax purposes. A United States person is any person that, for United States federal income tax purposes, is or is treated as any of the following:</w:t>
      </w:r>
    </w:p>
    <w:p>
      <w:pPr>
        <w:spacing w:after="0" w:line="71" w:lineRule="exact"/>
        <w:rPr>
          <w:sz w:val="20"/>
          <w:szCs w:val="20"/>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United States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 regardless of its source; or</w:t>
      </w:r>
    </w:p>
    <w:p>
      <w:pPr>
        <w:spacing w:after="0" w:line="130" w:lineRule="exact"/>
        <w:rPr>
          <w:rFonts w:ascii="Arial" w:cs="Arial" w:eastAsia="Arial" w:hAnsi="Arial"/>
          <w:sz w:val="18"/>
          <w:szCs w:val="18"/>
          <w:color w:val="auto"/>
        </w:rPr>
      </w:pPr>
    </w:p>
    <w:p>
      <w:pPr>
        <w:jc w:val="both"/>
        <w:ind w:left="1000" w:right="540" w:hanging="547"/>
        <w:spacing w:after="0" w:line="26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United States court and which has one or more United States persons who have the authority to control all substantial decisions of the trust or (2) that has a valid election in effect under applicable Treasury Regulations to be treated as a United States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in the foreseeable future. However, 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Amounts not treated as dividends for United States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non-United States holder of our common stock generally will be subject to United States federal withholding tax at a rate of 30% of the gross amount of the dividends or such lower rate specified by an applicable income tax treaty. To receive the benefit of a reduced treaty rate, a non-United States holder must furnish us or our paying agent with a valid IRS Form W-8BEN or IRS Form W-8BEN-E (or applicable successor form) certifying such holder’s qualification for the reduced rate. This certification must be provided to us or our paying agent before the payment of dividends and must be updated periodically. If the non-United States holder holds the stock through a financial institution or other agent acting on the non-United States holder’s behalf, the non-United States holder will be required to provide appropriate documentation to the agent, which then will be required to provide certification to us or our paying agent, either directly or through other intermediaries.</w:t>
      </w:r>
    </w:p>
    <w:p>
      <w:pPr>
        <w:spacing w:after="0" w:line="16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Non-United States holders that do not provide the required certification on a timely basis, but that qualify for a reduced treaty rate, may be eligible to obtain a refund of any excess amounts withheld by timely filing an appropriate claim for refund with the IRS.</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If a non-United States holder holds our common stock in connection with the conduct of a trade or business in the United States, and dividends paid on our common stock are effectively connected with such 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United States trade or business (and are attributable to such holder’s permanent establishment in the United States if required by an applicable tax treaty), the non-United States holder will be exempt from United States federal withholding tax. To claim the exemption, the non-United States holder must generally furnish a valid IRS Form W-8ECI (or applicable successor form) to the applicable withholding agent certifying eligibility for exemption.</w:t>
      </w:r>
    </w:p>
    <w:p>
      <w:pPr>
        <w:spacing w:after="0" w:line="14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dividends. Non-United States holders should consult their tax advisors regarding any applicable income tax treaties that may provide for different rules.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non-United States holder generally will not be subject to United States federal income tax on any gain realized on the sale or other disposition of our common stock, unless:</w:t>
      </w:r>
    </w:p>
    <w:p>
      <w:pPr>
        <w:spacing w:after="0" w:line="76" w:lineRule="exact"/>
        <w:rPr>
          <w:sz w:val="20"/>
          <w:szCs w:val="20"/>
          <w:color w:val="auto"/>
        </w:rPr>
      </w:pPr>
    </w:p>
    <w:p>
      <w:pPr>
        <w:ind w:left="1000" w:right="80" w:hanging="547"/>
        <w:spacing w:after="0" w:line="342"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gain is effectively connected with the non-United States holder’s conduct of a trade or business in the United States, and if required by an applicable income tax treaty, is attributable to a permanent establishment maintained by the non-United States holder in the United States;</w:t>
      </w:r>
    </w:p>
    <w:p>
      <w:pPr>
        <w:spacing w:after="0" w:line="29" w:lineRule="exact"/>
        <w:rPr>
          <w:rFonts w:ascii="Arial" w:cs="Arial" w:eastAsia="Arial" w:hAnsi="Arial"/>
          <w:sz w:val="16"/>
          <w:szCs w:val="16"/>
          <w:color w:val="auto"/>
        </w:rPr>
      </w:pPr>
    </w:p>
    <w:p>
      <w:pPr>
        <w:ind w:left="1000" w:right="8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non-United States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00" w:right="360" w:hanging="547"/>
        <w:spacing w:after="0" w:line="279"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(USRPHC) for United States federal income tax purposes at any time within the shorter of the five-year period preceding the disposition or the non-United States holder’s holding period for our common stock, and our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Determining whether we are a USRPHC depends on the fair market value of our United States real property interests relative to the fair market value of our other trade or business assets and our foreign real property interests. We believe that we are not currently and do not anticipate becoming a USRPHC for United States federal income tax purposes, although there can be no assurance we will not in the future become a USRPHC.</w:t>
      </w:r>
    </w:p>
    <w:p>
      <w:pPr>
        <w:spacing w:after="0" w:line="14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Gain described in the first bullet point above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gain. Gain described in the second bullet point above will be subject to United States federal income tax at a flat 30% rate (or such lower rate specified by an applicable income tax treaty), but may be offset by certain United States-source capital losses (even though the individual is not considered a resident of the United States), provided that the non-United States holder has timely filed United States federal income tax returns with respect to such losses. Non-United States holders should consult their tax advisors regarding any applicable income tax treaties that may provide for different rules.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Annual reports are required to be filed with the IRS and provided to each non-United States holder indicating the amount of dividends on our common stock paid to such holder and the amount of any tax withheld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those dividends. These information reporting requirements apply even if no withholding was required because the dividends were effectively connected with the holder’s conduct of a United States trade or business, or withholding was reduced or eliminated by an applicable income tax treaty. This information also may be made available under a specific treaty or agreement with the tax authorities in the country in which the non-United States holder resides or is established. Backup withholding, currently at a 24% rate, generally will not apply to payments to a non-United States holder of dividends on or the gross proceeds of a disposition of our common stock provided the non-United States holder furnishes the required certification for its non-United States status, such as by providing a valid IRS Form W-8BEN, IRS Form W-8BEN-E or IRS Form W-8ECI, or certain other requirements are met. Backup withholding may apply if the payer has actual knowledge, or reason to know, that the holder is a United States person who is not an exempt recipient.</w:t>
      </w:r>
    </w:p>
    <w:p>
      <w:pPr>
        <w:spacing w:after="0" w:line="19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or other disposition of our common stock by a non-United States holder outside the United States through a foreign office of a foreign broker that does not have certain specified connections to the United States. However, if a non-United States holder sells or otherwise disposes of its shares of common stock through a United States broker or the United States offices of a foreign broker, the broker will generally be required to report the amount of proceeds paid to the non-United States holder to the IRS and also backup withhold on that amount unless such non-United States holder provides appropriate certification to the broker of its status as a non-United States person (and the payer does not have actual knowledge or reason to know that such holder is a United States person) or otherwise establishes an exemption. Information reporting will also apply if a non-United States holder sells its shares of common stock through a foreign broker deriving more than a specified percentage of its income from United States sources or having certain other connections to the United States, unless such broker has documentary evidence in its records that such non-United States holder is a non-United States person (and the payer does not have actual knowledge or reason to know that such holder is a United States person) and certain other conditions are met, or such non-United States holder otherwise establishes an exemption.</w:t>
      </w:r>
    </w:p>
    <w:p>
      <w:pPr>
        <w:spacing w:after="0" w:line="182"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non-United States holder should consult with a United States tax advisor regarding the possibility of and procedure for obtaining a refund or a credit against the non-United States holder’s United States federal income tax liability, if 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FATCA imposes a United States federal withholding tax of 30% on dividends paid on our common stock to a “foreign financial institution” (as specially defined under these rules) unless such institution enters into an agreement with the United States government to withhold on certain payments and to collect and provide to the United States tax authorities substantial information regarding certain United States account holders of such institution (which includes certain equity and debt holders of such institution, as well as certain account holders that are foreign entities with United States owners) or an exemption applies. FATCA also generally will impose a United States federal withholding tax of 30% on dividends paid on our common stock to a non-financial foreign entity unless such entity provides the withholding agent a certification identifying certain direct and indirect United States owners of the entity or an exemption applies. An intergovernmental agreement between the United States and an applicable foreign country may modify these requirements. Under certain circumstances, a non-United States holder might be eligible for refunds or credits of such taxes. FATCA currently applies to dividends paid on our common stock. The Treasury Secretary has issued proposed regulations providing that the withholding provisions under FATCA do not apply with respect to gross proceeds from a sale or other disposition of our common stock, which may be relied upon by taxpayers until final regulations are issued.</w:t>
      </w:r>
    </w:p>
    <w:p>
      <w:pPr>
        <w:spacing w:after="0" w:line="18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320" w:top="459" w:right="3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William Blair &amp; Company, L.L.C. are acting as representatives, have severally agreed to purchase, and we have agreed to sell to them, severally, the number of shares indicated below:</w:t>
      </w:r>
    </w:p>
    <w:p>
      <w:pPr>
        <w:sectPr>
          <w:pgSz w:w="11900" w:h="16838" w:orient="portrait"/>
          <w:cols w:equalWidth="0" w:num="1">
            <w:col w:w="11240"/>
          </w:cols>
          <w:pgMar w:left="320" w:top="459" w:right="339" w:bottom="1440" w:gutter="0" w:footer="0" w:header="0"/>
        </w:sectPr>
      </w:pPr>
    </w:p>
    <w:p>
      <w:pPr>
        <w:spacing w:after="0" w:line="351" w:lineRule="exact"/>
        <w:rPr>
          <w:sz w:val="20"/>
          <w:szCs w:val="20"/>
          <w:color w:val="auto"/>
        </w:rPr>
      </w:pPr>
    </w:p>
    <w:p>
      <w:pPr>
        <w:ind w:left="1420"/>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15240</wp:posOffset>
            </wp:positionV>
            <wp:extent cx="534924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Canaccord Genuity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BTIG, LLC</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580"/>
        <w:spacing w:after="0"/>
        <w:rPr>
          <w:sz w:val="20"/>
          <w:szCs w:val="20"/>
          <w:color w:val="auto"/>
        </w:rPr>
      </w:pPr>
      <w:r>
        <w:rPr>
          <w:rFonts w:ascii="Arial" w:cs="Arial" w:eastAsia="Arial" w:hAnsi="Arial"/>
          <w:sz w:val="13"/>
          <w:szCs w:val="13"/>
          <w:b w:val="1"/>
          <w:bCs w:val="1"/>
          <w:color w:val="auto"/>
        </w:rPr>
        <w:t>Number of</w:t>
      </w:r>
    </w:p>
    <w:p>
      <w:pPr>
        <w:spacing w:after="0" w:line="15"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286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553720</wp:posOffset>
            </wp:positionV>
            <wp:extent cx="5575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29210</wp:posOffset>
            </wp:positionV>
            <wp:extent cx="5575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46355</wp:posOffset>
            </wp:positionV>
            <wp:extent cx="5575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280" w:space="720"/>
            <w:col w:w="2240"/>
          </w:cols>
          <w:pgMar w:left="320" w:top="459" w:right="339" w:bottom="1440" w:gutter="0" w:footer="0" w:header="0"/>
          <w:type w:val="continuous"/>
        </w:sectPr>
      </w:pPr>
    </w:p>
    <w:p>
      <w:pPr>
        <w:spacing w:after="0" w:line="79"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6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625,000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625,000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7"/>
              </w:rPr>
              <w:t>No Exercise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700" w:type="dxa"/>
            <w:vAlign w:val="bottom"/>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$4,000,000. We have agreed to reimburse the underwriters for expenses relating to clearance of this offering with the Financial Industry Regulatory Authority up to $40,000.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9" w:right="33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“BDSX”.</w:t>
      </w:r>
    </w:p>
    <w:p>
      <w:pPr>
        <w:spacing w:after="0" w:line="225"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We and all directors and officers and the holders of substantially all of our outstanding stock and stock options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ind w:left="1000" w:right="140" w:hanging="547"/>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restrictions described in the immediately preceding paragraph do not apply to us in certain circumstances, subject to certain limitations and conditions set forth in the underwriting agreement, including:</w:t>
      </w:r>
    </w:p>
    <w:p>
      <w:pPr>
        <w:spacing w:after="0" w:line="62" w:lineRule="exact"/>
        <w:rPr>
          <w:sz w:val="20"/>
          <w:szCs w:val="20"/>
          <w:color w:val="auto"/>
        </w:rPr>
      </w:pPr>
    </w:p>
    <w:p>
      <w:pPr>
        <w:ind w:left="700" w:hanging="243"/>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issuance and sale of shares of common stock in this offering;</w:t>
      </w:r>
    </w:p>
    <w:p>
      <w:pPr>
        <w:spacing w:after="0" w:line="117" w:lineRule="exact"/>
        <w:rPr>
          <w:rFonts w:ascii="Arial" w:cs="Arial" w:eastAsia="Arial" w:hAnsi="Arial"/>
          <w:sz w:val="18"/>
          <w:szCs w:val="18"/>
          <w:color w:val="auto"/>
        </w:rPr>
      </w:pPr>
    </w:p>
    <w:p>
      <w:pPr>
        <w:ind w:right="620" w:firstLine="457"/>
        <w:spacing w:after="0" w:line="277" w:lineRule="auto"/>
        <w:tabs>
          <w:tab w:leader="none" w:pos="7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issuance of shares of our common stock upon the conversion of securities or the exercise of warrants outstanding as of the date of this prospectus;</w:t>
      </w:r>
    </w:p>
    <w:p>
      <w:pPr>
        <w:spacing w:after="0" w:line="62" w:lineRule="exact"/>
        <w:rPr>
          <w:rFonts w:ascii="Arial" w:cs="Arial" w:eastAsia="Arial" w:hAnsi="Arial"/>
          <w:sz w:val="18"/>
          <w:szCs w:val="18"/>
          <w:color w:val="auto"/>
        </w:rPr>
      </w:pPr>
    </w:p>
    <w:p>
      <w:pPr>
        <w:ind w:right="160" w:firstLine="457"/>
        <w:spacing w:after="0" w:line="277" w:lineRule="auto"/>
        <w:tabs>
          <w:tab w:leader="none" w:pos="69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issuance and sale of shares of common stock or options to purchase shares to employees, officers, directors, advisors or consultants pursuant to employee benefit plans described in this prospectus;</w:t>
      </w:r>
    </w:p>
    <w:p>
      <w:pPr>
        <w:spacing w:after="0" w:line="62" w:lineRule="exact"/>
        <w:rPr>
          <w:rFonts w:ascii="Arial" w:cs="Arial" w:eastAsia="Arial" w:hAnsi="Arial"/>
          <w:sz w:val="18"/>
          <w:szCs w:val="18"/>
          <w:color w:val="auto"/>
        </w:rPr>
      </w:pPr>
    </w:p>
    <w:p>
      <w:pPr>
        <w:ind w:left="720" w:hanging="263"/>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filing by us of registration statements on Form S-8 with respect to the employee benefit plans described in this prospectus;</w:t>
      </w:r>
    </w:p>
    <w:p>
      <w:pPr>
        <w:spacing w:after="0" w:line="117" w:lineRule="exact"/>
        <w:rPr>
          <w:rFonts w:ascii="Arial" w:cs="Arial" w:eastAsia="Arial" w:hAnsi="Arial"/>
          <w:sz w:val="18"/>
          <w:szCs w:val="18"/>
          <w:color w:val="auto"/>
        </w:rPr>
      </w:pPr>
    </w:p>
    <w:p>
      <w:pPr>
        <w:ind w:right="60" w:firstLine="457"/>
        <w:spacing w:after="0" w:line="275" w:lineRule="auto"/>
        <w:tabs>
          <w:tab w:leader="none" w:pos="69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sale or issuance by us of, or our entry into an agreement to sell or issue shares of our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we may sell or issue or agree to sell or issue shall not exceed 5% of the total number of shares of common stock issued and outstanding immediately following the completion of this offering; and</w:t>
      </w:r>
    </w:p>
    <w:p>
      <w:pPr>
        <w:spacing w:after="0" w:line="68" w:lineRule="exact"/>
        <w:rPr>
          <w:rFonts w:ascii="Arial" w:cs="Arial" w:eastAsia="Arial" w:hAnsi="Arial"/>
          <w:sz w:val="17"/>
          <w:szCs w:val="17"/>
          <w:color w:val="auto"/>
        </w:rPr>
      </w:pPr>
    </w:p>
    <w:p>
      <w:pPr>
        <w:ind w:firstLine="457"/>
        <w:spacing w:after="0" w:line="257" w:lineRule="auto"/>
        <w:tabs>
          <w:tab w:leader="none" w:pos="67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firstLine="449"/>
        <w:spacing w:after="0" w:line="342" w:lineRule="auto"/>
        <w:rPr>
          <w:sz w:val="20"/>
          <w:szCs w:val="20"/>
          <w:color w:val="auto"/>
        </w:rPr>
      </w:pPr>
      <w:r>
        <w:rPr>
          <w:rFonts w:ascii="Arial" w:cs="Arial" w:eastAsia="Arial" w:hAnsi="Arial"/>
          <w:sz w:val="16"/>
          <w:szCs w:val="16"/>
          <w:color w:val="auto"/>
        </w:rPr>
        <w:t>In addition, with respect to our directors, officers and the holders of substantially all of our outstanding stock and stock options, the restrictions described above do not apply in certain circumstances, subject to certain limitations and conditions set forth in the lock-up agreements, including:</w:t>
      </w:r>
    </w:p>
    <w:p>
      <w:pPr>
        <w:spacing w:after="0" w:line="16" w:lineRule="exact"/>
        <w:rPr>
          <w:sz w:val="20"/>
          <w:szCs w:val="20"/>
          <w:color w:val="auto"/>
        </w:rPr>
      </w:pPr>
    </w:p>
    <w:p>
      <w:pPr>
        <w:ind w:right="60" w:firstLine="457"/>
        <w:spacing w:after="0" w:line="277" w:lineRule="auto"/>
        <w:tabs>
          <w:tab w:leader="none" w:pos="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open market transactions after the completion of this offering or as part of this offering (other than issuer-directed shares purchased in this offering);</w:t>
      </w:r>
    </w:p>
    <w:p>
      <w:pPr>
        <w:spacing w:after="0" w:line="62" w:lineRule="exact"/>
        <w:rPr>
          <w:rFonts w:ascii="Arial" w:cs="Arial" w:eastAsia="Arial" w:hAnsi="Arial"/>
          <w:sz w:val="18"/>
          <w:szCs w:val="18"/>
          <w:color w:val="auto"/>
        </w:rPr>
      </w:pPr>
    </w:p>
    <w:p>
      <w:pPr>
        <w:ind w:left="720" w:hanging="263"/>
        <w:spacing w:after="0"/>
        <w:tabs>
          <w:tab w:leader="none" w:pos="7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as a bona fide gift;</w:t>
      </w:r>
    </w:p>
    <w:p>
      <w:pPr>
        <w:spacing w:after="0" w:line="140" w:lineRule="exact"/>
        <w:rPr>
          <w:rFonts w:ascii="Arial" w:cs="Arial" w:eastAsia="Arial" w:hAnsi="Arial"/>
          <w:sz w:val="16"/>
          <w:szCs w:val="16"/>
          <w:color w:val="auto"/>
        </w:rPr>
      </w:pPr>
    </w:p>
    <w:p>
      <w:pPr>
        <w:ind w:left="700" w:hanging="243"/>
        <w:spacing w:after="0"/>
        <w:tabs>
          <w:tab w:leader="none" w:pos="7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to certain trusts;</w:t>
      </w:r>
    </w:p>
    <w:p>
      <w:pPr>
        <w:spacing w:after="0" w:line="140" w:lineRule="exact"/>
        <w:rPr>
          <w:rFonts w:ascii="Arial" w:cs="Arial" w:eastAsia="Arial" w:hAnsi="Arial"/>
          <w:sz w:val="16"/>
          <w:szCs w:val="16"/>
          <w:color w:val="auto"/>
        </w:rPr>
      </w:pPr>
    </w:p>
    <w:p>
      <w:pPr>
        <w:ind w:right="440" w:firstLine="457"/>
        <w:spacing w:after="0" w:line="277" w:lineRule="auto"/>
        <w:tabs>
          <w:tab w:leader="none" w:pos="7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distributions of shares of common stock or any other securities convertible into or exercisable or exchangeable for common stock to limited partners, general partners, members, stockholders or other equityholders;</w:t>
      </w:r>
    </w:p>
    <w:p>
      <w:pPr>
        <w:spacing w:after="0" w:line="62" w:lineRule="exact"/>
        <w:rPr>
          <w:rFonts w:ascii="Arial" w:cs="Arial" w:eastAsia="Arial" w:hAnsi="Arial"/>
          <w:sz w:val="18"/>
          <w:szCs w:val="18"/>
          <w:color w:val="auto"/>
        </w:rPr>
      </w:pPr>
    </w:p>
    <w:p>
      <w:pPr>
        <w:ind w:right="240" w:firstLine="457"/>
        <w:spacing w:after="0" w:line="277" w:lineRule="auto"/>
        <w:tabs>
          <w:tab w:leader="none" w:pos="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affiliates or to certain related investment funds or entities;</w:t>
      </w:r>
    </w:p>
    <w:p>
      <w:pPr>
        <w:spacing w:after="0" w:line="62" w:lineRule="exact"/>
        <w:rPr>
          <w:rFonts w:ascii="Arial" w:cs="Arial" w:eastAsia="Arial" w:hAnsi="Arial"/>
          <w:sz w:val="18"/>
          <w:szCs w:val="18"/>
          <w:color w:val="auto"/>
        </w:rPr>
      </w:pPr>
    </w:p>
    <w:p>
      <w:pPr>
        <w:ind w:right="140" w:firstLine="457"/>
        <w:spacing w:after="0" w:line="277" w:lineRule="auto"/>
        <w:tabs>
          <w:tab w:leader="none" w:pos="6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any nominee or custodian of a person or entity to whom a transfer or disposition would be permissible under clauses (b) through (e) above;</w:t>
      </w:r>
    </w:p>
    <w:p>
      <w:pPr>
        <w:spacing w:after="0" w:line="62" w:lineRule="exact"/>
        <w:rPr>
          <w:rFonts w:ascii="Arial" w:cs="Arial" w:eastAsia="Arial" w:hAnsi="Arial"/>
          <w:sz w:val="18"/>
          <w:szCs w:val="18"/>
          <w:color w:val="auto"/>
        </w:rPr>
      </w:pPr>
    </w:p>
    <w:p>
      <w:pPr>
        <w:ind w:right="80" w:firstLine="457"/>
        <w:spacing w:after="0" w:line="277" w:lineRule="auto"/>
        <w:tabs>
          <w:tab w:leader="none" w:pos="7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by will or intestate succession;</w:t>
      </w:r>
    </w:p>
    <w:p>
      <w:pPr>
        <w:spacing w:after="0" w:line="62" w:lineRule="exact"/>
        <w:rPr>
          <w:rFonts w:ascii="Arial" w:cs="Arial" w:eastAsia="Arial" w:hAnsi="Arial"/>
          <w:sz w:val="18"/>
          <w:szCs w:val="18"/>
          <w:color w:val="auto"/>
        </w:rPr>
      </w:pPr>
    </w:p>
    <w:p>
      <w:pPr>
        <w:ind w:right="60" w:firstLine="457"/>
        <w:spacing w:after="0" w:line="259" w:lineRule="auto"/>
        <w:tabs>
          <w:tab w:leader="none" w:pos="7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us in connection with the exercise of options, warrants or other rights to acquire shares of common stock or any security convertible into or exercisable for shares of our common stock by way of net exercise and/or to cover withholding tax obligations in connection with such exercise pursuant to an employee benefit plan, option, warrant or other right disclosed in this prospectus;</w:t>
      </w:r>
    </w:p>
    <w:p>
      <w:pPr>
        <w:spacing w:after="0" w:line="78" w:lineRule="exact"/>
        <w:rPr>
          <w:rFonts w:ascii="Arial" w:cs="Arial" w:eastAsia="Arial" w:hAnsi="Arial"/>
          <w:sz w:val="18"/>
          <w:szCs w:val="18"/>
          <w:color w:val="auto"/>
        </w:rPr>
      </w:pPr>
    </w:p>
    <w:p>
      <w:pPr>
        <w:ind w:right="400" w:firstLine="457"/>
        <w:spacing w:after="0" w:line="342" w:lineRule="auto"/>
        <w:tabs>
          <w:tab w:leader="none" w:pos="66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pursuant to the automatic conversion of outstanding preferred stock or our convertible notes into shares of common stock as described in the prospectus;</w:t>
      </w:r>
    </w:p>
    <w:p>
      <w:pPr>
        <w:spacing w:after="0" w:line="15" w:lineRule="exact"/>
        <w:rPr>
          <w:rFonts w:ascii="Arial" w:cs="Arial" w:eastAsia="Arial" w:hAnsi="Arial"/>
          <w:sz w:val="16"/>
          <w:szCs w:val="16"/>
          <w:color w:val="auto"/>
        </w:rPr>
      </w:pPr>
    </w:p>
    <w:p>
      <w:pPr>
        <w:ind w:right="20" w:firstLine="457"/>
        <w:spacing w:after="0" w:line="342" w:lineRule="auto"/>
        <w:tabs>
          <w:tab w:leader="none" w:pos="66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by operation of law, including pursuant to a court or regulatory agency order, a settlement agreement, a qualified domestic order or in connection with a divorce settlement;</w:t>
      </w:r>
    </w:p>
    <w:p>
      <w:pPr>
        <w:spacing w:after="0" w:line="15" w:lineRule="exact"/>
        <w:rPr>
          <w:rFonts w:ascii="Arial" w:cs="Arial" w:eastAsia="Arial" w:hAnsi="Arial"/>
          <w:sz w:val="16"/>
          <w:szCs w:val="16"/>
          <w:color w:val="auto"/>
        </w:rPr>
      </w:pPr>
    </w:p>
    <w:p>
      <w:pPr>
        <w:ind w:right="220" w:firstLine="457"/>
        <w:spacing w:after="0" w:line="308" w:lineRule="auto"/>
        <w:tabs>
          <w:tab w:leader="none" w:pos="70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transfers of shares of common stock or any other securities convertible into or exercisable or exchangeable for common stock to us pursuant to any agreements under which we have the option to repurchase or a right of first refusal with respect to transfers of such shares;</w:t>
      </w:r>
    </w:p>
    <w:p>
      <w:pPr>
        <w:spacing w:after="0" w:line="38" w:lineRule="exact"/>
        <w:rPr>
          <w:rFonts w:ascii="Arial" w:cs="Arial" w:eastAsia="Arial" w:hAnsi="Arial"/>
          <w:sz w:val="17"/>
          <w:szCs w:val="17"/>
          <w:color w:val="auto"/>
        </w:rPr>
      </w:pPr>
    </w:p>
    <w:p>
      <w:pPr>
        <w:ind w:right="400" w:firstLine="457"/>
        <w:spacing w:after="0" w:line="263" w:lineRule="auto"/>
        <w:tabs>
          <w:tab w:leader="none" w:pos="6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a third party pursuant to a merger, consolidation, bona fide tender offer or other similar transaction made to all holders of shares of the common stock involving a change of control and approved by our board of directors; and</w:t>
      </w:r>
    </w:p>
    <w:p>
      <w:pPr>
        <w:spacing w:after="0" w:line="75" w:lineRule="exact"/>
        <w:rPr>
          <w:rFonts w:ascii="Arial" w:cs="Arial" w:eastAsia="Arial" w:hAnsi="Arial"/>
          <w:sz w:val="18"/>
          <w:szCs w:val="18"/>
          <w:color w:val="auto"/>
        </w:rPr>
      </w:pPr>
    </w:p>
    <w:p>
      <w:pPr>
        <w:ind w:firstLine="457"/>
        <w:spacing w:after="0" w:line="257" w:lineRule="auto"/>
        <w:tabs>
          <w:tab w:leader="none" w:pos="7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88"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320" w:top="459" w:right="3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Shares purchased through the directed share program will not be subject to lockup restrictions with the underwriters during the restricted period described above, except in the case of shares purchased by any of our officers or directors, employees and certain of our existing stockholders. We have agreed to indemnify the underwriters against certain liabilities and expenses, including liabilities under the Securities Act, in connection with the sales of the shares reserved for the directed share program.</w:t>
      </w:r>
    </w:p>
    <w:p>
      <w:pPr>
        <w:spacing w:after="0" w:line="285" w:lineRule="exact"/>
        <w:rPr>
          <w:sz w:val="20"/>
          <w:szCs w:val="20"/>
          <w:color w:val="auto"/>
        </w:rPr>
      </w:pPr>
    </w:p>
    <w:p>
      <w:pPr>
        <w:jc w:val="center"/>
        <w:ind w:right="9720"/>
        <w:spacing w:after="0"/>
        <w:rPr>
          <w:sz w:val="20"/>
          <w:szCs w:val="20"/>
          <w:color w:val="auto"/>
        </w:rPr>
      </w:pPr>
      <w:r>
        <w:rPr>
          <w:rFonts w:ascii="Arial" w:cs="Arial" w:eastAsia="Arial" w:hAnsi="Arial"/>
          <w:sz w:val="16"/>
          <w:szCs w:val="16"/>
          <w:b w:val="1"/>
          <w:bCs w:val="1"/>
          <w:color w:val="auto"/>
        </w:rPr>
        <w:t>Selling Restrictions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relation to each Member State of the EEA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00" w:hanging="422"/>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00" w:right="300" w:hanging="432"/>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00" w:hanging="422"/>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320" w:top="459" w:right="3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46"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right="200" w:hanging="422"/>
        <w:spacing w:after="0" w:line="259"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00" w:hanging="432"/>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2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320" w:top="459"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validity of the shares of common stock offered hereby will be passed upon for us by Sidley Austin LLP, San Francisco, California. Certain legal matters in connection with this offering will be passed upon for the underwriters by Davis Polk &amp; Wardwell LLP, New York, New York. Partners of Sidley Austin LLP own less than 1% of our outstanding common stock.</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financial statements of Biodesix, Inc. as of December 31, 2019 and 2018,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320" w:top="459" w:right="3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92"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are not currently subject to the informational requirements of the Exchange Act. Upon the closing of this offering, we will be subject to the information reporting requirements of the Exchange Act, and we will file reports, proxy statements and other information with the SEC. The SEC also maintains a website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reports, proxy and information statements and other information that we file electronically with the SEC. We also maintain a website at </w:t>
      </w:r>
      <w:r>
        <w:rPr>
          <w:rFonts w:ascii="Arial" w:cs="Arial" w:eastAsia="Arial" w:hAnsi="Arial"/>
          <w:sz w:val="18"/>
          <w:szCs w:val="18"/>
          <w:i w:val="1"/>
          <w:iCs w:val="1"/>
          <w:color w:val="auto"/>
        </w:rPr>
        <w:t>www.biodesix.com</w:t>
      </w:r>
      <w:r>
        <w:rPr>
          <w:rFonts w:ascii="Arial" w:cs="Arial" w:eastAsia="Arial" w:hAnsi="Arial"/>
          <w:sz w:val="18"/>
          <w:szCs w:val="18"/>
          <w:color w:val="auto"/>
        </w:rPr>
        <w:t>, at which you may access these materials free of charge as soon as reasonably practicable after they are electronically filed with, or furnished to, the SEC. The information contained on, or accessible from, or hyperlinked to, our website is not part of this prospectus by reference or otherwise.</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60"/>
          </w:cols>
          <w:pgMar w:left="32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vMerge w:val="restart"/>
          </w:tcPr>
          <w:p>
            <w:pPr>
              <w:spacing w:after="0"/>
              <w:rPr>
                <w:sz w:val="20"/>
                <w:szCs w:val="20"/>
                <w:color w:val="auto"/>
              </w:rPr>
            </w:pPr>
            <w:r>
              <w:rPr>
                <w:rFonts w:ascii="Arial" w:cs="Arial" w:eastAsia="Arial" w:hAnsi="Arial"/>
                <w:sz w:val="18"/>
                <w:szCs w:val="18"/>
                <w:color w:val="auto"/>
              </w:rPr>
              <w:t>Unaudited Interim Financial Statements</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Condensed Statements of Operations</w:t>
              </w:r>
            </w:hyperlink>
          </w:p>
        </w:tc>
        <w:tc>
          <w:tcPr>
            <w:tcW w:w="460" w:type="dxa"/>
            <w:vAlign w:val="bottom"/>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Condensed Balance Sheets</w:t>
              </w:r>
            </w:hyperlink>
          </w:p>
        </w:tc>
        <w:tc>
          <w:tcPr>
            <w:tcW w:w="460" w:type="dxa"/>
            <w:vAlign w:val="bottom"/>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Condensed Statements of Changes in Convertible Preferred Stock and Stockholders’ Deficit</w:t>
              </w:r>
            </w:hyperlink>
          </w:p>
        </w:tc>
        <w:tc>
          <w:tcPr>
            <w:tcW w:w="460" w:type="dxa"/>
            <w:vAlign w:val="bottom"/>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Condensed Statements of Cash Flows</w:t>
              </w:r>
            </w:hyperlink>
          </w:p>
        </w:tc>
        <w:tc>
          <w:tcPr>
            <w:tcW w:w="460" w:type="dxa"/>
            <w:vAlign w:val="bottom"/>
          </w:tcPr>
          <w:p>
            <w:pPr>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spacing w:after="0"/>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Statements of Operations</w:t>
              </w:r>
            </w:hyperlink>
          </w:p>
        </w:tc>
        <w:tc>
          <w:tcPr>
            <w:tcW w:w="460" w:type="dxa"/>
            <w:vAlign w:val="bottom"/>
          </w:tcPr>
          <w:p>
            <w:pPr>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Balance Sheets</w:t>
              </w:r>
            </w:hyperlink>
          </w:p>
        </w:tc>
        <w:tc>
          <w:tcPr>
            <w:tcW w:w="460" w:type="dxa"/>
            <w:vAlign w:val="bottom"/>
          </w:tcPr>
          <w:p>
            <w:pPr>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Statements of Changes in Convertible Preferred Stock and Stockholders’ Deficit</w:t>
              </w:r>
            </w:hyperlink>
          </w:p>
        </w:tc>
        <w:tc>
          <w:tcPr>
            <w:tcW w:w="460" w:type="dxa"/>
            <w:vAlign w:val="bottom"/>
          </w:tcPr>
          <w:p>
            <w:pPr>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Statements of Cash Flows</w:t>
              </w:r>
            </w:hyperlink>
          </w:p>
        </w:tc>
        <w:tc>
          <w:tcPr>
            <w:tcW w:w="460" w:type="dxa"/>
            <w:vAlign w:val="bottom"/>
          </w:tcPr>
          <w:p>
            <w:pPr>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30"/>
        </w:trPr>
        <w:tc>
          <w:tcPr>
            <w:tcW w:w="10780" w:type="dxa"/>
            <w:vAlign w:val="bottom"/>
          </w:tcPr>
          <w:p>
            <w:pPr>
              <w:ind w:left="360"/>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364"/>
        </w:trPr>
        <w:tc>
          <w:tcPr>
            <w:tcW w:w="10780" w:type="dxa"/>
            <w:vAlign w:val="bottom"/>
          </w:tcPr>
          <w:p>
            <w:pPr>
              <w:ind w:left="550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2,741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5,607</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14,914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15,868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1,628</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663</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23,376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(14,041)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(14,168)</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(4,241)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(1,299)</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868</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(17,971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(14,599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225</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w:t>
            </w:r>
          </w:p>
        </w:tc>
        <w:tc>
          <w:tcPr>
            <w:tcW w:w="10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45,712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561"/>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11,674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2,946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30"/>
        </w:trPr>
        <w:tc>
          <w:tcPr>
            <w:tcW w:w="77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17,618</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17,618</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1,994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14,145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11,631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230"/>
        </w:trPr>
        <w:tc>
          <w:tcPr>
            <w:tcW w:w="7760" w:type="dxa"/>
            <w:vAlign w:val="bottom"/>
          </w:tcPr>
          <w:p>
            <w:pPr>
              <w:ind w:left="72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27,860</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45,478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1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4,435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Current portion of debt payable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Put option liability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6,601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13,770</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45,047</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Long-term debt payable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20,163</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Paycheck protection program debt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3,092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29,114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52,916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53,613</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66,369</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97,963</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6"/>
              </w:rPr>
              <w:t>Convertible preferred stock, $0.001 par value, 185,432,719 (2020) and 174,237,067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7"/>
              </w:rPr>
              <w:t>authorized; 118,766,273 (2020 and 2019) issued and outstanding; liquidation preference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of $202,582 (2020 and 2019); no shares issued and outstanding pro forma</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w w:val="95"/>
              </w:rPr>
              <w:t>193,959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193,959</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Common stock, $0.001 par value, 220,000,000 (2020) and 190,000,000 (2019)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9"/>
              </w:rPr>
              <w:t>274,523 (2020) and 254,918 (2019) issued and outstanding; 22,198,893 shares issued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outstanding pro forma</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229,651</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(250,564)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8"/>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(230,864)</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(20,891)</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(246,444</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(228,539)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45,478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Series A-2</w:t>
            </w: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Balance—June 30, 2020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2,999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Series A-2</w:t>
            </w: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2018</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3"/>
              </w:rPr>
              <w:t>Issuance of Series H Preferred Stock, net of issuance costs of $44</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Balance—June 30, 2019</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9,907</w:t>
            </w: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c>
          <w:tcPr>
            <w:tcW w:w="6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6"/>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Balance—June 30, 2020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$ 7,040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$ 41,266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$ 32,736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5"/>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$44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Balance—June 30, 2019</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4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Series G</w:t>
            </w:r>
          </w:p>
        </w:tc>
        <w:tc>
          <w:tcPr>
            <w:tcW w:w="220" w:type="dxa"/>
            <w:vAlign w:val="bottom"/>
            <w:vMerge w:val="restart"/>
          </w:tcPr>
          <w:p>
            <w:pPr>
              <w:spacing w:after="0"/>
              <w:rPr>
                <w:sz w:val="14"/>
                <w:szCs w:val="14"/>
                <w:color w:val="auto"/>
              </w:rPr>
            </w:pPr>
          </w:p>
        </w:tc>
        <w:tc>
          <w:tcPr>
            <w:tcW w:w="122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Series 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4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vMerge w:val="restart"/>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12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5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Balance—December 31, 2019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46,147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23,923</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$27,465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193,959</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(230,864)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(228,539)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(17,971)</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(17,971)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Balance—June 30, 2020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46,147</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34,537</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23,923</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27,465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193,959</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275</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(248,835)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(246,444)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Series G</w:t>
            </w:r>
          </w:p>
        </w:tc>
        <w:tc>
          <w:tcPr>
            <w:tcW w:w="220" w:type="dxa"/>
            <w:vAlign w:val="bottom"/>
            <w:vMerge w:val="restart"/>
          </w:tcPr>
          <w:p>
            <w:pPr>
              <w:spacing w:after="0"/>
              <w:rPr>
                <w:sz w:val="14"/>
                <w:szCs w:val="14"/>
                <w:color w:val="auto"/>
              </w:rPr>
            </w:pPr>
          </w:p>
        </w:tc>
        <w:tc>
          <w:tcPr>
            <w:tcW w:w="12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Series 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4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vMerge w:val="restart"/>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12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5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Balance—December 31, 2018</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46,147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15,228</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$17,468</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183,962</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(200,138)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(198,030)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w w:val="99"/>
              </w:rPr>
              <w:t>Issuance of Series H Preferred Stock, net of</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80"/>
              <w:spacing w:after="0"/>
              <w:rPr>
                <w:sz w:val="20"/>
                <w:szCs w:val="20"/>
                <w:color w:val="auto"/>
              </w:rPr>
            </w:pPr>
            <w:r>
              <w:rPr>
                <w:rFonts w:ascii="Arial" w:cs="Arial" w:eastAsia="Arial" w:hAnsi="Arial"/>
                <w:sz w:val="16"/>
                <w:szCs w:val="16"/>
                <w:color w:val="auto"/>
              </w:rPr>
              <w:t>issuance costs of $44</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8,695</w:t>
            </w:r>
          </w:p>
        </w:tc>
        <w:tc>
          <w:tcPr>
            <w:tcW w:w="520" w:type="dxa"/>
            <w:vAlign w:val="bottom"/>
          </w:tcPr>
          <w:p>
            <w:pPr>
              <w:jc w:val="right"/>
              <w:spacing w:after="0"/>
              <w:rPr>
                <w:sz w:val="20"/>
                <w:szCs w:val="20"/>
                <w:color w:val="auto"/>
              </w:rPr>
            </w:pPr>
            <w:r>
              <w:rPr>
                <w:rFonts w:ascii="Arial" w:cs="Arial" w:eastAsia="Arial" w:hAnsi="Arial"/>
                <w:sz w:val="16"/>
                <w:szCs w:val="16"/>
                <w:color w:val="auto"/>
              </w:rPr>
              <w:t>9,997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9,997</w:t>
            </w:r>
          </w:p>
        </w:tc>
        <w:tc>
          <w:tcPr>
            <w:tcW w:w="2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(14,599)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(14,599)</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Balance—June 30, 2019</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vMerge w:val="continue"/>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46,147</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34,537</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23,923</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27,465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193,959</w:t>
            </w: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2,218</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(214,737)</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(212,518)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(17,971)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(14,599)</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convertible notes debt discount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Change in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2,291</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Accounts payable and other accrued liabilities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r>
      <w:tr>
        <w:trPr>
          <w:trHeight w:val="224"/>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(8,840)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(9,781)</w:t>
            </w:r>
          </w:p>
        </w:tc>
        <w:tc>
          <w:tcPr>
            <w:tcW w:w="120" w:type="dxa"/>
            <w:vAlign w:val="bottom"/>
          </w:tcPr>
          <w:p>
            <w:pPr>
              <w:spacing w:after="0"/>
              <w:rPr>
                <w:sz w:val="19"/>
                <w:szCs w:val="19"/>
                <w:color w:val="auto"/>
              </w:rPr>
            </w:pPr>
          </w:p>
        </w:tc>
      </w:tr>
      <w:tr>
        <w:trPr>
          <w:trHeight w:val="107"/>
        </w:trPr>
        <w:tc>
          <w:tcPr>
            <w:tcW w:w="9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w:t>
            </w:r>
          </w:p>
        </w:tc>
      </w:tr>
      <w:tr>
        <w:trPr>
          <w:trHeight w:val="324"/>
        </w:trPr>
        <w:tc>
          <w:tcPr>
            <w:tcW w:w="9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series H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issuance of convertible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12,955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long-term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16,046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9,979</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6,094</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11,856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5,441</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left="1840"/>
        <w:spacing w:after="0"/>
        <w:rPr>
          <w:sz w:val="20"/>
          <w:szCs w:val="20"/>
          <w:color w:val="auto"/>
        </w:rPr>
      </w:pPr>
      <w:r>
        <w:rPr>
          <w:rFonts w:ascii="Arial" w:cs="Arial" w:eastAsia="Arial" w:hAnsi="Arial"/>
          <w:sz w:val="17"/>
          <w:szCs w:val="17"/>
          <w:b w:val="1"/>
          <w:bCs w:val="1"/>
          <w:color w:val="auto"/>
        </w:rPr>
        <w:t>CONDENSED STATEMENTS OF CASH FLOWS (UNAUDITED)</w:t>
      </w:r>
    </w:p>
    <w:p>
      <w:pPr>
        <w:spacing w:after="0" w:line="39"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was no cash paid for income taxes during the six months ended June 30, 2020 and 2019.</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Cash paid for interest for the six-months ended June 30, 2020 and 2019 was $0.9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non-cash activity (in thousands):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Value of put option recorded at issuance of convertible debt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775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ind w:left="100"/>
        <w:spacing w:after="0"/>
        <w:tabs>
          <w:tab w:leader="none" w:pos="76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u w:val="single" w:color="auto"/>
          <w:color w:val="auto"/>
        </w:rPr>
        <w:t>2019</w:t>
      </w:r>
    </w:p>
    <w:p>
      <w:pPr>
        <w:spacing w:after="0" w:line="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$3,340</w:t>
      </w:r>
      <w:r>
        <w:rPr>
          <w:sz w:val="20"/>
          <w:szCs w:val="20"/>
          <w:color w:val="auto"/>
        </w:rPr>
        <w:tab/>
      </w: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2">
            <w:col w:w="9400" w:space="720"/>
            <w:col w:w="106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financial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459" w:right="39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Organization and Nature of Operations</w:t>
      </w:r>
    </w:p>
    <w:p>
      <w:pPr>
        <w:spacing w:after="0" w:line="11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7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COVID-19 pandemic has disrupted, and the Company expects will continue to disrupt, its operations. In addition, the COVID-19 pandemic also has started to negatively affect, and the Company expects will continue to negatively affect, its non-COVID-19 testing-related revenue and its clinical studies.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condensed financial statements do not reflect any adjustments as a result of the pandemic.</w:t>
      </w:r>
    </w:p>
    <w:p>
      <w:pPr>
        <w:spacing w:after="0" w:line="16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condensed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period ended June 30, 2020 are not necessarily indicative of the results that may be expected for the year ending December 31, 2020.</w:t>
      </w:r>
    </w:p>
    <w:p>
      <w:pPr>
        <w:spacing w:after="0" w:line="19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condensed financial statements and the related notes for the year ended December 31, 2019, which are included elsewhere in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Segment Information</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Comprehensive Loss</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Comprehensive loss is defined as the change in equity during a period from transactions and other events and/or circumstances from non-owner sources. If the Company had comprehensive gains (losses), they would be reflected in the statement of operations and comprehensive loss and as a separate component in the statement of stockholders’ deficit. There were no elements of comprehensive loss during the six-months ended June 30, 2020 and 2019.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Concentration of Risk</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Company is subject to credit risk from its accounts receivable related to services provided to its customers. Reimbursement on behalf of customers covered by Medicare accounted for 60% and 58% of the Company’s diagnostic test revenue for the six months ended June 30, 2020 and 2019, respectively and represented 29% and 18% of the Company’s total accounts receivable as of June 30, 2020 and December 31, 2019, respectively. One services customer represented 18% and 44% of the Company’s total accounts receivable balance as of June 30, 2020 and December 31, 2019, respectively. One diagnostic test customer represented 32% and 0% of the Company’s total accounts receivable balance as of June 30, 2020 and December 31, 2019, respectively.</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Cash, Cash Equivalents, and Restricted Cash</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$10.6 million and $4.8 million at June 30, 2020 and December 31, 2019, respectively. These money market funds were measured using Level 1 inputs.</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June 30, 2020 and December 31, 2019, the Company had $0.2 million in restricted cash, which was included in other current assets in the accompanying balance sheets.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Accounts Receivable</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8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June 30, 2020 and December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Inventory</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$1.8 million and $0.8 million as of June 30, 2020 and December 31, 2019, respectively, and are included in other current assets in the accompanying balance sheets.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Property and Equipment</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Property and equipment are stated at cost. Depreciation is provided utilizing the straight-line method over the estimated useful lives, ranging from three to five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Intangible Assets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Intangible assets are reviewed for impairment whenever events or changes in circumstances may affect the recoverability of the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reviews include an analysis of current results and take into consideration the undiscounted value of projected operating cash flows. See Note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for further information.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Long-Lived Assets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Deferred Rent</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condensed financial statements.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459" w:right="3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Goodwill</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the six months ended June 20, 2020 and 2019 to indicate that the fair value of goodwill exceeded its carrying value, and thus a quantitative analysis was not performed.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goodwill impairments for the six months ended June 30, 2020 and 2019.</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Revenue Recognition</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Revenue is recognized when control of the promised services is transferred to customers, in an amount that reflects the consideration the Company expects to be entitled to in exchange for those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3"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9" w:lineRule="exact"/>
        <w:rPr>
          <w:rFonts w:ascii="Arial" w:cs="Arial" w:eastAsia="Arial" w:hAnsi="Arial"/>
          <w:sz w:val="18"/>
          <w:szCs w:val="18"/>
          <w:color w:val="auto"/>
        </w:rPr>
      </w:pPr>
    </w:p>
    <w:p>
      <w:pPr>
        <w:ind w:left="1000" w:right="580" w:hanging="547"/>
        <w:spacing w:after="0" w:line="308"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2020 and 2019, revenue from these services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gridSpan w:val="6"/>
          </w:tcPr>
          <w:p>
            <w:pPr>
              <w:ind w:left="4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5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Diagnostic tests</w:t>
            </w:r>
          </w:p>
        </w:tc>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Services</w:t>
            </w:r>
          </w:p>
        </w:tc>
        <w:tc>
          <w:tcPr>
            <w:tcW w:w="4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3,392</w:t>
            </w:r>
          </w:p>
        </w:tc>
      </w:tr>
      <w:tr>
        <w:trPr>
          <w:trHeight w:val="27"/>
        </w:trPr>
        <w:tc>
          <w:tcPr>
            <w:tcW w:w="5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4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12,339</w:t>
            </w:r>
          </w:p>
        </w:tc>
      </w:tr>
      <w:tr>
        <w:trPr>
          <w:trHeight w:val="20"/>
        </w:trPr>
        <w:tc>
          <w:tcPr>
            <w:tcW w:w="5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9"/>
        <w:spacing w:after="0" w:line="286" w:lineRule="auto"/>
        <w:rPr>
          <w:sz w:val="20"/>
          <w:szCs w:val="20"/>
          <w:color w:val="auto"/>
        </w:rPr>
      </w:pPr>
      <w:r>
        <w:rPr>
          <w:rFonts w:ascii="Arial" w:cs="Arial" w:eastAsia="Arial" w:hAnsi="Arial"/>
          <w:sz w:val="17"/>
          <w:szCs w:val="17"/>
          <w:color w:val="auto"/>
        </w:rPr>
        <w:t>Diagnostic test revenue that were reimbursed by Medicare comprised 60% and 58% of diagnostic test revenue for the six months ended June 30, 2020 and 2019, respectively. Two services customers comprised 15% and 26% of services revenue for the six months ended June 30, 2020 and 2019, respectively. For the six months ended June 30, 2020, one health care provider comprised 13% of diagnostic test revenue.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The Company recognizes revenue for these patients when contracts as defined in ASC 606 are established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consideration to which it expects to be entitled or when the Company receives substantially all of the consideration subsequent to the performance obligations being satisfied.</w:t>
      </w:r>
    </w:p>
    <w:p>
      <w:pPr>
        <w:spacing w:after="0" w:line="19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Deferred Revenue</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Deferred revenue has historically primarily consists of research, development, and testing services fee payments received in advance. As of June 30, 2020, deferred revenue also includes $3.5 million in a Medicare advance payment on testing services which can either be paid back or earned back starting 120 days from receipt.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Research and Development Expenses and Accrued Research and Development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Stock-Based Compensation</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Income Taxes</w:t>
      </w:r>
    </w:p>
    <w:p>
      <w:pPr>
        <w:spacing w:after="0" w:line="11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Company recognizes deferred tax assets and liabilities based on the differences between the tax basis of assets and liabilities and their reported amounts in the financial statements and net operating loss carryforwards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that will result in taxable or deductible amounts in future years. The Company establishes a valuation allowance for all deferred tax assets to the extent it is more likely than not that a deferred tax asset will not be realized.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Warrant Liability</w:t>
      </w:r>
    </w:p>
    <w:p>
      <w:pPr>
        <w:spacing w:after="0" w:line="117"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Changes in Fair Value of Contingent Consideration</w:t>
      </w:r>
    </w:p>
    <w:p>
      <w:pPr>
        <w:spacing w:after="0" w:line="117" w:lineRule="exact"/>
        <w:rPr>
          <w:sz w:val="20"/>
          <w:szCs w:val="20"/>
          <w:color w:val="auto"/>
        </w:rPr>
      </w:pPr>
    </w:p>
    <w:p>
      <w:pPr>
        <w:jc w:val="both"/>
        <w:ind w:right="420" w:firstLine="449"/>
        <w:spacing w:after="0" w:line="259" w:lineRule="auto"/>
        <w:rPr>
          <w:sz w:val="20"/>
          <w:szCs w:val="20"/>
          <w:color w:val="auto"/>
        </w:rPr>
      </w:pPr>
      <w:r>
        <w:rPr>
          <w:rFonts w:ascii="Arial" w:cs="Arial" w:eastAsia="Arial" w:hAnsi="Arial"/>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Fair Value of Financial Instruments</w:t>
      </w:r>
    </w:p>
    <w:p>
      <w:pPr>
        <w:spacing w:after="0" w:line="117"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The carrying amounts of financial instruments, including cash and cash equivalents, receivables, other current assets, accounts payable, and accrued liabilities, approximated fair value as of June 30, 2020 and December 31, 2019 because of the relatively short maturity of these instruments.</w:t>
      </w:r>
    </w:p>
    <w:p>
      <w:pPr>
        <w:spacing w:after="0" w:line="12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carrying amounts of long-term debt payable and convertible debt payable issued approximated fair value as of June 30, 2020 and December 31, 2019 because interest rates on these instruments approximate market interest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(x) Business Combinations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Financial Accounts Standards Board (“FASB”) issued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 Recently Issued Accounting Standards Not Yet Adopted</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(ASC Topic 842). The new guidance maintains two classifications of leases: finance</w:t>
      </w:r>
      <w:r>
        <w:rPr>
          <w:rFonts w:ascii="Arial" w:cs="Arial" w:eastAsia="Arial" w:hAnsi="Arial"/>
          <w:sz w:val="16"/>
          <w:szCs w:val="16"/>
          <w:color w:val="auto"/>
        </w:rPr>
        <w:t xml:space="preserve"> </w:t>
      </w:r>
      <w:r>
        <w:rPr>
          <w:rFonts w:ascii="Arial" w:cs="Arial" w:eastAsia="Arial" w:hAnsi="Arial"/>
          <w:sz w:val="16"/>
          <w:szCs w:val="16"/>
          <w:i w:val="1"/>
          <w:iCs w:val="1"/>
          <w:color w:val="auto"/>
        </w:rPr>
        <w:t>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 Net loss per share and unaudited pro format net loss per share</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8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per share amounts):</w:t>
      </w:r>
    </w:p>
    <w:p>
      <w:pPr>
        <w:spacing w:after="0" w:line="189"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Six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(17,971)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(14,599)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460"/>
              <w:spacing w:after="0"/>
              <w:rPr>
                <w:sz w:val="20"/>
                <w:szCs w:val="20"/>
                <w:color w:val="auto"/>
              </w:rPr>
            </w:pPr>
            <w:r>
              <w:rPr>
                <w:rFonts w:ascii="Arial" w:cs="Arial" w:eastAsia="Arial" w:hAnsi="Arial"/>
                <w:sz w:val="18"/>
                <w:szCs w:val="18"/>
                <w:color w:val="auto"/>
              </w:rPr>
              <w:t>F-15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124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119,257</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119,257</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r>
              <w:rPr>
                <w:rFonts w:ascii="Arial" w:cs="Arial" w:eastAsia="Arial" w:hAnsi="Arial"/>
                <w:sz w:val="15"/>
                <w:szCs w:val="15"/>
                <w:color w:val="auto"/>
              </w:rPr>
              <w:t>(1)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42,771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165,507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123,747</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60" w:hanging="452"/>
        <w:spacing w:after="0" w:line="263"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June 30, 2020, as determined by the Company’s board of directors with assistance from a valuation firm. The ultimate conversion price will be based on the fair value of the Company’s common stock at the completion of an initial public offering.</w:t>
      </w:r>
    </w:p>
    <w:p>
      <w:pPr>
        <w:spacing w:after="0" w:line="2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84"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unaudited pro forma net loss per share (in thousands, except for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12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240" w:type="dxa"/>
            <w:vAlign w:val="bottom"/>
            <w:tcBorders>
              <w:bottom w:val="single" w:sz="8" w:color="CCEEFF"/>
            </w:tcBorders>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10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(17,971)</w:t>
            </w: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 back: Interest expense on convertible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w:t>
            </w: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Net loss used in computing proforma net loss per share, basic and diluted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 Assumed weighted-average effect of conversion of convertible preferred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20,091</w:t>
            </w: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Adjust: Assumed weighted-average effect of conversion of convertible debt</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used in computing pro forma net loss per share, basic and diluted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45,712</w:t>
            </w:r>
          </w:p>
        </w:tc>
        <w:tc>
          <w:tcPr>
            <w:tcW w:w="100" w:type="dxa"/>
            <w:vAlign w:val="bottom"/>
            <w:shd w:val="clear" w:color="auto" w:fill="CCEEFF"/>
          </w:tcPr>
          <w:p>
            <w:pPr>
              <w:spacing w:after="0"/>
              <w:rPr>
                <w:sz w:val="18"/>
                <w:szCs w:val="18"/>
                <w:color w:val="auto"/>
              </w:rPr>
            </w:pP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Pro forma net loss per share, basic and diluted</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r>
      <w:tr>
        <w:trPr>
          <w:trHeight w:val="20"/>
        </w:trPr>
        <w:tc>
          <w:tcPr>
            <w:tcW w:w="1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8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320" w:hanging="452"/>
        <w:spacing w:after="0" w:line="277"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June 30, 2020, as determined by the Company’s board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directors with assistance from a valuation firm. The ultimate conversion price will be based on the fair value of the Company’s common stock at the completion of an initial public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117"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The unaudited pro forma stockholders’ deficit as of June 30, 2020 gives effect to the automatic conversion of all outstanding shares of the Company’s convertible preferred stock into an aggregate of 20,090,745 shares of common stock and the automatic conversion of the Company’s convertible debt into an aggregate of 1,833,625 of common stock which will occur immediately prior to the completion of this offering, resulting in an aggregate of 22,198,893 outstanding shares of the Company’s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2—Liquidity</w:t>
      </w:r>
    </w:p>
    <w:p>
      <w:pPr>
        <w:spacing w:after="0" w:line="121"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The accompanying condensed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 sufficient to create positive cash flows and most likely will be dependent upon future private equity placements or additional borrowings to execute its business plan. The Company has cash and cash equivalents of $11.7 million, cumulative net losses of $ 248.8 million, and stockholders’ deficit of $246.4 million as of June 30, 2020. Based on cash and cash equivalents on hand at June 30, 2020, management has determined that additional private equity placement offerings will be necessary to fund operations through September 2021. As a result, the Company has obtained commitment letters from two significant investors which requires that they will provide funding to the Company to meet its obligations and debt service requirements through at least September 2021.</w:t>
      </w:r>
    </w:p>
    <w:p>
      <w:pPr>
        <w:spacing w:after="0" w:line="269" w:lineRule="exact"/>
        <w:rPr>
          <w:sz w:val="20"/>
          <w:szCs w:val="20"/>
          <w:color w:val="auto"/>
        </w:rPr>
      </w:pPr>
    </w:p>
    <w:p>
      <w:pPr>
        <w:jc w:val="center"/>
        <w:ind w:right="8720"/>
        <w:spacing w:after="0"/>
        <w:rPr>
          <w:sz w:val="20"/>
          <w:szCs w:val="20"/>
          <w:color w:val="auto"/>
        </w:rPr>
      </w:pPr>
      <w:r>
        <w:rPr>
          <w:rFonts w:ascii="Arial" w:cs="Arial" w:eastAsia="Arial" w:hAnsi="Arial"/>
          <w:sz w:val="15"/>
          <w:szCs w:val="15"/>
          <w:b w:val="1"/>
          <w:bCs w:val="1"/>
          <w:color w:val="auto"/>
        </w:rPr>
        <w:t>Note 3—Business Combinations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Oncimmune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October 31, 2019, the Company purchased select assets and liabilities from Oncimmune Limited (“Oncimmune”) for total consideration of</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June 30, 2020, $1.0 million has been paid with the remaining amount due of $0.2 million being included in accounts payable and accrued liabilities.</w:t>
      </w:r>
    </w:p>
    <w:p>
      <w:pPr>
        <w:spacing w:after="0" w:line="16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320" w:top="459" w:right="39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4"/>
        </w:trPr>
        <w:tc>
          <w:tcPr>
            <w:tcW w:w="103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1032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32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0320" w:type="dxa"/>
            <w:vAlign w:val="bottom"/>
          </w:tcPr>
          <w:p>
            <w:pPr>
              <w:ind w:left="460"/>
              <w:spacing w:after="0"/>
              <w:rPr>
                <w:sz w:val="20"/>
                <w:szCs w:val="20"/>
                <w:color w:val="auto"/>
              </w:rPr>
            </w:pPr>
            <w:r>
              <w:rPr>
                <w:rFonts w:ascii="Arial" w:cs="Arial" w:eastAsia="Arial" w:hAnsi="Arial"/>
                <w:sz w:val="18"/>
                <w:szCs w:val="18"/>
                <w:color w:val="auto"/>
                <w:w w:val="93"/>
              </w:rPr>
              <w:t>The following summarizes the aggregate consideration paid by the Company and the allocation of the purchase price (in thousands):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As of December 31, 2019, the Company has finalized its accounting for this business combination.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Diagnostics,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30, 2018, the Company purchased select assets and liabilities from Integrated Diagnostics, Inc. (“Indi”) for total consideration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9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aggregate consideration paid by the Company and the allocation of the purchase price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6160" w:type="dxa"/>
            <w:vAlign w:val="bottom"/>
            <w:gridSpan w:val="2"/>
          </w:tcPr>
          <w:p>
            <w:pPr>
              <w:jc w:val="right"/>
              <w:ind w:right="4767"/>
              <w:spacing w:after="0"/>
              <w:rPr>
                <w:sz w:val="20"/>
                <w:szCs w:val="20"/>
                <w:color w:val="auto"/>
              </w:rPr>
            </w:pPr>
            <w:r>
              <w:rPr>
                <w:rFonts w:ascii="Arial" w:cs="Arial" w:eastAsia="Arial" w:hAnsi="Arial"/>
                <w:sz w:val="18"/>
                <w:szCs w:val="18"/>
                <w:color w:val="auto"/>
              </w:rPr>
              <w:t>F-18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to require the issuance of additional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9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acquired, amortization method and estimated useful lives as of June 30, 2018 was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Useful</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71"/>
        </w:trPr>
        <w:tc>
          <w:tcPr>
            <w:tcW w:w="8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Life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Method</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09"/>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1"/>
              </w:rPr>
              <w:t>Straight-line</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technology acquired from Indi consisted of the technology and related know-how of the XL2 test for which Indi had developed. The fair value of the technology was estimated by applying a multi-period excess earnings method. The results of this method are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Accounting</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5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determination of where assets and liabilities fall within this hierarchy is based upon the lowest level of input that is significant to the fair value measurement.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following tables set forth by level, within the fair value hierarchy, the Company’s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Put option liability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Put option liability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Due to the unobservable inputs needed to calculate the fair value of these balances, these liabilities are classified as Level 3 liabilities. The following is a reconciliation of the beginning and ending balances for the six- month period ended June 30, 2020 for assets measured at fair value on a recurring basis using significant unobservable inputs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7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6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Contingent value rights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7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6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Put option liability</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3,261</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3,340</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6,601</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7080" w:type="dxa"/>
            <w:vAlign w:val="bottom"/>
            <w:gridSpan w:val="2"/>
          </w:tcPr>
          <w:p>
            <w:pPr>
              <w:jc w:val="right"/>
              <w:ind w:right="4847"/>
              <w:spacing w:after="0"/>
              <w:rPr>
                <w:sz w:val="20"/>
                <w:szCs w:val="20"/>
                <w:color w:val="auto"/>
              </w:rPr>
            </w:pPr>
            <w:r>
              <w:rPr>
                <w:rFonts w:ascii="Arial" w:cs="Arial" w:eastAsia="Arial" w:hAnsi="Arial"/>
                <w:sz w:val="18"/>
                <w:szCs w:val="18"/>
                <w:color w:val="auto"/>
              </w:rPr>
              <w:t>F-20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41" w:name="page242"/>
    <w:bookmarkEnd w:id="2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7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2960" w:type="dxa"/>
            <w:vAlign w:val="bottom"/>
          </w:tcPr>
          <w:p>
            <w:pPr>
              <w:spacing w:after="0"/>
              <w:rPr>
                <w:sz w:val="24"/>
                <w:szCs w:val="24"/>
                <w:color w:val="auto"/>
              </w:rPr>
            </w:pPr>
          </w:p>
        </w:tc>
        <w:tc>
          <w:tcPr>
            <w:tcW w:w="8280" w:type="dxa"/>
            <w:vAlign w:val="bottom"/>
            <w:gridSpan w:val="3"/>
          </w:tcPr>
          <w:p>
            <w:pPr>
              <w:jc w:val="right"/>
              <w:ind w:right="4940"/>
              <w:spacing w:after="0"/>
              <w:rPr>
                <w:sz w:val="20"/>
                <w:szCs w:val="20"/>
                <w:color w:val="auto"/>
              </w:rPr>
            </w:pPr>
            <w:r>
              <w:rPr>
                <w:rFonts w:ascii="Arial" w:cs="Arial" w:eastAsia="Arial" w:hAnsi="Arial"/>
                <w:sz w:val="18"/>
                <w:szCs w:val="18"/>
                <w:b w:val="1"/>
                <w:bCs w:val="1"/>
                <w:color w:val="auto"/>
              </w:rPr>
              <w:t>BIODESIX, INC.</w:t>
            </w:r>
          </w:p>
        </w:tc>
      </w:tr>
      <w:tr>
        <w:trPr>
          <w:trHeight w:val="432"/>
        </w:trPr>
        <w:tc>
          <w:tcPr>
            <w:tcW w:w="2960" w:type="dxa"/>
            <w:vAlign w:val="bottom"/>
          </w:tcPr>
          <w:p>
            <w:pPr>
              <w:spacing w:after="0"/>
              <w:rPr>
                <w:sz w:val="24"/>
                <w:szCs w:val="24"/>
                <w:color w:val="auto"/>
              </w:rPr>
            </w:pPr>
          </w:p>
        </w:tc>
        <w:tc>
          <w:tcPr>
            <w:tcW w:w="8280" w:type="dxa"/>
            <w:vAlign w:val="bottom"/>
            <w:gridSpan w:val="3"/>
          </w:tcPr>
          <w:p>
            <w:pPr>
              <w:jc w:val="right"/>
              <w:ind w:right="4000"/>
              <w:spacing w:after="0"/>
              <w:rPr>
                <w:sz w:val="20"/>
                <w:szCs w:val="20"/>
                <w:color w:val="auto"/>
              </w:rPr>
            </w:pPr>
            <w:r>
              <w:rPr>
                <w:rFonts w:ascii="Arial" w:cs="Arial" w:eastAsia="Arial" w:hAnsi="Arial"/>
                <w:sz w:val="18"/>
                <w:szCs w:val="18"/>
                <w:b w:val="1"/>
                <w:bCs w:val="1"/>
                <w:color w:val="auto"/>
              </w:rPr>
              <w:t>NOTES TO FINANCIAL STATEMENTS</w:t>
            </w:r>
          </w:p>
        </w:tc>
      </w:tr>
      <w:tr>
        <w:trPr>
          <w:trHeight w:val="243"/>
        </w:trPr>
        <w:tc>
          <w:tcPr>
            <w:tcW w:w="296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7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8280" w:type="dxa"/>
            <w:vAlign w:val="bottom"/>
            <w:gridSpan w:val="3"/>
          </w:tcPr>
          <w:p>
            <w:pPr>
              <w:jc w:val="right"/>
              <w:ind w:right="100"/>
              <w:spacing w:after="0"/>
              <w:rPr>
                <w:sz w:val="20"/>
                <w:szCs w:val="20"/>
                <w:color w:val="auto"/>
              </w:rPr>
            </w:pPr>
            <w:r>
              <w:rPr>
                <w:rFonts w:ascii="Arial" w:cs="Arial" w:eastAsia="Arial" w:hAnsi="Arial"/>
                <w:sz w:val="18"/>
                <w:szCs w:val="18"/>
                <w:color w:val="auto"/>
              </w:rPr>
              <w:t>$29,114</w:t>
            </w: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7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Changes in fair value</w:t>
            </w:r>
          </w:p>
        </w:tc>
        <w:tc>
          <w:tcPr>
            <w:tcW w:w="8280" w:type="dxa"/>
            <w:vAlign w:val="bottom"/>
            <w:gridSpan w:val="3"/>
          </w:tcPr>
          <w:p>
            <w:pPr>
              <w:jc w:val="right"/>
              <w:ind w:right="40"/>
              <w:spacing w:after="0"/>
              <w:rPr>
                <w:sz w:val="20"/>
                <w:szCs w:val="20"/>
                <w:color w:val="auto"/>
              </w:rPr>
            </w:pPr>
            <w:r>
              <w:rPr>
                <w:rFonts w:ascii="Arial" w:cs="Arial" w:eastAsia="Arial" w:hAnsi="Arial"/>
                <w:sz w:val="18"/>
                <w:szCs w:val="18"/>
                <w:color w:val="auto"/>
              </w:rPr>
              <w:t>(1,944)</w:t>
            </w: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w:t>
            </w:r>
          </w:p>
        </w:tc>
        <w:tc>
          <w:tcPr>
            <w:tcW w:w="8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23"/>
        </w:trPr>
        <w:tc>
          <w:tcPr>
            <w:tcW w:w="2960" w:type="dxa"/>
            <w:vAlign w:val="bottom"/>
          </w:tcPr>
          <w:p>
            <w:pPr>
              <w:ind w:left="360"/>
              <w:spacing w:after="0"/>
              <w:rPr>
                <w:sz w:val="20"/>
                <w:szCs w:val="20"/>
                <w:color w:val="auto"/>
              </w:rPr>
            </w:pPr>
            <w:r>
              <w:rPr>
                <w:rFonts w:ascii="Arial" w:cs="Arial" w:eastAsia="Arial" w:hAnsi="Arial"/>
                <w:sz w:val="18"/>
                <w:szCs w:val="18"/>
                <w:color w:val="auto"/>
              </w:rPr>
              <w:t>Payments</w:t>
            </w:r>
          </w:p>
        </w:tc>
        <w:tc>
          <w:tcPr>
            <w:tcW w:w="75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29,114</w:t>
            </w:r>
          </w:p>
        </w:tc>
      </w:tr>
      <w:tr>
        <w:trPr>
          <w:trHeight w:val="20"/>
        </w:trPr>
        <w:tc>
          <w:tcPr>
            <w:tcW w:w="29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to the valuation methods during the months presented.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for further discussion of preferred stock warrants.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9).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the six months ended June 30, 2020, there was no change to the estimated value of the CVRs. The value of these CVRs was $0.1 million as of June 30, 2020.</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put option liability was valued based on the calculated returns as a result of the various discounts included in the Company’s convertible debt payable and the related probability assessments of the various settlement scenarios that the discounts apply to. As of June 30, 2020 and December 31, 2019, the combined probability assessment of a qualified financing or initial public offering is 95%. See note 6 for further disclosure of the discounts and settlement scenarios.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techniques could result in materially different fair value estimates. The fair value of the Company’s contingent consideration liability was estimated using significant unobservable inputs. The fair value of $ 19.6 million contingent consideration recognized on the acquisition date was estimated by management with the assistance of an independent third party.</w:t>
      </w:r>
    </w:p>
    <w:p>
      <w:pPr>
        <w:spacing w:after="0" w:line="184"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Changes in the fair value measurement each period reflect the passage of time as well as the impact of adjustments, if any, to the likelihood of achieving the specified targets. Contingent consideration is recorded in the balance sheets in long- term liabilities. The change to contingent consideration during the six months ended June 30, 2020 was primarily due to $1.9 million resulting from the accretion of the liability offset by $1.9 million due to the impact of the deceleration of expected revenue and decreases in expected costs. The $2.3 million change to the contingent consideration during the six months ended June 30, 2019 was primarily due to $1.6 million resulting from the impact of the acceleration of expected revenue and decreases in expected costs as a result of events occurring after the acquisition date, as well as $0.7 million resulting from the from the accretion of the liability.</w:t>
      </w:r>
    </w:p>
    <w:p>
      <w:pPr>
        <w:spacing w:after="0" w:line="164"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rPr>
          <w:sz w:val="20"/>
          <w:szCs w:val="20"/>
          <w:color w:val="auto"/>
        </w:rPr>
      </w:pPr>
      <w:r>
        <w:rPr>
          <w:rFonts w:ascii="Arial" w:cs="Arial" w:eastAsia="Arial" w:hAnsi="Arial"/>
          <w:sz w:val="18"/>
          <w:szCs w:val="18"/>
          <w:b w:val="1"/>
          <w:bCs w:val="1"/>
          <w:color w:val="auto"/>
        </w:rPr>
        <w:t>Note 5—Balance Sheet Disclosures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$ 4,720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1,755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r>
      <w:tr>
        <w:trPr>
          <w:trHeight w:val="216"/>
        </w:trPr>
        <w:tc>
          <w:tcPr>
            <w:tcW w:w="9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(6,415)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(6,386)</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$ 1,994</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for each of the six months ended June 30, 2020 and 2019 was $0.4 million.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Purchased technology</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16,900</w:t>
            </w: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(3,756)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13,144</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Purchase option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Trademarks (indefinite life)</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14,145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Company recorded amortization expense of $1.0 million for the six months ended June 30, 2020 and 2019. Amortization related to the remaining net intangible assets is scheduled to amortize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Accrued liabilities consist of the following (in thousands):</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6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5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Compensation related accruals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$2,039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1,671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current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9340" w:type="dxa"/>
            <w:vAlign w:val="bottom"/>
            <w:gridSpan w:val="2"/>
          </w:tcPr>
          <w:p>
            <w:pPr>
              <w:ind w:left="36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6—Convertible Notes Payable</w:t>
      </w:r>
    </w:p>
    <w:p>
      <w:pPr>
        <w:spacing w:after="0" w:line="121"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In March 2020, the Company issued $10 million in convertible debt (the “March 2020 Notes”) that is scheduled to mature in August 2020. The March 2020 Notes were issued in two tranches of $5 million, with the first tranche being funded in March 2020 and the second tranche in June 2020. Interest on the March 2020 Notes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March 2020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March 2020 Notes. The estimated value of the put option liability as of the issuance of the March 2020 Notes was $2.5 million. The put option liability was reflected as a debt discount on the March 2020 Notes which is being amortized over the term of the March 2020 Notes. The unamortized debt discount was $1.4 million as of June 30, 2020.</w:t>
      </w:r>
    </w:p>
    <w:p>
      <w:pPr>
        <w:spacing w:after="0" w:line="18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December 2019, the Company issued $6 million in convertible debt (the “December 2019 Notes”) that is scheduled to mature in August 2020. The December 2019 Notes were issued in two tranches of $3 million, with the first tranche being funded in December 2019 and the second tranche in February 2020.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was $0.8 million for each tranche issued. The put option liability was reflected as a debt discount on the December 2019 Notes which is being amortized over the term of the December 2019 Notes. The unamortized debt discount was $0.3 million and $0.7 million as of June 30, 2020 and December 31, 2019, respectively.</w:t>
      </w:r>
    </w:p>
    <w:p>
      <w:pPr>
        <w:spacing w:after="0" w:line="184"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320" w:top="459" w:right="3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and $0.3 million as of June 30, 2020 and December 31, 2019, respectively.</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convertible notes payable is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4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9"/>
        </w:trPr>
        <w:tc>
          <w:tcPr>
            <w:tcW w:w="9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2020 Notes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December 2019 Notes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6,000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August 2019 Notes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Accrued interest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w:t>
            </w: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(1,728)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9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24,676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Paycheck Protection Program Note Payable</w:t>
      </w:r>
    </w:p>
    <w:p>
      <w:pPr>
        <w:spacing w:after="0" w:line="117"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In April 2020, Company entered into a loan pursuant to the Paycheck Protection Program under the CARES Act, as administered by the U.S. Small Business Administration (the “SBA”). The loan, in the principal amount of $ 3.1 million (the “PPP Loan”), was disbursed by JPMorgan Chase Bank (“Lender”) pursuant to a Paycheck Protection Program Promissory Note and Agreement (the “Note and Agreement”).</w:t>
      </w:r>
    </w:p>
    <w:p>
      <w:pPr>
        <w:spacing w:after="0" w:line="16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PPP Loan matures on the two-year anniversary of the funding date and bears interest at a fixed rate of 1.00% per annum. Monthly principal and interest payments, less the amount of any potential forgiveness (discussed below), will commence after the six-month anniversary of the funding date.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192"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All or a portion of the PPP Loan may be forgiven by the SBA and the Lender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$100,000 or less annually are reduced by more than 25%. The Company cannot assure that the PPP Loan will be forgiven, in whole or in part.</w:t>
      </w:r>
    </w:p>
    <w:p>
      <w:pPr>
        <w:spacing w:after="0" w:line="23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 xml:space="preserve">The Company accounts for the PPP Loan as debt in accordance with FASB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accrues interest in accordance with the interest method. If the loan is forgiven in part or in whole, and legal release is received, the Company will reduce the liability by the amount forgiven and record a gain on extinguishment in the statement of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w:t>
      </w:r>
    </w:p>
    <w:p>
      <w:pPr>
        <w:spacing w:after="0" w:line="124"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June 30, 2020 and December 31, 2019, the interest added to the principal value of the 2018 Notes was $1.4 million and $1.1 million, respectively.</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 payable to Indi.</w:t>
      </w:r>
    </w:p>
    <w:p>
      <w:pPr>
        <w:spacing w:after="0" w:line="18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June 30, 2020, the Company was not in default under the terms of the 2018 Notes.</w:t>
      </w:r>
    </w:p>
    <w:p>
      <w:pPr>
        <w:spacing w:after="0" w:line="16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459" w:right="3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notes payable as of June 30, 2020 and December 31, 2019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$24,389</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$24,088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24,227</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notes payable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20,163</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Arial" w:cs="Arial" w:eastAsia="Arial" w:hAnsi="Arial"/>
                <w:sz w:val="18"/>
                <w:szCs w:val="18"/>
                <w:color w:val="auto"/>
              </w:rPr>
              <w:t>Maturities of long-term obligations as of June 30, 2020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10,166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12,199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24,612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inception, the Company has incurred net taxable losses, and accordingly, no current provision for income taxes has been recorded.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Company leases facilities under non-cancelable operating leases. Rent expense was $1.1 million for the six months ended June 30, 2020 and 2019, and was inclusive of common area maintenance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8860" w:type="dxa"/>
            <w:vAlign w:val="bottom"/>
          </w:tcPr>
          <w:p>
            <w:pPr>
              <w:jc w:val="center"/>
              <w:ind w:right="830"/>
              <w:spacing w:after="0"/>
              <w:rPr>
                <w:sz w:val="20"/>
                <w:szCs w:val="20"/>
                <w:color w:val="auto"/>
              </w:rPr>
            </w:pPr>
            <w:r>
              <w:rPr>
                <w:rFonts w:ascii="Arial" w:cs="Arial" w:eastAsia="Arial" w:hAnsi="Arial"/>
                <w:sz w:val="18"/>
                <w:szCs w:val="18"/>
                <w:b w:val="1"/>
                <w:bCs w:val="1"/>
                <w:color w:val="auto"/>
              </w:rPr>
              <w:t>BIODESIX, INC.</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8860" w:type="dxa"/>
            <w:vAlign w:val="bottom"/>
          </w:tcPr>
          <w:p>
            <w:pPr>
              <w:jc w:val="center"/>
              <w:ind w:right="830"/>
              <w:spacing w:after="0"/>
              <w:rPr>
                <w:sz w:val="20"/>
                <w:szCs w:val="20"/>
                <w:color w:val="auto"/>
              </w:rPr>
            </w:pPr>
            <w:r>
              <w:rPr>
                <w:rFonts w:ascii="Arial" w:cs="Arial" w:eastAsia="Arial" w:hAnsi="Arial"/>
                <w:sz w:val="18"/>
                <w:szCs w:val="18"/>
                <w:b w:val="1"/>
                <w:bCs w:val="1"/>
                <w:color w:val="auto"/>
              </w:rPr>
              <w:t>NOTES TO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10520" w:type="dxa"/>
            <w:vAlign w:val="bottom"/>
            <w:gridSpan w:val="2"/>
          </w:tcPr>
          <w:p>
            <w:pPr>
              <w:ind w:left="460"/>
              <w:spacing w:after="0"/>
              <w:rPr>
                <w:sz w:val="20"/>
                <w:szCs w:val="20"/>
                <w:color w:val="auto"/>
              </w:rPr>
            </w:pPr>
            <w:r>
              <w:rPr>
                <w:rFonts w:ascii="Arial" w:cs="Arial" w:eastAsia="Arial" w:hAnsi="Arial"/>
                <w:sz w:val="18"/>
                <w:szCs w:val="18"/>
                <w:color w:val="auto"/>
                <w:w w:val="90"/>
              </w:rPr>
              <w:t>Future minimum lease payments for operating lease obligations, net of sublease income are as follows as of June 30, 2020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8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8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728</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8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1,885</w:t>
            </w:r>
          </w:p>
        </w:tc>
      </w:tr>
      <w:tr>
        <w:trPr>
          <w:trHeight w:val="20"/>
        </w:trPr>
        <w:tc>
          <w:tcPr>
            <w:tcW w:w="16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Co-Development Agreement</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Expenses related to this agreement for the six months ended June 30, 2020 and 2019 were approximately $0.7 million and $0.2 million,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August 2019, we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Bio-Rad License expires in August 2024. Either party may terminate for the other’s uncured material breach or bankruptcy events. Bio-Rad may terminate the Bio-Rad License if the Company does not purchase licensed products under the separate supply agreement for a consecutive twelve-month period or for any material breach by us of the supply agreement. The Company incurred royalty expense of $0.1 million for the six months ended June 30, 2020 under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10—Convertible Preferred Stock</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following table details, by series, the Company’s convertible preferred stock at June 30, 2020 (in thousands, except shares and original issue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53,031,883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G</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A-2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185,432,719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H</w:t>
      </w:r>
    </w:p>
    <w:p>
      <w:pPr>
        <w:spacing w:after="0" w:line="117"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In February and March 2019, the Company issued 8,695,621 shares of Series H Preferred Stock at $1.15 per share for total cash proceeds of $10.0 million.</w:t>
      </w:r>
    </w:p>
    <w:p>
      <w:pPr>
        <w:spacing w:after="0" w:line="170"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 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$16.33). As a result of the reverse stock split (see Note 14), the conversion rate for the Series Preferred is 0.1684664 per share. Each share of Series Preferred will be automatically converted into shares of common stock (based on the then-effective Series Preferred conversion price) if there is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affirmative election of 65% of the holders of the outstanding shares of Series Preferred or immediately upon the closing of a firmly underwritten public offering in which the offer and sale of common stock, voting together as a single class on an as-if-converted-to -common-stock basis, is at a per-share price of at least $11.88 (adjusted for stock splits, dividends, and recapitalizations) and gross cash proceeds to the Company (before underwriting discounts, commissions, and fees) are at least $40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 stock basis. In the event dividends are paid on any common stock, the Company shall pay an additional dividend on all outstanding shares of Series Preferred stock in a per-share amount on an as-if-converted-to-common-stock basis.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70"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 -if-converted basis, of the remaining assets of the Company available for distribution to its stockholders.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 Options</w:t>
      </w:r>
    </w:p>
    <w:p>
      <w:pPr>
        <w:spacing w:after="0" w:line="12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In May 2006, the Company adopted the 2006 Employee, Director, and Consultant Stock Plan (the “2006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831,388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9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February 2016, the Company adopted the 2016 Equity Incentive Plan (“2016 Plan”) as a successor to and continuation of the 2006 Plan. As of February 2016, no additional stock awards may be granted under the 2006 Plan and any unallocated shares remaining available for issuance pursuant to the exercise of options or issuance or settlement of stock awards not previously granted under the 2006 Plan will cease to be available under the 2006 Plan and will be added to the share reserve of the 2016 Plan and be immediately available for issuance pursuant to the stock awards granted in the 2016 Plan. In addition, all outstanding stock awards granted under the 2006 Plan will remain subject to the terms of the 2006 Plan unless they expire, terminate or are forfeited, cancelled or otherwise returned to the Company and will immediately be added to the share reserve and become available for issuance under the 2016 Plan.</w:t>
      </w:r>
    </w:p>
    <w:p>
      <w:pPr>
        <w:spacing w:after="0" w:line="195"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Under the 2016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1,431,964 total shares, plus any shares subject to outstanding stock awards granted under the 2006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61"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4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Granted</w:t>
            </w:r>
          </w:p>
        </w:tc>
        <w:tc>
          <w:tcPr>
            <w:tcW w:w="4760" w:type="dxa"/>
            <w:vAlign w:val="bottom"/>
            <w:gridSpan w:val="3"/>
          </w:tcPr>
          <w:p>
            <w:pPr>
              <w:jc w:val="right"/>
              <w:ind w:right="240"/>
              <w:spacing w:after="0"/>
              <w:rPr>
                <w:sz w:val="20"/>
                <w:szCs w:val="20"/>
                <w:color w:val="auto"/>
              </w:rPr>
            </w:pPr>
            <w:r>
              <w:rPr>
                <w:rFonts w:ascii="Arial" w:cs="Arial" w:eastAsia="Arial" w:hAnsi="Arial"/>
                <w:sz w:val="18"/>
                <w:szCs w:val="18"/>
                <w:color w:val="auto"/>
              </w:rPr>
              <w:t>772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2.68</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4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40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0.54</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Outstanding—June 30, 2020</w:t>
            </w:r>
          </w:p>
        </w:tc>
        <w:tc>
          <w:tcPr>
            <w:tcW w:w="4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4760" w:type="dxa"/>
            <w:vAlign w:val="bottom"/>
            <w:gridSpan w:val="3"/>
          </w:tcPr>
          <w:p>
            <w:pPr>
              <w:jc w:val="right"/>
              <w:ind w:right="2920"/>
              <w:spacing w:after="0"/>
              <w:rPr>
                <w:sz w:val="20"/>
                <w:szCs w:val="20"/>
                <w:color w:val="auto"/>
              </w:rPr>
            </w:pPr>
            <w:r>
              <w:rPr>
                <w:rFonts w:ascii="Arial" w:cs="Arial" w:eastAsia="Arial" w:hAnsi="Arial"/>
                <w:sz w:val="18"/>
                <w:szCs w:val="18"/>
                <w:color w:val="auto"/>
              </w:rPr>
              <w:t>F-31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options outstanding and exercisable as of June 30, 2020 (in thousands, except price and life):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380" w:type="dxa"/>
            <w:vAlign w:val="bottom"/>
          </w:tcPr>
          <w:p>
            <w:pPr>
              <w:spacing w:after="0"/>
              <w:rPr>
                <w:sz w:val="14"/>
                <w:szCs w:val="14"/>
                <w:color w:val="auto"/>
              </w:rPr>
            </w:pPr>
          </w:p>
        </w:tc>
        <w:tc>
          <w:tcPr>
            <w:tcW w:w="14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9"/>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Exercise Prices</w:t>
            </w:r>
          </w:p>
        </w:tc>
        <w:tc>
          <w:tcPr>
            <w:tcW w:w="6220" w:type="dxa"/>
            <w:vAlign w:val="bottom"/>
            <w:gridSpan w:val="2"/>
            <w:vMerge w:val="restart"/>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4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Life</w:t>
            </w:r>
          </w:p>
        </w:tc>
        <w:tc>
          <w:tcPr>
            <w:tcW w:w="3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62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(years)*</w:t>
            </w: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$0.42 – $0.84</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1,947</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$0.66</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8.1</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654</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$2.62 – $3.74</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136</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3.39</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3.39</w:t>
            </w: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$4.40 – $4.46</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4.40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6.83</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9.4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6.83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Total—June 30, 2020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$2.02</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Price and Life reflect the weighted average exercise price and weighted average remaining contractual life, respectively.</w:t>
      </w:r>
    </w:p>
    <w:p>
      <w:pPr>
        <w:spacing w:after="0" w:line="22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There were 52,736 and 26,449 restricted stock units outstanding at June 30, 2020 and December 31, 2019, respectively, none of which had vested as of June 30, 2020.</w:t>
      </w:r>
    </w:p>
    <w:p>
      <w:pPr>
        <w:spacing w:after="0" w:line="170"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 average assumptions for the six months ended June 30, 2020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rate</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Average expected life</w:t>
            </w:r>
          </w:p>
        </w:tc>
        <w:tc>
          <w:tcPr>
            <w:tcW w:w="4340" w:type="dxa"/>
            <w:vAlign w:val="bottom"/>
          </w:tcPr>
          <w:p>
            <w:pPr>
              <w:jc w:val="right"/>
              <w:ind w:right="110"/>
              <w:spacing w:after="0"/>
              <w:rPr>
                <w:sz w:val="20"/>
                <w:szCs w:val="20"/>
                <w:color w:val="auto"/>
              </w:rPr>
            </w:pPr>
            <w:r>
              <w:rPr>
                <w:rFonts w:ascii="Arial" w:cs="Arial" w:eastAsia="Arial" w:hAnsi="Arial"/>
                <w:sz w:val="18"/>
                <w:szCs w:val="18"/>
                <w:color w:val="auto"/>
              </w:rPr>
              <w:t>5.63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Volatility</w:t>
            </w:r>
          </w:p>
        </w:tc>
        <w:tc>
          <w:tcPr>
            <w:tcW w:w="4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total options granted</w:t>
            </w:r>
          </w:p>
        </w:tc>
        <w:tc>
          <w:tcPr>
            <w:tcW w:w="4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$ 382</w:t>
            </w:r>
          </w:p>
        </w:tc>
      </w:tr>
    </w:tbl>
    <w:p>
      <w:pPr>
        <w:spacing w:after="0" w:line="20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table presents the impact of employee stock-based compensation expense on statements of income line items for the periods indicated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46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w w:val="79"/>
              </w:rPr>
              <w:t>44</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64</w:t>
            </w:r>
          </w:p>
        </w:tc>
      </w:tr>
      <w:tr>
        <w:trPr>
          <w:trHeight w:val="27"/>
        </w:trPr>
        <w:tc>
          <w:tcPr>
            <w:tcW w:w="8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55</w:t>
            </w:r>
          </w:p>
        </w:tc>
        <w:tc>
          <w:tcPr>
            <w:tcW w:w="96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80</w:t>
            </w:r>
          </w:p>
        </w:tc>
      </w:tr>
      <w:tr>
        <w:trPr>
          <w:trHeight w:val="20"/>
        </w:trPr>
        <w:tc>
          <w:tcPr>
            <w:tcW w:w="8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The unrecognized remaining stock-based compensation balance for shares issued inside of the Plan was approximately $0.5 million as of June 30, 2020 which will be amortized over the next three years.</w:t>
      </w:r>
    </w:p>
    <w:p>
      <w:pPr>
        <w:spacing w:after="0" w:line="170"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As of June 30, 2020, the Company has issued a total of 205,199 stock options outside the 2006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option pricing model using approximately the same assumptions as in the previous table other than the term, which is approximately five years. As of June 30, 2020, 173,233 options outside of the 2006 Plan are outstanding and exercisable and have a weighted average exercise price of $11.11, a weighted average remaining life of six years, and were fully vested on the grant date. There was no unrecognized remaining stock-based compensation balance for shares issued outside of the 2006 Plan as of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Series E</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Series 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10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w w:val="95"/>
              </w:rPr>
              <w:t>Warrants</w:t>
            </w: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Outstanding—June 30,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June 30,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8"/>
                <w:szCs w:val="18"/>
                <w:color w:val="auto"/>
              </w:rPr>
              <w:t>7.5 years</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121"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Company has evaluated all subsequent events through the auditors’ report date, which is the date the condensed financial statements were available for issuance.</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September 2020, the Company exercised its opt-out right with Aveo for the of payment of 50% of development and regulatory costs for ficlatuzumab which will be effective December 2, 2020. The Company estimates it has $0.3 million in remaining obligations related to the Aveo agreement as of the opt-out date. Following the effective date, the Company will be entitled to a 10% royalty of net sales of ficlatuzumab and 25% of license income generated from the licensing of ficlatuzumab from Aveo.</w:t>
      </w:r>
    </w:p>
    <w:p>
      <w:pPr>
        <w:spacing w:after="0" w:line="18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 September 2020, the Company terminated its option to license rights within the United States from Oncimmune to an additional indication for their product.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2020, the Company extended the maturity date of the Convertible Notes to June 30,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59"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14—Reverse Stock Split</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On October 19, 2020, the Company obtained approval of an Amended and Restated Certificate of Incorporation effecting a 0.1684664-for-1 reverse stock split of its issued and outstanding common stock as converted. All common shares, stock options, and per share information presented in these financial statements and notes thereto have been adjusted, where applicable, to reflect the reverse stock split on a retroactive basis for all periods presented. The per share par value and authorized number of shares of the Company’s common stock were not adjusted as a result of the split.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80"/>
          </w:cols>
          <w:pgMar w:left="320" w:top="459" w:right="3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have audited the accompanying balance sheets of Biodesix, Inc. (the Company) as of December 31, 2019 and 2018, the related statements of operations, changes in convertible preferred stock and stockholders’ deficit, and cash flows for each of the years in the two-year period ended December 31, 2019, and the related notes (collectively,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May 27, 2020, except for earnings per share and Note 1(aa), as to which the date is August 12, 2020 and Note 14, as to which the date is October 20, 2020</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2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Years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4,406</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10,468</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8,188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30,637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25,899</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1,537</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3,863</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51,293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43,893</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(26,741)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(23,461)</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(2,916)</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302</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(30,726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(26,166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(126.97)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(130.83)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10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26,131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5,286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5,292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15,092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16,852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11,631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1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1,717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12,159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Put option liability</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3,261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22,600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23,812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23,099</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29,114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53,613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48,657</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Convertible preferred stock, $0.001 par value, 174,237,067 (2019) and 156,350,836 (2018)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8"/>
              </w:rPr>
              <w:t>118,766,273 (2019) and 110,070,652 (2018) issued and outstanding; liquidation preference of $202,582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5"/>
              </w:rPr>
              <w:t>193,959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183,962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8"/>
              </w:rPr>
              <w:t>Common stock, $0.001 par value, 190,000,000 (2019) and 180,000,000 (2018) authorized; 254,918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214,885 (2018) issued and outstanding</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8"/>
              </w:rPr>
              <w:t>(230,864)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(200,138)</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(228,539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(198,030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59"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ind w:left="240"/>
              <w:spacing w:after="0"/>
              <w:rPr>
                <w:sz w:val="20"/>
                <w:szCs w:val="20"/>
                <w:color w:val="auto"/>
              </w:rPr>
            </w:pPr>
            <w:r>
              <w:rPr>
                <w:rFonts w:ascii="Arial" w:cs="Arial" w:eastAsia="Arial" w:hAnsi="Arial"/>
                <w:sz w:val="14"/>
                <w:szCs w:val="14"/>
                <w:b w:val="1"/>
                <w:bCs w:val="1"/>
                <w:color w:val="auto"/>
              </w:rPr>
              <w:t>Series A-2</w:t>
            </w:r>
          </w:p>
        </w:tc>
        <w:tc>
          <w:tcPr>
            <w:tcW w:w="1260" w:type="dxa"/>
            <w:vAlign w:val="bottom"/>
            <w:gridSpan w:val="4"/>
          </w:tcPr>
          <w:p>
            <w:pPr>
              <w:ind w:left="240"/>
              <w:spacing w:after="0"/>
              <w:rPr>
                <w:sz w:val="20"/>
                <w:szCs w:val="20"/>
                <w:color w:val="auto"/>
              </w:rPr>
            </w:pPr>
            <w:r>
              <w:rPr>
                <w:rFonts w:ascii="Arial" w:cs="Arial" w:eastAsia="Arial" w:hAnsi="Arial"/>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Cumulative effect of ASC 606 Adoption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2"/>
              </w:rPr>
              <w:t>Issuance of Series G Preferred Stock—net of issuance costs of $11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G Preferred Stock related to business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3"/>
              </w:rPr>
              <w:t>Issuance of Series H Preferred Stock, net of issuance costs of $44</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H for debt conversion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Balance—December 31, 2018</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5"/>
              </w:rPr>
              <w:t>Issuance of Series H Preferred Stock, net of issuance costs of $3</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2,999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6"/>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Cumulative effect of ASC 606 Adoption</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9"/>
              </w:rPr>
              <w:t>Issuance of Series G Preferred Stock—net of issuance costs of $11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6"/>
              </w:rPr>
              <w:t>Issuance of Series G Preferred Stock related to business combination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$44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H for debt conversion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Balance—December 31, 2018</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4"/>
              </w:rPr>
              <w:t>7,640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$3</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$ 7,040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$ 41,266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$ 32,736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Series G</w:t>
            </w:r>
          </w:p>
        </w:tc>
        <w:tc>
          <w:tcPr>
            <w:tcW w:w="13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Series H</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128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Preferred</w:t>
            </w:r>
          </w:p>
        </w:tc>
        <w:tc>
          <w:tcPr>
            <w:tcW w:w="12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6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Balance—December 31, 2017</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$ 25,061</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157,018</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(174,411)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(172,495)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Cumulative effect of ASC 606 Adoption</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Issuance of Series G Preferred Stock—net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issuance costs of $11</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2,000</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1,489</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1,489</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G Preferred Stock related to</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business combination</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10,650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7,987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7,987</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H Preferred Stock, net of issuance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costs of $44</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6,087</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6,956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6,956</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Series H for debt conversion</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9,141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10,512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10,512</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(26,166)</w:t>
            </w: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Balance—December 31, 2018</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46,147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$ 34,537</w:t>
            </w:r>
          </w:p>
        </w:tc>
        <w:tc>
          <w:tcPr>
            <w:tcW w:w="22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15,228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17,468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183,962</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215</w:t>
            </w:r>
          </w:p>
        </w:tc>
        <w:tc>
          <w:tcPr>
            <w:tcW w:w="220" w:type="dxa"/>
            <w:vAlign w:val="bottom"/>
          </w:tcPr>
          <w:p>
            <w:pPr>
              <w:spacing w:after="0"/>
              <w:rPr>
                <w:sz w:val="13"/>
                <w:szCs w:val="13"/>
                <w:color w:val="auto"/>
              </w:rPr>
            </w:pPr>
          </w:p>
        </w:tc>
        <w:tc>
          <w:tcPr>
            <w:tcW w:w="2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(200,138)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(198,030)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H Preferred Stock, net of issuance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costs of $3</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9,997</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(30,726)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(30,726)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Balance—December 31, 2019</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$ 34,537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23,923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27,465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193,959</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255</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2,324</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(230,864)</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(228,539)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Years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(30,726)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(26,166)</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1,740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Gain on disposal of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portion of loss on extinguishment of debt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5,400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put option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Write off of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Accounts payable and other accrued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r>
      <w:tr>
        <w:trPr>
          <w:trHeight w:val="224"/>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(21,726)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(17,677)</w:t>
            </w:r>
          </w:p>
        </w:tc>
        <w:tc>
          <w:tcPr>
            <w:tcW w:w="120" w:type="dxa"/>
            <w:vAlign w:val="bottom"/>
          </w:tcPr>
          <w:p>
            <w:pPr>
              <w:spacing w:after="0"/>
              <w:rPr>
                <w:sz w:val="19"/>
                <w:szCs w:val="19"/>
                <w:color w:val="auto"/>
              </w:rPr>
            </w:pPr>
          </w:p>
        </w:tc>
      </w:tr>
      <w:tr>
        <w:trPr>
          <w:trHeight w:val="53"/>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70"/>
        </w:trPr>
        <w:tc>
          <w:tcPr>
            <w:tcW w:w="9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series G preferred stock</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issuance of series H preferred stock</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10,000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13,044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of equipment financing and debt payable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(22,518)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Debt and equity financing costs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22,972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19,032</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5,356</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Cash, cash equivalents, and restricted cash—end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was no cash paid for income taxes during the years ended December 31, 2019 and 2018.</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Cash paid for interest for the years ended December 31, 2019 and 2018 was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non-cash activity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20" w:type="dxa"/>
            <w:vAlign w:val="bottom"/>
          </w:tcPr>
          <w:p>
            <w:pPr>
              <w:spacing w:after="0"/>
              <w:rPr>
                <w:sz w:val="14"/>
                <w:szCs w:val="14"/>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Accrued business combination payments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Value of put option recorded at issuance of convertible debt payable</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G Preferred Stock in business combination</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7,987</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Fair value of warrants issued as part of 2018 loan agreement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debt payable plus accrued interest into Series H Preferred Stock</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9"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Organization and Nature of Operations</w:t>
      </w:r>
    </w:p>
    <w:p>
      <w:pPr>
        <w:spacing w:after="0" w:line="117" w:lineRule="exact"/>
        <w:rPr>
          <w:sz w:val="20"/>
          <w:szCs w:val="20"/>
          <w:color w:val="auto"/>
        </w:rPr>
      </w:pPr>
    </w:p>
    <w:p>
      <w:pPr>
        <w:ind w:right="300" w:firstLine="449"/>
        <w:spacing w:after="0" w:line="275" w:lineRule="auto"/>
        <w:rPr>
          <w:sz w:val="20"/>
          <w:szCs w:val="20"/>
          <w:color w:val="auto"/>
        </w:rPr>
      </w:pPr>
      <w:r>
        <w:rPr>
          <w:rFonts w:ascii="Arial" w:cs="Arial" w:eastAsia="Arial" w:hAnsi="Arial"/>
          <w:sz w:val="17"/>
          <w:szCs w:val="17"/>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76"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Segment Information</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Comprehensive Loss</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and/or circumstances from non-owner sources. If the Company had comprehensive gains (losses), they would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00"/>
          </w:cols>
          <w:pgMar w:left="320" w:top="459" w:right="3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reflected in the statement of operations and comprehensive loss and as a separate component in the statement of stockholders’ deficit. There were no elements of comprehensive loss during the years ended December 31, 2019 and 2018.</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Concentration of Risk</w:t>
      </w:r>
    </w:p>
    <w:p>
      <w:pPr>
        <w:spacing w:after="0" w:line="11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The Company is subject to credit risk from its accounts receivable related to services provided to its customers. Reimbursement on behalf of customers covered by Medicare accounted for 60% and 61% of the Company’s diagnostic test revenue for the years ended December 31, 2019 and 2018, respectively, and represented 18% and 44% of the Company’s total accounts receivable balance as of December 31, 2019 and 2018, respectively. One services customer represented 44% and 25% of the Company’s total accounts receivable balance as of December 31, 2019 and 2018, respectively. As of December 31, 2019, two services customers represented 12% and 10% of the Company’s total accounts receivable balance as of December 31, 2019.</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Cash, Cash Equivalents, and Restricted Cash</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$4.8 million and $5.2 million at December 31, 2019 and 2018, respectively. These money market funds were measured using Level 1 inputs.</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December 31, 2019 and 2018, the Company had $0.2 million in restricted cash, which was included in other current assets in the accompanying balance sheets.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Accounts Receivable</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84"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December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Inventory</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$0.8 million and $0.7 million as of December 31, 2019 and 2018, respectively, and are included in other current assets in the accompanying balance sheets.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Property and Equipment</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Property and equipment are stated at cost. Depreciation is provided utilizing the straight-line method over the estimated useful lives, ranging from three to five years.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459" w:right="3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Intangible Assets</w:t>
      </w:r>
    </w:p>
    <w:p>
      <w:pPr>
        <w:spacing w:after="0" w:line="11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Intangible assets are reviewed for impairment whenever events or changes in circumstances may affect the recoverability of the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reviews include an analysis of current results and take into consideration the undiscounted value of projected operating cash flows. See Note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for further information.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Long-Lived Assets</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Deferred Rent</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financial statements.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Goodwill</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2019 and 2018 to indicate that the fair value of goodwill exceeded its carrying value, and thus a quantitative analysis was not performed.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9" w:right="3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890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90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tcPr>
          <w:p>
            <w:pPr>
              <w:ind w:left="460"/>
              <w:spacing w:after="0"/>
              <w:rPr>
                <w:sz w:val="20"/>
                <w:szCs w:val="20"/>
                <w:color w:val="auto"/>
              </w:rPr>
            </w:pPr>
            <w:r>
              <w:rPr>
                <w:rFonts w:ascii="Arial" w:cs="Arial" w:eastAsia="Arial" w:hAnsi="Arial"/>
                <w:sz w:val="18"/>
                <w:szCs w:val="18"/>
                <w:color w:val="auto"/>
              </w:rPr>
              <w:t>The following summarizes the Company’s goodwill activity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89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Attributable to 2018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10,804</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10,804</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Attributable to 2019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11,631</w:t>
            </w:r>
          </w:p>
        </w:tc>
      </w:tr>
      <w:tr>
        <w:trPr>
          <w:trHeight w:val="20"/>
        </w:trPr>
        <w:tc>
          <w:tcPr>
            <w:tcW w:w="8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Company did not have any goodwill impairments for the years ended December 31, 2019 and 2018.</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Revenue Recognition</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Revenues are recognized when control of the promised services is transferred to customers, in an amount that reflects the consideration the Company expects to be entitled to in exchange for those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3"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9" w:lineRule="exact"/>
        <w:rPr>
          <w:rFonts w:ascii="Arial" w:cs="Arial" w:eastAsia="Arial" w:hAnsi="Arial"/>
          <w:sz w:val="18"/>
          <w:szCs w:val="18"/>
          <w:color w:val="auto"/>
        </w:rPr>
      </w:pPr>
    </w:p>
    <w:p>
      <w:pPr>
        <w:ind w:left="1000" w:right="580" w:hanging="547"/>
        <w:spacing w:after="0" w:line="308" w:lineRule="auto"/>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2019 and 2018 revenue from these services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60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Diagnostic tests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$ 17,315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$ 18,965</w:t>
            </w: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Services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7,237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$ 24,552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$ 20,432</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Diagnostic test revenue that were reimbursed by Medicare comprised 60% and 61% of diagnostic test revenue in 2019 and 2018, respectively. One services customer comprised 71% and 95% of services revenue in 2019 and 2018, respectively.</w:t>
      </w:r>
    </w:p>
    <w:p>
      <w:pPr>
        <w:spacing w:after="0" w:line="170"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The Company recognizes revenue for these patients when contracts as defined in ASC 606 are established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consideration to which it expects to be entitled or when the Company receives substantially all of the consideration subsequent to the performance obligations being satisfied.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459" w:right="3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Deferred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primarily consists of services fee payments received in advance.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Research and Development Expenses and Accrued Research and Development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Stock-Based Compensation</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Income Taxes</w:t>
      </w:r>
    </w:p>
    <w:p>
      <w:pPr>
        <w:spacing w:after="0" w:line="117"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The Company recognizes deferred tax assets and liabilities based on the differences between the tax basis of assets and liabilities and their reported amounts in the financial statements and net operating loss carryforwards that will result in taxable or deductible amounts in future years. The Company establishes a valuation allowance for all deferred tax assets to the extent it is more likely than not that a deferred tax asset will not be realized.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Warrant Liability</w:t>
      </w:r>
    </w:p>
    <w:p>
      <w:pPr>
        <w:spacing w:after="0" w:line="117"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320" w:top="459" w:right="3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Changes in Fair Value of Contingent Consideration</w:t>
      </w:r>
    </w:p>
    <w:p>
      <w:pPr>
        <w:spacing w:after="0" w:line="117" w:lineRule="exact"/>
        <w:rPr>
          <w:sz w:val="20"/>
          <w:szCs w:val="20"/>
          <w:color w:val="auto"/>
        </w:rPr>
      </w:pPr>
    </w:p>
    <w:p>
      <w:pPr>
        <w:jc w:val="both"/>
        <w:ind w:right="340" w:firstLine="449"/>
        <w:spacing w:after="0" w:line="259" w:lineRule="auto"/>
        <w:rPr>
          <w:sz w:val="20"/>
          <w:szCs w:val="20"/>
          <w:color w:val="auto"/>
        </w:rPr>
      </w:pPr>
      <w:r>
        <w:rPr>
          <w:rFonts w:ascii="Arial" w:cs="Arial" w:eastAsia="Arial" w:hAnsi="Arial"/>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Fair Value of Financial Instruments</w:t>
      </w:r>
    </w:p>
    <w:p>
      <w:pPr>
        <w:spacing w:after="0" w:line="117"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The carrying amounts of financial instruments, including cash and cash equivalents, receivables, other current assets, accounts payable, and accrued liabilities, approximated fair value as of December 31, 2019 and 2018 because of the relatively short maturity of these instruments.</w:t>
      </w:r>
    </w:p>
    <w:p>
      <w:pPr>
        <w:spacing w:after="0" w:line="14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carrying amounts of long-term debt payable and convertible debt payable issued approximated fair value as of December 31, 2019 and 2018 because interest rates on these instruments approximate market interest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(x) Business Combinations</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FASB issued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 Recently Issued Accounting Standards Adopted</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The Company adopted the new standard using the modified retrospective method on January 1, 2018 for contracts that are not completed as of the adoption date.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60"/>
          </w:cols>
          <w:pgMar w:left="320" w:top="459" w:right="4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Company examined its revenue recognition policies specific to revenue streams for diagnostic testing and services provided to third parties and came to conclusions on the impact of the new standard using the 5-step process prescribed by ASC 606. As noted above, the Company used the modified retrospective method to adopt the new standard which means the Company did not restate previously issued financial statements but recorded a one-time adjustment to accumulated deficit and accounts receivable of $0.4 million. This adjustment reflected the Company’s ability to establish a transaction price for the Company’s non-Medicare pay arrangements as of January 1, 2018 as a result of having sufficient history to determine the transaction price under these contracts.</w:t>
      </w:r>
    </w:p>
    <w:p>
      <w:pPr>
        <w:spacing w:after="0" w:line="192"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ASC 606 did not have an aggregate impact the Company’s net cash provided by operating activities but resulted in offsetting changes in certain assets and liabilities presented within net cash used in operating activities in the accompanying statement of cash flows, as noted above.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 Recently Issued Accounting Standards Not Yet Adopted</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-716915</wp:posOffset>
            </wp:positionV>
            <wp:extent cx="285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 Net loss per share and unaudited pro format net loss per share</w:t>
      </w:r>
    </w:p>
    <w:p>
      <w:pPr>
        <w:spacing w:after="0" w:line="11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00"/>
          </w:cols>
          <w:pgMar w:left="320" w:top="459" w:right="3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per share amounts):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(26,166)</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126.97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130.83</w:t>
            </w:r>
          </w:p>
        </w:tc>
      </w:tr>
    </w:tbl>
    <w:p>
      <w:pPr>
        <w:spacing w:after="0" w:line="202"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 except for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0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2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119,257</w:t>
            </w:r>
          </w:p>
        </w:tc>
        <w:tc>
          <w:tcPr>
            <w:tcW w:w="6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110,562</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21,131</w:t>
            </w:r>
            <w:r>
              <w:rPr>
                <w:rFonts w:ascii="Arial" w:cs="Arial" w:eastAsia="Arial" w:hAnsi="Arial"/>
                <w:sz w:val="15"/>
                <w:szCs w:val="15"/>
                <w:color w:val="auto"/>
              </w:rPr>
              <w:t>(1)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144,056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114,532</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100" w:hanging="452"/>
        <w:spacing w:after="0" w:line="263"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459" w:right="3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64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9640" w:type="dxa"/>
            <w:vAlign w:val="bottom"/>
          </w:tcPr>
          <w:p>
            <w:pPr>
              <w:ind w:left="460"/>
              <w:spacing w:after="0"/>
              <w:rPr>
                <w:sz w:val="20"/>
                <w:szCs w:val="20"/>
                <w:color w:val="auto"/>
              </w:rPr>
            </w:pPr>
            <w:r>
              <w:rPr>
                <w:rFonts w:ascii="Arial" w:cs="Arial" w:eastAsia="Arial" w:hAnsi="Arial"/>
                <w:sz w:val="18"/>
                <w:szCs w:val="18"/>
                <w:color w:val="auto"/>
                <w:w w:val="92"/>
              </w:rPr>
              <w:t>The following table sets forth the computation of the basic and diluted unaudited pro forma net loss per share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9"/>
        </w:trPr>
        <w:tc>
          <w:tcPr>
            <w:tcW w:w="9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Year ended</w:t>
            </w:r>
          </w:p>
        </w:tc>
      </w:tr>
      <w:tr>
        <w:trPr>
          <w:trHeight w:val="171"/>
        </w:trPr>
        <w:tc>
          <w:tcPr>
            <w:tcW w:w="9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9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(30,726)</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back: Interest expense on convertible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Net loss used in computing proforma net loss per share, basic and diluted</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 Assumed weighted-average effect of conversion of convertible preferred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19,801</w:t>
            </w: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Adjust: Assumed weighted-average effect of conversion of convertible debt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6,088</w:t>
            </w:r>
            <w:r>
              <w:rPr>
                <w:rFonts w:ascii="Arial" w:cs="Arial" w:eastAsia="Arial" w:hAnsi="Arial"/>
                <w:sz w:val="15"/>
                <w:szCs w:val="15"/>
                <w:color w:val="auto"/>
              </w:rPr>
              <w:t>(1)</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used in computing pro forma net loss per share, basic and diluted</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26,131</w:t>
            </w:r>
          </w:p>
        </w:tc>
        <w:tc>
          <w:tcPr>
            <w:tcW w:w="220" w:type="dxa"/>
            <w:vAlign w:val="bottom"/>
            <w:shd w:val="clear" w:color="auto" w:fill="CCEEFF"/>
          </w:tcPr>
          <w:p>
            <w:pPr>
              <w:spacing w:after="0"/>
              <w:rPr>
                <w:sz w:val="18"/>
                <w:szCs w:val="18"/>
                <w:color w:val="auto"/>
              </w:rPr>
            </w:pPr>
          </w:p>
        </w:tc>
      </w:tr>
      <w:tr>
        <w:trPr>
          <w:trHeight w:val="224"/>
        </w:trPr>
        <w:tc>
          <w:tcPr>
            <w:tcW w:w="9640" w:type="dxa"/>
            <w:vAlign w:val="bottom"/>
          </w:tcPr>
          <w:p>
            <w:pPr>
              <w:ind w:left="360"/>
              <w:spacing w:after="0"/>
              <w:rPr>
                <w:sz w:val="20"/>
                <w:szCs w:val="20"/>
                <w:color w:val="auto"/>
              </w:rPr>
            </w:pPr>
            <w:r>
              <w:rPr>
                <w:rFonts w:ascii="Arial" w:cs="Arial" w:eastAsia="Arial" w:hAnsi="Arial"/>
                <w:sz w:val="18"/>
                <w:szCs w:val="18"/>
                <w:color w:val="auto"/>
              </w:rPr>
              <w:t>Pro forma net loss per share, basic and diluted</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886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4" w:lineRule="exact"/>
        <w:rPr>
          <w:sz w:val="20"/>
          <w:szCs w:val="20"/>
          <w:color w:val="auto"/>
        </w:rPr>
      </w:pPr>
    </w:p>
    <w:p>
      <w:pPr>
        <w:ind w:left="460" w:right="100" w:hanging="452"/>
        <w:spacing w:after="0" w:line="263"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2—Liquidity</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revenues sufficient to create positive cash flows and most likely will be dependent upon future private equity placements or additional borrowings to execute its business plan. The Company has cash and cash equivalents of $5.3 million, cumulative net losses of $230.9 million, and stockholders’ deficit of $228.5 million as of December 31, 2019. Based on cash and cash equivalents on hand and amounts raised subsequent to December 31, 2019, management has determined that additional private equity placement offerings will be necessary to fund operations through May 2021. As a result, the Company has obtained commitment letters from two significant investors which requires that they will provide funding to the Company to meet its obligations and debt service requirements through at least May 2021.</w:t>
      </w:r>
    </w:p>
    <w:p>
      <w:pPr>
        <w:spacing w:after="0" w:line="300"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Note 3—Business Combinations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Oncimmune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October 31, 2019, the Company purchased select assets and liabilities from Oncimmune Limited (“Oncimmune”) for total consideration of</w:t>
      </w:r>
    </w:p>
    <w:p>
      <w:pPr>
        <w:spacing w:after="0" w:line="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December 31, 2019, $0.5 million has been paid with the remaining amount due of $0.7 million being included in accounts payable and accrued liabilities.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459" w:right="3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20" w:type="dxa"/>
            <w:vAlign w:val="bottom"/>
          </w:tcPr>
          <w:p>
            <w:pPr>
              <w:ind w:left="460"/>
              <w:spacing w:after="0"/>
              <w:rPr>
                <w:sz w:val="20"/>
                <w:szCs w:val="20"/>
                <w:color w:val="auto"/>
              </w:rPr>
            </w:pPr>
            <w:r>
              <w:rPr>
                <w:rFonts w:ascii="Arial" w:cs="Arial" w:eastAsia="Arial" w:hAnsi="Arial"/>
                <w:sz w:val="18"/>
                <w:szCs w:val="18"/>
                <w:color w:val="auto"/>
                <w:w w:val="93"/>
              </w:rPr>
              <w:t>The following summarizes the aggregate consideration paid by the Company and the allocation of the purchase price (in thousands):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the Company has finalized its accounting for this business combination.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Diagnostics,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30, 2018, the Company purchased select assets and liabilities from Integrated Diagnostics, Inc. (“Indi”) for total consideration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9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aggregate consideration paid by the Company and the allocation of the purchase price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6160" w:type="dxa"/>
            <w:vAlign w:val="bottom"/>
            <w:gridSpan w:val="2"/>
          </w:tcPr>
          <w:p>
            <w:pPr>
              <w:jc w:val="right"/>
              <w:ind w:right="4767"/>
              <w:spacing w:after="0"/>
              <w:rPr>
                <w:sz w:val="20"/>
                <w:szCs w:val="20"/>
                <w:color w:val="auto"/>
              </w:rPr>
            </w:pPr>
            <w:r>
              <w:rPr>
                <w:rFonts w:ascii="Arial" w:cs="Arial" w:eastAsia="Arial" w:hAnsi="Arial"/>
                <w:sz w:val="18"/>
                <w:szCs w:val="18"/>
                <w:color w:val="auto"/>
              </w:rPr>
              <w:t>F-52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through the issuance of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9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acquired, amortization method and estimated useful lives as of June 30, 2018 was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71"/>
        </w:trPr>
        <w:tc>
          <w:tcPr>
            <w:tcW w:w="842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Life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Method</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1"/>
              </w:rPr>
              <w:t>9 years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1"/>
              </w:rPr>
              <w:t>Straight-line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technology acquired from Indi consisted of the technology and related know-how of the XL2 test for which Indi had developed. The fair value of the technology was estimated by applying a multi-period excess earnings method. The results of this method is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Accounting</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5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determination of where assets and liabilities fall within this hierarchy is based upon the lowest level of input that is significant to the fair value measurement.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459" w:right="3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following tables set forth by level, within the fair value hierarchy, the Company’s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Due to the unobservable inputs needed to calculate the fair value of these balances, these liabilities are classified as Level 3 liabilities. The following is a reconciliation of the beginning and ending balances for assets measured at fair value on a recurring basis using significant unobservable inputs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1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Warrant liability</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6880" w:type="dxa"/>
            <w:vAlign w:val="bottom"/>
            <w:gridSpan w:val="4"/>
          </w:tcPr>
          <w:p>
            <w:pPr>
              <w:jc w:val="right"/>
              <w:ind w:right="20"/>
              <w:spacing w:after="0"/>
              <w:rPr>
                <w:sz w:val="20"/>
                <w:szCs w:val="20"/>
                <w:color w:val="auto"/>
              </w:rPr>
            </w:pPr>
            <w:r>
              <w:rPr>
                <w:rFonts w:ascii="Arial" w:cs="Arial" w:eastAsia="Arial" w:hAnsi="Arial"/>
                <w:sz w:val="18"/>
                <w:szCs w:val="18"/>
                <w:color w:val="auto"/>
              </w:rPr>
              <w:t>$268</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  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6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65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0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Contingent value rights</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6860" w:type="dxa"/>
            <w:vAlign w:val="bottom"/>
            <w:gridSpan w:val="3"/>
          </w:tcPr>
          <w:p>
            <w:pPr>
              <w:jc w:val="right"/>
              <w:ind w:right="40"/>
              <w:spacing w:after="0"/>
              <w:rPr>
                <w:sz w:val="20"/>
                <w:szCs w:val="20"/>
                <w:color w:val="auto"/>
              </w:rPr>
            </w:pPr>
            <w:r>
              <w:rPr>
                <w:rFonts w:ascii="Arial" w:cs="Arial" w:eastAsia="Arial" w:hAnsi="Arial"/>
                <w:sz w:val="18"/>
                <w:szCs w:val="18"/>
                <w:color w:val="auto"/>
              </w:rPr>
              <w:t>$ 60</w:t>
            </w:r>
          </w:p>
        </w:tc>
        <w:tc>
          <w:tcPr>
            <w:tcW w:w="2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$ 60</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6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$ 60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80" w:type="dxa"/>
            <w:vAlign w:val="bottom"/>
            <w:gridSpan w:val="4"/>
          </w:tcPr>
          <w:p>
            <w:pPr>
              <w:ind w:left="1820"/>
              <w:spacing w:after="0"/>
              <w:rPr>
                <w:sz w:val="20"/>
                <w:szCs w:val="20"/>
                <w:color w:val="auto"/>
              </w:rPr>
            </w:pPr>
            <w:r>
              <w:rPr>
                <w:rFonts w:ascii="Arial" w:cs="Arial" w:eastAsia="Arial" w:hAnsi="Arial"/>
                <w:sz w:val="18"/>
                <w:szCs w:val="18"/>
                <w:color w:val="auto"/>
              </w:rPr>
              <w:t>F-54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6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Contingent consideration</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$ 25,000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19,600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Changes in fair value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3,863</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Payments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$ 29,114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25,000</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to the valuation methods during the years presented.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for further discussion of preferred stock warrants.</w:t>
      </w:r>
    </w:p>
    <w:p>
      <w:pPr>
        <w:spacing w:after="0" w:line="22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10).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2019 and 2018, there was no change to the estimated value of the CRVs. The value of these CVRs was $0.1 million as of December 31, 2019 and 2018.</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9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$19.6 million contingent consideration recognized on the acquisition date was estimated by management with the assistance of an independent third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459"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Changes in the fair value measurement each period reflect the passage of time as well as the impact of adjustments, if any, to the likelihood of achieving the specified targets. Contingent consideration is recorded in the balance sheets in long-term liabilities. The $4.1 million adjustment to the contingent consideration during 2019 was primarily due to $3.4 million resulting from the reduction of estimated time to first payment and $0.7 million due to the impact of the acceleration of expected revenue and decreases in expected costs. The $5.4 million adjustment to the contingent consideration during 2018 was primarily due to $3.9 million resulting from the impact of the acceleration of expected revenue and decreases in expected costs as a result of events occurring after the acquisition date, as well as $1.5 million resulting from the reduction of estimated time to first payment.</w:t>
      </w:r>
    </w:p>
    <w:p>
      <w:pPr>
        <w:spacing w:after="0" w:line="164"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$ 4,221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$ 3,513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1,894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(6,386)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(5,568)</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$ 2,120</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$ 1,388</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1600" w:hanging="4996"/>
        <w:spacing w:after="0" w:line="449" w:lineRule="auto"/>
        <w:rPr>
          <w:sz w:val="20"/>
          <w:szCs w:val="20"/>
          <w:color w:val="auto"/>
        </w:rPr>
      </w:pPr>
      <w:r>
        <w:rPr>
          <w:rFonts w:ascii="Arial" w:cs="Arial" w:eastAsia="Arial" w:hAnsi="Arial"/>
          <w:sz w:val="18"/>
          <w:szCs w:val="18"/>
          <w:color w:val="auto"/>
        </w:rPr>
        <w:t>Depreciation expense for each of the years ended December 31, 2019 and 2018 was $0.8 million and $0.7 million, respectively. F-56</w:t>
      </w:r>
    </w:p>
    <w:p>
      <w:pPr>
        <w:sectPr>
          <w:pgSz w:w="11900" w:h="16838" w:orient="portrait"/>
          <w:cols w:equalWidth="0" w:num="1">
            <w:col w:w="11240"/>
          </w:cols>
          <w:pgMar w:left="320" w:top="459" w:right="3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Purchased technology</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Purchase option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Trademarks (indefinite life)</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16,852</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recorded amortization expense of $2.0 million and $1.0 million for the years ended December 31, 2019 and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related to the remaining net intangible assets is scheduled to amortize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2,229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1,937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1,927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6"/>
              </w:rPr>
              <w:t>$ 15,021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Accrued liabilities consist of the following (in thousands):</w:t>
            </w: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gridSpan w:val="7"/>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related accruals</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Accrued clinical trial expense</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1,522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Warrant liability, current</w:t>
            </w:r>
          </w:p>
        </w:tc>
        <w:tc>
          <w:tcPr>
            <w:tcW w:w="2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4,180</w:t>
            </w: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6—Convertible Debt Payable</w:t>
      </w:r>
    </w:p>
    <w:p>
      <w:pPr>
        <w:spacing w:after="0" w:line="121"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In December 2019, the Company issued $6 million in convertible debt (the “December 2019 Notes”) that is scheduled to mature in August 2020. The December 2019 Notes were issued in two tranches of $3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459" w:right="3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the first tranche being funded in December 2019.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and December 31, 2019 was $0.8 million. The put option liability was reflected as a debt discount on the December 2019 Notes which is being amortized over the term of the December 2019 Notes. The unamortized debt discount was $0.7 million as of December 31, 2019.</w:t>
      </w:r>
    </w:p>
    <w:p>
      <w:pPr>
        <w:spacing w:after="0" w:line="17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$0.3 million as of December 31, 2019.</w:t>
      </w:r>
    </w:p>
    <w:p>
      <w:pPr>
        <w:spacing w:after="0" w:line="16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2019, accrued interest of $0.1 million is included in the convertible debt balance included on the accompanying balance sheet.</w:t>
      </w:r>
    </w:p>
    <w:p>
      <w:pPr>
        <w:spacing w:after="0" w:line="24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April and July 2018, the Company issued $10.3 million in convertible debt that was scheduled to mature in April 2019 (the “April 2018 Notes”). Interest on the April 2018 Notes was at 6% per annum and was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320" w:top="459" w:right="3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payable in full upon maturity. On or before the maturity date and if the April 2018 Notes are unpaid, the outstanding principal and unpaid accrued interest under the April 2018 Note shall be automatically converted into the preferred stock sold at the close of the Company’s next equity financing (Qualified Financing). The conversion price would be equal to 100% of the price per share paid for the preferred stock in the Qualified Financing. The April 2018 Notes may be prepaid in whole or in part at any time by the Company with prior consent of at least two-thirds of the April 2018 Notes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w:t>
      </w:r>
    </w:p>
    <w:p>
      <w:pPr>
        <w:spacing w:after="0" w:line="164" w:lineRule="exact"/>
        <w:rPr>
          <w:sz w:val="20"/>
          <w:szCs w:val="20"/>
          <w:color w:val="auto"/>
        </w:rPr>
      </w:pPr>
    </w:p>
    <w:p>
      <w:pPr>
        <w:ind w:right="360" w:firstLine="449"/>
        <w:spacing w:after="0" w:line="286" w:lineRule="auto"/>
        <w:rPr>
          <w:sz w:val="20"/>
          <w:szCs w:val="20"/>
          <w:color w:val="auto"/>
        </w:rPr>
      </w:pPr>
      <w:r>
        <w:rPr>
          <w:rFonts w:ascii="Arial" w:cs="Arial" w:eastAsia="Arial" w:hAnsi="Arial"/>
          <w:sz w:val="17"/>
          <w:szCs w:val="17"/>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automatically converted into 9,140,616 shares of Series H Preferred Stock as a Qualified Financing occurred prior to the maturity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Debt</w:t>
      </w:r>
    </w:p>
    <w:p>
      <w:pPr>
        <w:spacing w:after="0" w:line="121"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 The Company recorded a $0.2 million loss on the extinguishment of the 2013 Notes.</w:t>
      </w:r>
    </w:p>
    <w:p>
      <w:pPr>
        <w:spacing w:after="0" w:line="184"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December 31, 2019 and 2018, the interest added to the principal value of the 2018 Notes was $1.1 million and $0.5 million, respectively.</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December 31, 2019, the Company was not in default under the terms of the 2018 Notes.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80"/>
          </w:cols>
          <w:pgMar w:left="320" w:top="459" w:right="39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payable as of December 31, 2019 and 2018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$24,088</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$23,495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23,812</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Arial" w:cs="Arial" w:eastAsia="Arial" w:hAnsi="Arial"/>
                <w:sz w:val="18"/>
                <w:szCs w:val="18"/>
                <w:color w:val="auto"/>
              </w:rPr>
              <w:t>Maturities of long-term obligations as of December 31, 2019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12,049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24,270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5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240" w:type="dxa"/>
            <w:vAlign w:val="bottom"/>
            <w:gridSpan w:val="3"/>
          </w:tcPr>
          <w:p>
            <w:pPr>
              <w:jc w:val="right"/>
              <w:ind w:right="11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62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Permanent items</w:t>
            </w:r>
          </w:p>
        </w:tc>
        <w:tc>
          <w:tcPr>
            <w:tcW w:w="6240" w:type="dxa"/>
            <w:vAlign w:val="bottom"/>
            <w:gridSpan w:val="3"/>
          </w:tcPr>
          <w:p>
            <w:pPr>
              <w:jc w:val="right"/>
              <w:ind w:right="112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4480" w:type="dxa"/>
            <w:vAlign w:val="bottom"/>
          </w:tcPr>
          <w:p>
            <w:pPr>
              <w:spacing w:after="0"/>
              <w:rPr>
                <w:sz w:val="19"/>
                <w:szCs w:val="19"/>
                <w:color w:val="auto"/>
              </w:rPr>
            </w:pPr>
          </w:p>
        </w:tc>
        <w:tc>
          <w:tcPr>
            <w:tcW w:w="176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6240" w:type="dxa"/>
            <w:vAlign w:val="bottom"/>
            <w:gridSpan w:val="3"/>
          </w:tcPr>
          <w:p>
            <w:pPr>
              <w:jc w:val="right"/>
              <w:ind w:right="4640"/>
              <w:spacing w:after="0"/>
              <w:rPr>
                <w:sz w:val="20"/>
                <w:szCs w:val="20"/>
                <w:color w:val="auto"/>
              </w:rPr>
            </w:pPr>
            <w:r>
              <w:rPr>
                <w:rFonts w:ascii="Arial" w:cs="Arial" w:eastAsia="Arial" w:hAnsi="Arial"/>
                <w:sz w:val="18"/>
                <w:szCs w:val="18"/>
                <w:color w:val="auto"/>
              </w:rPr>
              <w:t>F-60</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income tax assets and liabilities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r>
        <w:trPr>
          <w:trHeight w:val="223"/>
        </w:trPr>
        <w:tc>
          <w:tcPr>
            <w:tcW w:w="938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(3,982)</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55,223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48,254</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(55,223)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(48,254)</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At December 31, 2019, the Company had $222.1 million and $3.0 million of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$7.0 million during 2019 and $5.5 million during 2018.</w:t>
      </w:r>
    </w:p>
    <w:p>
      <w:pPr>
        <w:spacing w:after="0" w:line="166"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Company has concluded that there were no significant uncertain tax positions relevant to the jurisdictions where the Company is required to file income tax returns requiring recognition in the financial statements for the years ended 2019 and 2018.</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Company has recognized no interest for the years ended December 31, 2019 and 2018 related to uncertain tax positions. As of December 31, 2019, and 2018, there was no accrued interest related to uncertain tax positions.</w:t>
      </w:r>
    </w:p>
    <w:p>
      <w:pPr>
        <w:spacing w:after="0" w:line="17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monitors proposed and issued tax law, regulations, and cases to determine the potential impact of uncertain income tax positions. At December 31, 2019, the Company had not identified any potential subsequent events that would have a material impact on unrecognized income tax benefits within the next twelve months.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federal and state tax returns remain open for 2013 through 2019 to examination by tax authorities.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459" w:right="3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Company leases facilities under non-cancelable operating leases. Rent expense for the years ended December 31, 2019 and 2018 was $2.1 and $1.6 million, respectively, and was inclusive of common area maintenance charges.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gridSpan w:val="2"/>
          </w:tcPr>
          <w:p>
            <w:pPr>
              <w:ind w:left="460"/>
              <w:spacing w:after="0"/>
              <w:rPr>
                <w:sz w:val="20"/>
                <w:szCs w:val="20"/>
                <w:color w:val="auto"/>
              </w:rPr>
            </w:pPr>
            <w:r>
              <w:rPr>
                <w:rFonts w:ascii="Arial" w:cs="Arial" w:eastAsia="Arial" w:hAnsi="Arial"/>
                <w:sz w:val="18"/>
                <w:szCs w:val="18"/>
                <w:color w:val="auto"/>
                <w:w w:val="99"/>
              </w:rPr>
              <w:t>Future minimum lease payments for operating lease obligations, net of sublease income are as follows (in thousands):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1,254</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3,974</w:t>
            </w:r>
          </w:p>
        </w:tc>
      </w:tr>
      <w:tr>
        <w:trPr>
          <w:trHeight w:val="20"/>
        </w:trPr>
        <w:tc>
          <w:tcPr>
            <w:tcW w:w="16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Co-Development Agreement</w:t>
      </w:r>
    </w:p>
    <w:p>
      <w:pPr>
        <w:spacing w:after="0" w:line="117"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AVEO may recapture certain of its costs under the agreement from royalties and other revenue received under the agreement. Expenses related to this agreement for the years ended December 31, 2019 and 2018 were approximately $0.9 million and $0.3 million, respectively.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In August 2019, the Company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separate supply agreement for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459" w:right="3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consecutive twelve-month period or for any material breach by the Company of the supply agreement. The Company incurred royalty expense of $0.1 million during 2019 under this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10—Convertible Preferred Stock</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following table details, by series, the Company’s convertible preferred stock at December 31, 2019 (in thousands, except shares and original issue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41,836,231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G</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A-2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174,237,067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H</w:t>
      </w:r>
    </w:p>
    <w:p>
      <w:pPr>
        <w:spacing w:after="0" w:line="117"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In February and March 2019, the Company issued 8,695,621 shares of Series H Preferred Stock at $1.15 per share for total cash proceeds of $10.0 million.</w:t>
      </w:r>
    </w:p>
    <w:p>
      <w:pPr>
        <w:spacing w:after="0" w:line="170"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converted into 9,140,616 shares of Series H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G</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June 2018, concurrent with the closing of the transaction with Indi, the Company issued 10,649,904 shares of Series G Preferred Stock to Indi, including 2,129,981 shares that were deposited in an escrow account to be used to satisfy any indemnification obligations of the seller that may arise. See Note 3, Business Combination, for further information.</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 February 2018, the Company issued 2.0 million shares of Series G Preferred Stock to the lender of the 2018 Notes at $0.75 per share for total cash proceeds of $1.5 million. See Note 7, Long-term Debt, for further information.</w:t>
      </w:r>
    </w:p>
    <w:p>
      <w:pPr>
        <w:spacing w:after="0" w:line="170"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459" w:right="3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$16.33). As a result of the reverse stock split (see Note 14), the conversion rate for the Series Preferred is 0.1684664 per share.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as-if-converted-to-common-stock basis, is at a per-share price of at least $11.88 (adjusted for stock splits, dividends, and recapitalizations) and gross cash proceeds to the Company (before underwriting discounts, commissions, and fees) are at least $40 million.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as-if-converted-to-common-stock basis. In the event dividends are paid on any common stock, the Company shall pay an additional dividend on all outstanding shares of Series Preferred stock in a per-share amount on an as-if-converted-to-common-stock basis.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70"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80"/>
          </w:cols>
          <w:pgMar w:left="320" w:top="459" w:right="3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as-if-converted basis, of the remaining assets of the Company available for distribution to its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 Options</w:t>
      </w:r>
    </w:p>
    <w:p>
      <w:pPr>
        <w:spacing w:after="0" w:line="121"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In May 2006, the Company adopted the 2006 Employee, Director, and Consultant Stock Plan (the “2006 Incentive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831,388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9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In February 2016, the Company adopted the 2016 Equity Incentive Plan (“2016 Incentive Plan”) as a successor to and continuation of the 2006 Incentive Plan. As of February 2016, no additional stock awards may be granted under the 2006 Incentive Plan and any unallocated shares remaining available for issuance pursuant to the exercise of options or issuance or settlement of stock awards not previously granted under the 2006 Incentive Plan will cease to be available under the 2006 Incentive Plan and will be added to the share reserve of the 2016 Incentive Plan and be immediately available for issuance pursuant to the stock awards granted in the 2016 Incentive Plan. In addition, all outstanding stock awards granted under the 2006 Incentive Plan will remain subject to the terms of the 2006 Incentive Plan unless they expire, terminate or are forfeited, cancelled or otherwise returned to the Company and will immediately be added to the share reserve and become available for issuance under the 2016 Plan.</w:t>
      </w:r>
    </w:p>
    <w:p>
      <w:pPr>
        <w:spacing w:after="0" w:line="16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Under the 2016 Incentive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1,431,964 total shares, plus any shares subject to outstanding stock awards granted under the 2006 Incentive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459" w:right="3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2017</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0.42</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1.43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options outstanding and exercisable as of December 31, 2019 (in thousands, except price):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360" w:type="dxa"/>
            <w:vAlign w:val="bottom"/>
          </w:tcPr>
          <w:p>
            <w:pPr>
              <w:spacing w:after="0"/>
              <w:rPr>
                <w:sz w:val="14"/>
                <w:szCs w:val="14"/>
                <w:color w:val="auto"/>
              </w:rPr>
            </w:pPr>
          </w:p>
        </w:tc>
        <w:tc>
          <w:tcPr>
            <w:tcW w:w="14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8"/>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Exercise Prices</w:t>
            </w:r>
          </w:p>
        </w:tc>
        <w:tc>
          <w:tcPr>
            <w:tcW w:w="6280" w:type="dxa"/>
            <w:vAlign w:val="bottom"/>
            <w:gridSpan w:val="2"/>
            <w:vMerge w:val="restart"/>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Life</w:t>
            </w:r>
          </w:p>
        </w:tc>
        <w:tc>
          <w:tcPr>
            <w:tcW w:w="36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7"/>
              </w:rPr>
              <w:t>(years)*</w:t>
            </w: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$0.42 – $0.84</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1,463</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$0.66</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spacing w:after="0"/>
              <w:rPr>
                <w:sz w:val="20"/>
                <w:szCs w:val="20"/>
                <w:color w:val="auto"/>
              </w:rPr>
            </w:pPr>
            <w:r>
              <w:rPr>
                <w:rFonts w:ascii="Arial" w:cs="Arial" w:eastAsia="Arial" w:hAnsi="Arial"/>
                <w:sz w:val="18"/>
                <w:szCs w:val="18"/>
                <w:color w:val="auto"/>
              </w:rPr>
              <w:t>$2.62 – $3.74</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3.39</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3.39</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$4.40 – $4.46</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4.40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6.83</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6.83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Total—December 31, 2019</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1,914</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2.44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Price and Life reflect the weighted average exercise price and weighted average remaining contractual life, respectively.</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There were 157,000 restricted stock units outstanding at December 31, 2019, none of which had vested as of December 31, 2019.</w:t>
      </w:r>
    </w:p>
    <w:p>
      <w:pPr>
        <w:spacing w:after="0" w:line="225"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 average assumptions (dollars in thousands):</w:t>
      </w:r>
    </w:p>
    <w:p>
      <w:pPr>
        <w:spacing w:after="0" w:line="189"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For the Years Ended</w:t>
      </w:r>
    </w:p>
    <w:p>
      <w:pPr>
        <w:jc w:val="center"/>
        <w:ind w:left="79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rate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expected life</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w w:val="85"/>
              </w:rPr>
              <w:t>5.58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5.94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Volatility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total options granted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r>
      <w:tr>
        <w:trPr>
          <w:trHeight w:val="365"/>
        </w:trPr>
        <w:tc>
          <w:tcPr>
            <w:tcW w:w="4320" w:type="dxa"/>
            <w:vAlign w:val="bottom"/>
          </w:tcPr>
          <w:p>
            <w:pPr>
              <w:spacing w:after="0"/>
              <w:rPr>
                <w:sz w:val="24"/>
                <w:szCs w:val="24"/>
                <w:color w:val="auto"/>
              </w:rPr>
            </w:pPr>
          </w:p>
        </w:tc>
        <w:tc>
          <w:tcPr>
            <w:tcW w:w="3900" w:type="dxa"/>
            <w:vAlign w:val="bottom"/>
            <w:gridSpan w:val="2"/>
          </w:tcPr>
          <w:p>
            <w:pPr>
              <w:jc w:val="right"/>
              <w:ind w:right="2420"/>
              <w:spacing w:after="0"/>
              <w:rPr>
                <w:sz w:val="20"/>
                <w:szCs w:val="20"/>
                <w:color w:val="auto"/>
              </w:rPr>
            </w:pPr>
            <w:r>
              <w:rPr>
                <w:rFonts w:ascii="Arial" w:cs="Arial" w:eastAsia="Arial" w:hAnsi="Arial"/>
                <w:sz w:val="18"/>
                <w:szCs w:val="18"/>
                <w:color w:val="auto"/>
              </w:rPr>
              <w:t>F-66</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table presents the impact of employee stock-based compensation expense on statements of income line items for the periods indicated (in thousands):</w:t>
      </w:r>
    </w:p>
    <w:p>
      <w:pPr>
        <w:spacing w:after="0" w:line="18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For the Years Ended</w:t>
      </w:r>
    </w:p>
    <w:p>
      <w:pPr>
        <w:jc w:val="center"/>
        <w:ind w:left="9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7"/>
        </w:trPr>
        <w:tc>
          <w:tcPr>
            <w:tcW w:w="6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0"/>
        </w:trPr>
        <w:tc>
          <w:tcPr>
            <w:tcW w:w="6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920" w:firstLine="449"/>
        <w:spacing w:after="0" w:line="277" w:lineRule="auto"/>
        <w:rPr>
          <w:sz w:val="20"/>
          <w:szCs w:val="20"/>
          <w:color w:val="auto"/>
        </w:rPr>
      </w:pPr>
      <w:r>
        <w:rPr>
          <w:rFonts w:ascii="Arial" w:cs="Arial" w:eastAsia="Arial" w:hAnsi="Arial"/>
          <w:sz w:val="18"/>
          <w:szCs w:val="18"/>
          <w:color w:val="auto"/>
        </w:rPr>
        <w:t>The unrecognized remaining stock-based compensation balance for shares issued inside of the Plan was approximately $0.3 million as of December 31, 2019 which will be amortized over the next three years.</w:t>
      </w:r>
    </w:p>
    <w:p>
      <w:pPr>
        <w:spacing w:after="0" w:line="170" w:lineRule="exact"/>
        <w:rPr>
          <w:sz w:val="20"/>
          <w:szCs w:val="20"/>
          <w:color w:val="auto"/>
        </w:rPr>
      </w:pPr>
    </w:p>
    <w:p>
      <w:pPr>
        <w:ind w:right="240" w:firstLine="449"/>
        <w:spacing w:after="0" w:line="272" w:lineRule="auto"/>
        <w:rPr>
          <w:sz w:val="20"/>
          <w:szCs w:val="20"/>
          <w:color w:val="auto"/>
        </w:rPr>
      </w:pPr>
      <w:r>
        <w:rPr>
          <w:rFonts w:ascii="Arial" w:cs="Arial" w:eastAsia="Arial" w:hAnsi="Arial"/>
          <w:sz w:val="17"/>
          <w:szCs w:val="17"/>
          <w:color w:val="auto"/>
        </w:rPr>
        <w:t>As of December 31, 2019, the Company has issued a total of 205,199 stock options outside the 2006 Incentive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December 31, 2019, 188,043 options outside of the 2006 Incentive Plan are outstanding and exercisable and have a weighted average exercise price of $11.52, a weighted average remaining life of six years, and were fully vested on the grant date. There was no unrecognized remaining stock-based compensation balance for shares issued outside of the 2006 Incentive Plan as of December 31,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459" w:right="3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Series D</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Series E</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Series 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95"/>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December 31,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312"/>
              <w:spacing w:after="0"/>
              <w:rPr>
                <w:sz w:val="20"/>
                <w:szCs w:val="20"/>
                <w:color w:val="auto"/>
              </w:rPr>
            </w:pPr>
            <w:r>
              <w:rPr>
                <w:rFonts w:ascii="Arial" w:cs="Arial" w:eastAsia="Arial" w:hAnsi="Arial"/>
                <w:sz w:val="18"/>
                <w:szCs w:val="18"/>
                <w:color w:val="auto"/>
                <w:w w:val="83"/>
              </w:rPr>
              <w:t>46 years</w:t>
            </w:r>
          </w:p>
        </w:tc>
        <w:tc>
          <w:tcPr>
            <w:tcW w:w="380" w:type="dxa"/>
            <w:vAlign w:val="bottom"/>
          </w:tcPr>
          <w:p>
            <w:pPr>
              <w:spacing w:after="0"/>
              <w:rPr>
                <w:sz w:val="18"/>
                <w:szCs w:val="18"/>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8"/>
                <w:szCs w:val="18"/>
                <w:color w:val="auto"/>
              </w:rPr>
              <w:t>8.0 years</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Company has evaluated all subsequent events through the auditors’ report date, which is the date the financial statements were available for issuance.</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the quarter ended March 31, 2020, the Company failed to meet the revenue requirements specified in the fifth amendment to the 2018 Notes. In accordance with the 2018 Notes, a cure of this failure can be achieved by receiving $10 million from the sale of the Company’s debt or equity securities, or a lesser amount if approved by the lender by June 30, 2020. If the Company does not receive this amount from the sale of the Company’s securities, amortization of payments for the 2018 Notes will become payable in 24 equal monthly installments beginning June 30, 2020. The Company intends to pursue the equity cure.</w:t>
      </w:r>
    </w:p>
    <w:p>
      <w:pPr>
        <w:spacing w:after="0" w:line="188"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In February 2020, the Company called the second mandatory closing of the December 2019 Notes for total cash proceeds of $3.0 million. In March 2020, the Company issued $10 million in convertible debt in two tranches of $5 million, with the first tranche being funded in March 2020. The terms of this debt were the same as the December 2019 Notes (see Note 6).</w:t>
      </w:r>
    </w:p>
    <w:p>
      <w:pPr>
        <w:spacing w:after="0" w:line="184"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financial statements do not reflect any adjustments as a result of the pandemic.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459" w:right="3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14—Reverse Stock Split</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On October 19, 2020, the Company obtained approval of an Amended and Restated Certificate of Incorporation effecting a 0.1684664-for-1 reverse stock split of its issued and outstanding common stock as converted. All common shares, stock options, and per share information presented in these financial statements and notes thereto have been adjusted, where applicable, to reflect the reverse stock split on a retroactive basis for all periods presented. The per share par value and authorized number of shares of the Company’s common stock were not adjusted as a result of the split.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80"/>
          </w:cols>
          <w:pgMar w:left="320" w:top="459" w:right="399" w:bottom="1440" w:gutter="0" w:footer="0" w:header="0"/>
        </w:sectPr>
      </w:pPr>
    </w:p>
    <w:bookmarkStart w:id="290" w:name="page291"/>
    <w:bookmarkEnd w:id="2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220345</wp:posOffset>
            </wp:positionV>
            <wp:extent cx="5366385" cy="69437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91" w:name="page292"/>
    <w:bookmarkEnd w:id="2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220345</wp:posOffset>
            </wp:positionV>
            <wp:extent cx="5366385" cy="69437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(FINRA), filing fee and Nasdaq Global Market initial listing fee.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10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9,933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14,200</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360,000</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1,625,000</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w:t>
            </w:r>
          </w:p>
        </w:tc>
      </w:tr>
      <w:tr>
        <w:trPr>
          <w:trHeight w:val="223"/>
        </w:trPr>
        <w:tc>
          <w:tcPr>
            <w:tcW w:w="102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1,320,867</w:t>
            </w:r>
          </w:p>
        </w:tc>
        <w:tc>
          <w:tcPr>
            <w:tcW w:w="60" w:type="dxa"/>
            <w:vAlign w:val="bottom"/>
          </w:tcPr>
          <w:p>
            <w:pPr>
              <w:spacing w:after="0"/>
              <w:rPr>
                <w:sz w:val="19"/>
                <w:szCs w:val="19"/>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4,000,000</w:t>
            </w:r>
          </w:p>
        </w:tc>
      </w:tr>
      <w:tr>
        <w:trPr>
          <w:trHeight w:val="20"/>
        </w:trPr>
        <w:tc>
          <w:tcPr>
            <w:tcW w:w="30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300" w:firstLine="449"/>
        <w:spacing w:after="0" w:line="293"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to be in effect upon the closing of this offering allows for our indemnification of our directors, officers, employees and other agents to the maximum extent permitted by the Delaware General Corporation Law, and our amended and restated bylaws to be in effect upon the closing of this offering provide for indemnification of our directors and executive officers to the maximum extent permitted by the Delaware General Corporation Law.</w:t>
      </w:r>
    </w:p>
    <w:p>
      <w:pPr>
        <w:spacing w:after="0" w:line="164" w:lineRule="exact"/>
        <w:rPr>
          <w:sz w:val="20"/>
          <w:szCs w:val="20"/>
          <w:color w:val="auto"/>
        </w:rPr>
      </w:pPr>
    </w:p>
    <w:p>
      <w:pPr>
        <w:jc w:val="both"/>
        <w:ind w:right="40" w:firstLine="449"/>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Biodesix, Inc., provided that such director or officer acted in good faith and in a manner that the director or officer reasonably believed to be in, or not opposed to, the best interest of Biodesix, Inc.</w:t>
      </w:r>
    </w:p>
    <w:p>
      <w:pPr>
        <w:spacing w:after="0" w:line="18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At present, there is no pending litigation or proceeding involving a director or officer of Biodesix, Inc. regarding which indemnification is sought, nor is the registrant aware of any threatened litigation that may result in claims for indemnification.</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underwriters are obligated, under certain circumstances, pursuant to the underwriting agreement to be filed as Exhibit 1.1 hereto, to indemnify us, our officers and our directors against liabilities under the Securities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2017.</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the Registrant sold an aggregate of 35,496,613 shares of Series G Preferred Stock to accredited investors, including to its directors and their respective affiliates, at a purchase price of $0.75 per share for an aggregate purchase price of approximately $26.6 million, including conversion of indebtedness.</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In June 2018, the Registrant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jc w:val="both"/>
        <w:ind w:right="400" w:firstLine="449"/>
        <w:spacing w:after="0" w:line="342" w:lineRule="auto"/>
        <w:rPr>
          <w:sz w:val="20"/>
          <w:szCs w:val="20"/>
          <w:color w:val="auto"/>
        </w:rPr>
      </w:pPr>
      <w:r>
        <w:rPr>
          <w:rFonts w:ascii="Arial" w:cs="Arial" w:eastAsia="Arial" w:hAnsi="Arial"/>
          <w:sz w:val="16"/>
          <w:szCs w:val="16"/>
          <w:color w:val="auto"/>
        </w:rPr>
        <w:t>In October 2018, February 2019 and May 2019, the Registrant sold an aggregate of 23,923,188 shares of Series H Preferred Stock to accredited investors at a purchase price of $1.15 per share for an aggregate purchase price of approximately $27.5 million, including conversion of indebtedness.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February 2018, the Registrant issued a warrant to purchase 613,333 shares of Series G Preferred Stock at an exercise price of $0.75 per share to a lender in connection with a loan agreement.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 Issuances</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December 2019, the Registrant issued $6.0 million in convertible debt (the December 2019 Notes) that was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In the event of a corporate transaction, the unpaid principal and accrued interest shall become immediately due and payable in the same form of consideration and on the same terms and conditions as the consideration to be received by the holders of the Registrant’s equity securities in such transaction. The holders of the December 2019 Notes include a number of the Registrant’s directors and their affiliates.</w:t>
      </w:r>
    </w:p>
    <w:p>
      <w:pPr>
        <w:spacing w:after="0" w:line="16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August and September 2019 the Registrant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320" w:top="459" w:right="3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this offering. The Registrant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Registrant in such transaction. The holders of the August 2019 Notes include a number of the Registrant’s directors and their affiliates. In connection with the issuance of the December 2019 Notes, the conversion price of the August 2019 Notes was amended to 80% of the price per share paid for the preferred stock in the Qualified Financing or common stock in an IPO.</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Restricted Stock Unit and Common Stock Issuances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From January 1, 2017 through October 15, 2020, the Registrant granted to certain of its directors, employees, consultants and other service providers options to purchase 2,668,934 shares of common stock with per share exercise prices ranging from $0.42 to $6.83 and have issued 160,265 shares of its common stock upon exercise of such options. From January 1, 2017 through October 15, 2020, the Registrant also granted an aggregate of 79,104 restricted stock units to certain of its directors. No shares of common stock have been issued upon vesting of such restricted stock units as of October 15, 2020.</w:t>
      </w:r>
    </w:p>
    <w:p>
      <w:pPr>
        <w:spacing w:after="0" w:line="18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40" w:type="dxa"/>
            <w:vAlign w:val="bottom"/>
            <w:gridSpan w:val="3"/>
            <w:vMerge w:val="restart"/>
          </w:tcPr>
          <w:p>
            <w:pPr>
              <w:ind w:left="2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Fifteenth Amended and Restated Certificate of Incorporation of Biodesix, Inc., as currently in effect.</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color w:val="0000EE"/>
              </w:rPr>
            </w:pPr>
            <w:hyperlink w:anchor="page347">
              <w:r>
                <w:rPr>
                  <w:rFonts w:ascii="Arial" w:cs="Arial" w:eastAsia="Arial" w:hAnsi="Arial"/>
                  <w:sz w:val="18"/>
                  <w:szCs w:val="18"/>
                  <w:u w:val="single" w:color="auto"/>
                  <w:color w:val="0000EE"/>
                </w:rPr>
                <w:t>Certificate of Amendment of the Fifteenth Amended and Restated Certificate of Incorporation of Biodesix,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w w:val="99"/>
              </w:rPr>
            </w:pPr>
            <w:hyperlink w:anchor="page350">
              <w:r>
                <w:rPr>
                  <w:rFonts w:ascii="Arial" w:cs="Arial" w:eastAsia="Arial" w:hAnsi="Arial"/>
                  <w:sz w:val="18"/>
                  <w:szCs w:val="18"/>
                  <w:u w:val="single" w:color="auto"/>
                  <w:color w:val="0000EE"/>
                  <w:w w:val="99"/>
                </w:rPr>
                <w:t>Form of Amended and Restated Certificate of Incorporation of Biodesix, Inc., to be in effect upon the closing of the offering.</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Amended and Restated Bylaws of Biodesix, Inc., as currently in effect.</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w:anchor="page360">
              <w:r>
                <w:rPr>
                  <w:rFonts w:ascii="Arial" w:cs="Arial" w:eastAsia="Arial" w:hAnsi="Arial"/>
                  <w:sz w:val="18"/>
                  <w:szCs w:val="18"/>
                  <w:u w:val="single" w:color="auto"/>
                  <w:color w:val="0000EE"/>
                </w:rPr>
                <w:t>Form of Amended and Restated Bylaws of Biodesix, Inc., to be in effect upon the closing of the offering.</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color w:val="0000EE"/>
              </w:rPr>
            </w:pPr>
            <w:hyperlink w:anchor="page384">
              <w:r>
                <w:rPr>
                  <w:rFonts w:ascii="Arial" w:cs="Arial" w:eastAsia="Arial" w:hAnsi="Arial"/>
                  <w:sz w:val="18"/>
                  <w:szCs w:val="18"/>
                  <w:u w:val="single" w:color="auto"/>
                  <w:color w:val="0000EE"/>
                </w:rPr>
                <w:t>Specimen stock certificate evidencing shares of Common Stock</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83"/>
        </w:trPr>
        <w:tc>
          <w:tcPr>
            <w:tcW w:w="480" w:type="dxa"/>
            <w:vAlign w:val="bottom"/>
            <w:gridSpan w:val="2"/>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Arial" w:cs="Arial" w:eastAsia="Arial" w:hAnsi="Arial"/>
                <w:sz w:val="18"/>
                <w:szCs w:val="18"/>
                <w:color w:val="0000EE"/>
                <w:w w:val="90"/>
              </w:rPr>
            </w:pPr>
            <w:hyperlink r:id="rId370">
              <w:r>
                <w:rPr>
                  <w:rFonts w:ascii="Arial" w:cs="Arial" w:eastAsia="Arial" w:hAnsi="Arial"/>
                  <w:sz w:val="18"/>
                  <w:szCs w:val="18"/>
                  <w:color w:val="0000EE"/>
                  <w:w w:val="90"/>
                </w:rPr>
                <w:t>Eleventh Amended and Restated Investor Rights Agreement, by and among Biodesix, Inc. and the investors listed on Exhibit A thereto,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370">
              <w:r>
                <w:rPr>
                  <w:rFonts w:ascii="Arial" w:cs="Arial" w:eastAsia="Arial" w:hAnsi="Arial"/>
                  <w:sz w:val="18"/>
                  <w:szCs w:val="18"/>
                  <w:color w:val="0000EE"/>
                  <w:w w:val="88"/>
                </w:rPr>
                <w:t>dated October 10, 2018.</w:t>
              </w:r>
            </w:hyperlink>
          </w:p>
        </w:tc>
        <w:tc>
          <w:tcPr>
            <w:tcW w:w="8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w w:val="97"/>
              </w:rPr>
            </w:pPr>
            <w:hyperlink r:id="rId371">
              <w:r>
                <w:rPr>
                  <w:rFonts w:ascii="Arial" w:cs="Arial" w:eastAsia="Arial" w:hAnsi="Arial"/>
                  <w:sz w:val="18"/>
                  <w:szCs w:val="18"/>
                  <w:u w:val="single" w:color="auto"/>
                  <w:color w:val="0000EE"/>
                  <w:w w:val="97"/>
                </w:rPr>
                <w:t>Warrant held by Innovatus Life Sciences Lending Fund I, LP, to Purchase Series G Preferred Stock, dated February 23, 3018.</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r:id="rId372">
              <w:r>
                <w:rPr>
                  <w:rFonts w:ascii="Arial" w:cs="Arial" w:eastAsia="Arial" w:hAnsi="Arial"/>
                  <w:sz w:val="18"/>
                  <w:szCs w:val="18"/>
                  <w:u w:val="single" w:color="auto"/>
                  <w:color w:val="0000EE"/>
                </w:rPr>
                <w:t>Secured Promissory Note held by Innovatus Life Sciences Lending Fund I, LP, in Biodesix, Inc., dated February 23, 2018.</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w:anchor="page386">
              <w:r>
                <w:rPr>
                  <w:rFonts w:ascii="Arial" w:cs="Arial" w:eastAsia="Arial" w:hAnsi="Arial"/>
                  <w:sz w:val="18"/>
                  <w:szCs w:val="18"/>
                  <w:u w:val="single" w:color="auto"/>
                  <w:color w:val="0000EE"/>
                </w:rPr>
                <w:t>Form of Opinion of Sidley Austin LLP.</w:t>
              </w:r>
            </w:hyperlink>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40" w:type="dxa"/>
            <w:vAlign w:val="bottom"/>
            <w:gridSpan w:val="3"/>
          </w:tcPr>
          <w:p>
            <w:pPr>
              <w:ind w:left="260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Exhibit</w:t>
            </w:r>
          </w:p>
        </w:tc>
        <w:tc>
          <w:tcPr>
            <w:tcW w:w="1800" w:type="dxa"/>
            <w:vAlign w:val="bottom"/>
          </w:tcPr>
          <w:p>
            <w:pPr>
              <w:spacing w:after="0"/>
              <w:rPr>
                <w:sz w:val="14"/>
                <w:szCs w:val="14"/>
                <w:color w:val="auto"/>
              </w:rPr>
            </w:pPr>
          </w:p>
        </w:tc>
        <w:tc>
          <w:tcPr>
            <w:tcW w:w="8060" w:type="dxa"/>
            <w:vAlign w:val="bottom"/>
            <w:gridSpan w:val="5"/>
            <w:vMerge w:val="restart"/>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74">
              <w:r>
                <w:rPr>
                  <w:rFonts w:ascii="Arial" w:cs="Arial" w:eastAsia="Arial" w:hAnsi="Arial"/>
                  <w:sz w:val="18"/>
                  <w:szCs w:val="18"/>
                  <w:u w:val="single" w:color="auto"/>
                  <w:color w:val="0000EE"/>
                </w:rPr>
                <w:t>Biodesix, Inc. Amended and Restated 2006 Employee, Director and Consultant Stock Plan, as amended to date.</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10.2.1+#</w:t>
            </w:r>
          </w:p>
        </w:tc>
        <w:tc>
          <w:tcPr>
            <w:tcW w:w="9860" w:type="dxa"/>
            <w:vAlign w:val="bottom"/>
            <w:gridSpan w:val="6"/>
          </w:tcPr>
          <w:p>
            <w:pPr>
              <w:spacing w:after="0"/>
              <w:rPr>
                <w:rFonts w:ascii="Arial" w:cs="Arial" w:eastAsia="Arial" w:hAnsi="Arial"/>
                <w:sz w:val="18"/>
                <w:szCs w:val="18"/>
                <w:u w:val="single" w:color="auto"/>
                <w:color w:val="0000EE"/>
              </w:rPr>
            </w:pPr>
            <w:hyperlink r:id="rId375">
              <w:r>
                <w:rPr>
                  <w:rFonts w:ascii="Arial" w:cs="Arial" w:eastAsia="Arial" w:hAnsi="Arial"/>
                  <w:sz w:val="18"/>
                  <w:szCs w:val="18"/>
                  <w:u w:val="single" w:color="auto"/>
                  <w:color w:val="0000EE"/>
                </w:rPr>
                <w:t>Form of Stock Option Grant Notice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10.2.2+#</w:t>
            </w:r>
          </w:p>
        </w:tc>
        <w:tc>
          <w:tcPr>
            <w:tcW w:w="9860" w:type="dxa"/>
            <w:vAlign w:val="bottom"/>
            <w:gridSpan w:val="6"/>
          </w:tcPr>
          <w:p>
            <w:pPr>
              <w:spacing w:after="0"/>
              <w:rPr>
                <w:rFonts w:ascii="Arial" w:cs="Arial" w:eastAsia="Arial" w:hAnsi="Arial"/>
                <w:sz w:val="18"/>
                <w:szCs w:val="18"/>
                <w:u w:val="single" w:color="auto"/>
                <w:color w:val="0000EE"/>
              </w:rPr>
            </w:pPr>
            <w:hyperlink r:id="rId376">
              <w:r>
                <w:rPr>
                  <w:rFonts w:ascii="Arial" w:cs="Arial" w:eastAsia="Arial" w:hAnsi="Arial"/>
                  <w:sz w:val="18"/>
                  <w:szCs w:val="18"/>
                  <w:u w:val="single" w:color="auto"/>
                  <w:color w:val="0000EE"/>
                </w:rPr>
                <w:t>Form of Option Agreement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10.2.3+#</w:t>
            </w:r>
          </w:p>
        </w:tc>
        <w:tc>
          <w:tcPr>
            <w:tcW w:w="9860" w:type="dxa"/>
            <w:vAlign w:val="bottom"/>
            <w:gridSpan w:val="6"/>
          </w:tcPr>
          <w:p>
            <w:pPr>
              <w:spacing w:after="0"/>
              <w:rPr>
                <w:rFonts w:ascii="Arial" w:cs="Arial" w:eastAsia="Arial" w:hAnsi="Arial"/>
                <w:sz w:val="18"/>
                <w:szCs w:val="18"/>
                <w:u w:val="single" w:color="auto"/>
                <w:color w:val="0000EE"/>
              </w:rPr>
            </w:pPr>
            <w:hyperlink r:id="rId377">
              <w:r>
                <w:rPr>
                  <w:rFonts w:ascii="Arial" w:cs="Arial" w:eastAsia="Arial" w:hAnsi="Arial"/>
                  <w:sz w:val="18"/>
                  <w:szCs w:val="18"/>
                  <w:u w:val="single" w:color="auto"/>
                  <w:color w:val="0000EE"/>
                </w:rPr>
                <w:t>Form of Notice of Exercise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Biodesix, Inc. 2016 Equity Incentive Plan, as amended to date.</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10.4.1+#</w:t>
            </w:r>
          </w:p>
        </w:tc>
        <w:tc>
          <w:tcPr>
            <w:tcW w:w="9860" w:type="dxa"/>
            <w:vAlign w:val="bottom"/>
            <w:gridSpan w:val="6"/>
          </w:tcPr>
          <w:p>
            <w:pPr>
              <w:spacing w:after="0"/>
              <w:rPr>
                <w:rFonts w:ascii="Arial" w:cs="Arial" w:eastAsia="Arial" w:hAnsi="Arial"/>
                <w:sz w:val="18"/>
                <w:szCs w:val="18"/>
                <w:u w:val="single" w:color="auto"/>
                <w:color w:val="0000EE"/>
              </w:rPr>
            </w:pPr>
            <w:hyperlink r:id="rId379">
              <w:r>
                <w:rPr>
                  <w:rFonts w:ascii="Arial" w:cs="Arial" w:eastAsia="Arial" w:hAnsi="Arial"/>
                  <w:sz w:val="18"/>
                  <w:szCs w:val="18"/>
                  <w:u w:val="single" w:color="auto"/>
                  <w:color w:val="0000EE"/>
                </w:rPr>
                <w:t>Form of Stock Option Grant Notice under the 2016 Equity Incentive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10.4.2+#</w:t>
            </w:r>
          </w:p>
        </w:tc>
        <w:tc>
          <w:tcPr>
            <w:tcW w:w="9860" w:type="dxa"/>
            <w:vAlign w:val="bottom"/>
            <w:gridSpan w:val="6"/>
          </w:tcPr>
          <w:p>
            <w:pPr>
              <w:spacing w:after="0"/>
              <w:rPr>
                <w:rFonts w:ascii="Arial" w:cs="Arial" w:eastAsia="Arial" w:hAnsi="Arial"/>
                <w:sz w:val="18"/>
                <w:szCs w:val="18"/>
                <w:u w:val="single" w:color="auto"/>
                <w:color w:val="0000EE"/>
              </w:rPr>
            </w:pPr>
            <w:hyperlink r:id="rId380">
              <w:r>
                <w:rPr>
                  <w:rFonts w:ascii="Arial" w:cs="Arial" w:eastAsia="Arial" w:hAnsi="Arial"/>
                  <w:sz w:val="18"/>
                  <w:szCs w:val="18"/>
                  <w:u w:val="single" w:color="auto"/>
                  <w:color w:val="0000EE"/>
                </w:rPr>
                <w:t>Form of Option Agreement under the 2016 Equity Incentive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10.4.3+#</w:t>
            </w:r>
          </w:p>
        </w:tc>
        <w:tc>
          <w:tcPr>
            <w:tcW w:w="9860" w:type="dxa"/>
            <w:vAlign w:val="bottom"/>
            <w:gridSpan w:val="6"/>
          </w:tcPr>
          <w:p>
            <w:pPr>
              <w:spacing w:after="0"/>
              <w:rPr>
                <w:rFonts w:ascii="Arial" w:cs="Arial" w:eastAsia="Arial" w:hAnsi="Arial"/>
                <w:sz w:val="18"/>
                <w:szCs w:val="18"/>
                <w:u w:val="single" w:color="auto"/>
                <w:color w:val="0000EE"/>
              </w:rPr>
            </w:pPr>
            <w:hyperlink r:id="rId381">
              <w:r>
                <w:rPr>
                  <w:rFonts w:ascii="Arial" w:cs="Arial" w:eastAsia="Arial" w:hAnsi="Arial"/>
                  <w:sz w:val="18"/>
                  <w:szCs w:val="18"/>
                  <w:u w:val="single" w:color="auto"/>
                  <w:color w:val="0000EE"/>
                </w:rPr>
                <w:t>Form of Notice of Exercise under the 2016 Equity Incentive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10.5.1+#</w:t>
            </w:r>
          </w:p>
        </w:tc>
        <w:tc>
          <w:tcPr>
            <w:tcW w:w="9860" w:type="dxa"/>
            <w:vAlign w:val="bottom"/>
            <w:gridSpan w:val="6"/>
          </w:tcPr>
          <w:p>
            <w:pPr>
              <w:spacing w:after="0"/>
              <w:rPr>
                <w:rFonts w:ascii="Arial" w:cs="Arial" w:eastAsia="Arial" w:hAnsi="Arial"/>
                <w:sz w:val="18"/>
                <w:szCs w:val="18"/>
                <w:color w:val="0000EE"/>
              </w:rPr>
            </w:pPr>
            <w:hyperlink r:id="rId382">
              <w:r>
                <w:rPr>
                  <w:rFonts w:ascii="Arial" w:cs="Arial" w:eastAsia="Arial" w:hAnsi="Arial"/>
                  <w:sz w:val="18"/>
                  <w:szCs w:val="18"/>
                  <w:u w:val="single" w:color="auto"/>
                  <w:color w:val="0000EE"/>
                </w:rPr>
                <w:t>Biodesix, Inc., First Amended Bonus-to-Options Program, adopted by the Board of Directors on October 15, 2010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10.5.2+#</w:t>
            </w:r>
          </w:p>
        </w:tc>
        <w:tc>
          <w:tcPr>
            <w:tcW w:w="9860" w:type="dxa"/>
            <w:vAlign w:val="bottom"/>
            <w:gridSpan w:val="6"/>
          </w:tcPr>
          <w:p>
            <w:pPr>
              <w:spacing w:after="0"/>
              <w:rPr>
                <w:rFonts w:ascii="Arial" w:cs="Arial" w:eastAsia="Arial" w:hAnsi="Arial"/>
                <w:sz w:val="18"/>
                <w:szCs w:val="18"/>
                <w:u w:val="single" w:color="auto"/>
                <w:color w:val="0000EE"/>
              </w:rPr>
            </w:pPr>
            <w:hyperlink r:id="rId383">
              <w:r>
                <w:rPr>
                  <w:rFonts w:ascii="Arial" w:cs="Arial" w:eastAsia="Arial" w:hAnsi="Arial"/>
                  <w:sz w:val="18"/>
                  <w:szCs w:val="18"/>
                  <w:u w:val="single" w:color="auto"/>
                  <w:color w:val="0000EE"/>
                </w:rPr>
                <w:t>Biodesix, Inc., Second Amended Bonus-to-Options Program, adopted by the Board of Directors on June 21, 2011.</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10.5.3+#</w:t>
            </w:r>
          </w:p>
        </w:tc>
        <w:tc>
          <w:tcPr>
            <w:tcW w:w="9860" w:type="dxa"/>
            <w:vAlign w:val="bottom"/>
            <w:gridSpan w:val="6"/>
          </w:tcPr>
          <w:p>
            <w:pPr>
              <w:spacing w:after="0"/>
              <w:rPr>
                <w:rFonts w:ascii="Arial" w:cs="Arial" w:eastAsia="Arial" w:hAnsi="Arial"/>
                <w:sz w:val="18"/>
                <w:szCs w:val="18"/>
                <w:color w:val="0000EE"/>
              </w:rPr>
            </w:pPr>
            <w:hyperlink r:id="rId384">
              <w:r>
                <w:rPr>
                  <w:rFonts w:ascii="Arial" w:cs="Arial" w:eastAsia="Arial" w:hAnsi="Arial"/>
                  <w:sz w:val="18"/>
                  <w:szCs w:val="18"/>
                  <w:u w:val="single" w:color="auto"/>
                  <w:color w:val="0000EE"/>
                </w:rPr>
                <w:t>Biodesix, Inc., Third Amended Bonus-to-Options Program, adopted by the Board of Directors on December 31, 2015</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10.6.1+#</w:t>
            </w:r>
          </w:p>
        </w:tc>
        <w:tc>
          <w:tcPr>
            <w:tcW w:w="9860" w:type="dxa"/>
            <w:vAlign w:val="bottom"/>
            <w:gridSpan w:val="6"/>
          </w:tcPr>
          <w:p>
            <w:pPr>
              <w:spacing w:after="0"/>
              <w:rPr>
                <w:rFonts w:ascii="Arial" w:cs="Arial" w:eastAsia="Arial" w:hAnsi="Arial"/>
                <w:sz w:val="18"/>
                <w:szCs w:val="18"/>
                <w:u w:val="single" w:color="auto"/>
                <w:color w:val="0000EE"/>
              </w:rPr>
            </w:pPr>
            <w:hyperlink r:id="rId385">
              <w:r>
                <w:rPr>
                  <w:rFonts w:ascii="Arial" w:cs="Arial" w:eastAsia="Arial" w:hAnsi="Arial"/>
                  <w:sz w:val="18"/>
                  <w:szCs w:val="18"/>
                  <w:u w:val="single" w:color="auto"/>
                  <w:color w:val="0000EE"/>
                </w:rPr>
                <w:t>Form of Stock Option Grant Notice under the Biodesix, Inc. Bonus-To-Options Program.</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10.6.2+#</w:t>
            </w:r>
          </w:p>
        </w:tc>
        <w:tc>
          <w:tcPr>
            <w:tcW w:w="9860" w:type="dxa"/>
            <w:vAlign w:val="bottom"/>
            <w:gridSpan w:val="6"/>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Form of Option Agreement under the Biodesix, Inc. Bonus-To-Options Program.</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Form of Indemnification Agreement, by and between Biodesix, Inc. and each of its directors and executive officers.</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10.8.1†+#</w:t>
            </w:r>
          </w:p>
        </w:tc>
        <w:tc>
          <w:tcPr>
            <w:tcW w:w="9860" w:type="dxa"/>
            <w:vAlign w:val="bottom"/>
            <w:gridSpan w:val="6"/>
          </w:tcPr>
          <w:p>
            <w:pPr>
              <w:spacing w:after="0"/>
              <w:rPr>
                <w:rFonts w:ascii="Arial" w:cs="Arial" w:eastAsia="Arial" w:hAnsi="Arial"/>
                <w:sz w:val="18"/>
                <w:szCs w:val="18"/>
                <w:u w:val="single" w:color="auto"/>
                <w:color w:val="0000EE"/>
              </w:rPr>
            </w:pPr>
            <w:hyperlink r:id="rId388">
              <w:r>
                <w:rPr>
                  <w:rFonts w:ascii="Arial" w:cs="Arial" w:eastAsia="Arial" w:hAnsi="Arial"/>
                  <w:sz w:val="18"/>
                  <w:szCs w:val="18"/>
                  <w:u w:val="single" w:color="auto"/>
                  <w:color w:val="0000EE"/>
                </w:rPr>
                <w:t>Executive Employment Letter, by and between Biodesix, Inc. and Scott Hutton, dated February 16, 2018.</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10.8.2†+#</w:t>
            </w:r>
          </w:p>
        </w:tc>
        <w:tc>
          <w:tcPr>
            <w:tcW w:w="9860" w:type="dxa"/>
            <w:vAlign w:val="bottom"/>
            <w:gridSpan w:val="6"/>
          </w:tcPr>
          <w:p>
            <w:pPr>
              <w:spacing w:after="0"/>
              <w:rPr>
                <w:rFonts w:ascii="Arial" w:cs="Arial" w:eastAsia="Arial" w:hAnsi="Arial"/>
                <w:sz w:val="18"/>
                <w:szCs w:val="18"/>
                <w:u w:val="single" w:color="auto"/>
                <w:color w:val="0000EE"/>
              </w:rPr>
            </w:pPr>
            <w:hyperlink r:id="rId389">
              <w:r>
                <w:rPr>
                  <w:rFonts w:ascii="Arial" w:cs="Arial" w:eastAsia="Arial" w:hAnsi="Arial"/>
                  <w:sz w:val="18"/>
                  <w:szCs w:val="18"/>
                  <w:u w:val="single" w:color="auto"/>
                  <w:color w:val="0000EE"/>
                </w:rPr>
                <w:t>Executive Employment Letter, by and between Biodesix, Inc. and Scott Hutton, dated February 23,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10.9.1†+#</w:t>
            </w:r>
          </w:p>
        </w:tc>
        <w:tc>
          <w:tcPr>
            <w:tcW w:w="9860" w:type="dxa"/>
            <w:vAlign w:val="bottom"/>
            <w:gridSpan w:val="6"/>
          </w:tcPr>
          <w:p>
            <w:pPr>
              <w:spacing w:after="0"/>
              <w:rPr>
                <w:rFonts w:ascii="Arial" w:cs="Arial" w:eastAsia="Arial" w:hAnsi="Arial"/>
                <w:sz w:val="18"/>
                <w:szCs w:val="18"/>
                <w:color w:val="0000EE"/>
              </w:rPr>
            </w:pPr>
            <w:hyperlink r:id="rId390">
              <w:r>
                <w:rPr>
                  <w:rFonts w:ascii="Arial" w:cs="Arial" w:eastAsia="Arial" w:hAnsi="Arial"/>
                  <w:sz w:val="18"/>
                  <w:szCs w:val="18"/>
                  <w:u w:val="single" w:color="auto"/>
                  <w:color w:val="0000EE"/>
                </w:rPr>
                <w:t>Employment Letter, by and between Biodesix, Inc. and Robin Harper Cowie, dated March 11, 2011</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10.9.2†+#</w:t>
            </w:r>
          </w:p>
        </w:tc>
        <w:tc>
          <w:tcPr>
            <w:tcW w:w="9860" w:type="dxa"/>
            <w:vAlign w:val="bottom"/>
            <w:gridSpan w:val="6"/>
          </w:tcPr>
          <w:p>
            <w:pPr>
              <w:spacing w:after="0"/>
              <w:rPr>
                <w:rFonts w:ascii="Arial" w:cs="Arial" w:eastAsia="Arial" w:hAnsi="Arial"/>
                <w:sz w:val="18"/>
                <w:szCs w:val="18"/>
                <w:color w:val="0000EE"/>
              </w:rPr>
            </w:pPr>
            <w:hyperlink r:id="rId391">
              <w:r>
                <w:rPr>
                  <w:rFonts w:ascii="Arial" w:cs="Arial" w:eastAsia="Arial" w:hAnsi="Arial"/>
                  <w:sz w:val="18"/>
                  <w:szCs w:val="18"/>
                  <w:u w:val="single" w:color="auto"/>
                  <w:color w:val="0000EE"/>
                </w:rPr>
                <w:t>Executive Employment Letter, by and between Biodesix, Inc. and Robin Harper Cowie, dated February 23,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10.10+#</w:t>
            </w:r>
          </w:p>
        </w:tc>
        <w:tc>
          <w:tcPr>
            <w:tcW w:w="50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EE"/>
              </w:rPr>
            </w:pPr>
            <w:hyperlink r:id="rId392">
              <w:r>
                <w:rPr>
                  <w:rFonts w:ascii="Arial" w:cs="Arial" w:eastAsia="Arial" w:hAnsi="Arial"/>
                  <w:sz w:val="18"/>
                  <w:szCs w:val="18"/>
                  <w:u w:val="single" w:color="auto"/>
                  <w:color w:val="0000EE"/>
                </w:rPr>
                <w:t>Consulting Agreement, by and between David Brunel and Biodesix, Inc., dated September 19,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10.11†#</w:t>
            </w:r>
          </w:p>
        </w:tc>
        <w:tc>
          <w:tcPr>
            <w:tcW w:w="9860" w:type="dxa"/>
            <w:vAlign w:val="bottom"/>
            <w:gridSpan w:val="6"/>
          </w:tcPr>
          <w:p>
            <w:pPr>
              <w:spacing w:after="0"/>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Office Lease between Aero-Tech Investments, LLC and Biodesix, Inc., dated October 5, 2011.</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10.12†#</w:t>
            </w:r>
          </w:p>
        </w:tc>
        <w:tc>
          <w:tcPr>
            <w:tcW w:w="9860" w:type="dxa"/>
            <w:vAlign w:val="bottom"/>
            <w:gridSpan w:val="6"/>
          </w:tcPr>
          <w:p>
            <w:pPr>
              <w:spacing w:after="0"/>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Lease Assignment of De Soto Facility, dated November 1, 2019.</w:t>
              </w:r>
            </w:hyperlink>
          </w:p>
        </w:tc>
        <w:tc>
          <w:tcPr>
            <w:tcW w:w="0" w:type="dxa"/>
            <w:vAlign w:val="bottom"/>
          </w:tcPr>
          <w:p>
            <w:pPr>
              <w:spacing w:after="0"/>
              <w:rPr>
                <w:sz w:val="1"/>
                <w:szCs w:val="1"/>
                <w:color w:val="auto"/>
              </w:rPr>
            </w:pPr>
          </w:p>
        </w:tc>
      </w:tr>
      <w:tr>
        <w:trPr>
          <w:trHeight w:val="283"/>
        </w:trPr>
        <w:tc>
          <w:tcPr>
            <w:tcW w:w="1140" w:type="dxa"/>
            <w:vAlign w:val="bottom"/>
            <w:gridSpan w:val="3"/>
          </w:tcPr>
          <w:p>
            <w:pPr>
              <w:spacing w:after="0"/>
              <w:rPr>
                <w:sz w:val="20"/>
                <w:szCs w:val="20"/>
                <w:color w:val="auto"/>
              </w:rPr>
            </w:pPr>
            <w:r>
              <w:rPr>
                <w:rFonts w:ascii="Arial" w:cs="Arial" w:eastAsia="Arial" w:hAnsi="Arial"/>
                <w:sz w:val="18"/>
                <w:szCs w:val="18"/>
                <w:color w:val="auto"/>
              </w:rPr>
              <w:t>10.13.1†#</w:t>
            </w:r>
          </w:p>
        </w:tc>
        <w:tc>
          <w:tcPr>
            <w:tcW w:w="9860" w:type="dxa"/>
            <w:vAlign w:val="bottom"/>
            <w:tcBorders>
              <w:bottom w:val="single" w:sz="8" w:color="0000EE"/>
            </w:tcBorders>
            <w:gridSpan w:val="6"/>
          </w:tcPr>
          <w:p>
            <w:pPr>
              <w:spacing w:after="0"/>
              <w:rPr>
                <w:rFonts w:ascii="Arial" w:cs="Arial" w:eastAsia="Arial" w:hAnsi="Arial"/>
                <w:sz w:val="18"/>
                <w:szCs w:val="18"/>
                <w:color w:val="0000EE"/>
                <w:w w:val="90"/>
              </w:rPr>
            </w:pPr>
            <w:hyperlink r:id="rId395">
              <w:r>
                <w:rPr>
                  <w:rFonts w:ascii="Arial" w:cs="Arial" w:eastAsia="Arial" w:hAnsi="Arial"/>
                  <w:sz w:val="18"/>
                  <w:szCs w:val="18"/>
                  <w:color w:val="0000EE"/>
                  <w:w w:val="90"/>
                </w:rPr>
                <w:t>Loan and Security Agreement, by and among Innovatus Life Sciences Lending Fund I, LP, the Lenders listed therein, and Biodesix, Inc.,</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rPr>
            </w:pPr>
            <w:hyperlink r:id="rId395">
              <w:r>
                <w:rPr>
                  <w:rFonts w:ascii="Arial" w:cs="Arial" w:eastAsia="Arial" w:hAnsi="Arial"/>
                  <w:sz w:val="18"/>
                  <w:szCs w:val="18"/>
                  <w:color w:val="0000EE"/>
                </w:rPr>
                <w:t>dated February 23, 2018.</w:t>
              </w:r>
            </w:hyperlink>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10.13.2†#</w:t>
            </w:r>
          </w:p>
        </w:tc>
        <w:tc>
          <w:tcPr>
            <w:tcW w:w="9860" w:type="dxa"/>
            <w:vAlign w:val="bottom"/>
            <w:gridSpan w:val="6"/>
          </w:tcPr>
          <w:p>
            <w:pPr>
              <w:spacing w:after="0"/>
              <w:rPr>
                <w:rFonts w:ascii="Arial" w:cs="Arial" w:eastAsia="Arial" w:hAnsi="Arial"/>
                <w:sz w:val="18"/>
                <w:szCs w:val="18"/>
                <w:color w:val="0000EE"/>
                <w:w w:val="91"/>
              </w:rPr>
            </w:pPr>
            <w:hyperlink r:id="rId396">
              <w:r>
                <w:rPr>
                  <w:rFonts w:ascii="Arial" w:cs="Arial" w:eastAsia="Arial" w:hAnsi="Arial"/>
                  <w:sz w:val="18"/>
                  <w:szCs w:val="18"/>
                  <w:color w:val="0000EE"/>
                  <w:w w:val="91"/>
                </w:rPr>
                <w:t>Limited Consent Agreement and Second Amendment to Loan and Security Agreement, by and among Innovatus Life Sciences Lending</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96">
              <w:r>
                <w:rPr>
                  <w:rFonts w:ascii="Arial" w:cs="Arial" w:eastAsia="Arial" w:hAnsi="Arial"/>
                  <w:sz w:val="18"/>
                  <w:szCs w:val="18"/>
                  <w:color w:val="0000EE"/>
                </w:rPr>
                <w:t>Fund I, LP, the Lenders listed therein, and Biodesix, Inc., dated June 30, 2018, as amended to date.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40" w:type="dxa"/>
            <w:vAlign w:val="bottom"/>
            <w:gridSpan w:val="2"/>
          </w:tcPr>
          <w:p>
            <w:pPr>
              <w:spacing w:after="0"/>
              <w:rPr>
                <w:sz w:val="20"/>
                <w:szCs w:val="20"/>
                <w:color w:val="auto"/>
              </w:rPr>
            </w:pPr>
            <w:r>
              <w:rPr>
                <w:rFonts w:ascii="Arial" w:cs="Arial" w:eastAsia="Arial" w:hAnsi="Arial"/>
                <w:sz w:val="18"/>
                <w:szCs w:val="18"/>
                <w:color w:val="auto"/>
              </w:rPr>
              <w:t>10.14#</w:t>
            </w:r>
          </w:p>
        </w:tc>
        <w:tc>
          <w:tcPr>
            <w:tcW w:w="500" w:type="dxa"/>
            <w:vAlign w:val="bottom"/>
          </w:tcPr>
          <w:p>
            <w:pPr>
              <w:spacing w:after="0"/>
              <w:rPr>
                <w:sz w:val="24"/>
                <w:szCs w:val="24"/>
                <w:color w:val="auto"/>
              </w:rPr>
            </w:pPr>
          </w:p>
        </w:tc>
        <w:tc>
          <w:tcPr>
            <w:tcW w:w="7100" w:type="dxa"/>
            <w:vAlign w:val="bottom"/>
            <w:tcBorders>
              <w:top w:val="single" w:sz="8" w:color="0000EE"/>
            </w:tcBorders>
            <w:gridSpan w:val="4"/>
          </w:tcPr>
          <w:p>
            <w:pPr>
              <w:spacing w:after="0"/>
              <w:rPr>
                <w:rFonts w:ascii="Arial" w:cs="Arial" w:eastAsia="Arial" w:hAnsi="Arial"/>
                <w:sz w:val="18"/>
                <w:szCs w:val="18"/>
                <w:u w:val="single" w:color="auto"/>
                <w:color w:val="0000EE"/>
                <w:w w:val="90"/>
              </w:rPr>
            </w:pPr>
            <w:hyperlink r:id="rId397">
              <w:r>
                <w:rPr>
                  <w:rFonts w:ascii="Arial" w:cs="Arial" w:eastAsia="Arial" w:hAnsi="Arial"/>
                  <w:sz w:val="18"/>
                  <w:szCs w:val="18"/>
                  <w:u w:val="single" w:color="auto"/>
                  <w:color w:val="0000EE"/>
                  <w:w w:val="90"/>
                </w:rPr>
                <w:t>Patent Assignment between Biodesix, Inc., and Integrated Diagnostics, Inc., dated June 30, 2018.</w:t>
              </w:r>
            </w:hyperlink>
          </w:p>
        </w:tc>
        <w:tc>
          <w:tcPr>
            <w:tcW w:w="2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10.15†#</w:t>
            </w:r>
          </w:p>
        </w:tc>
        <w:tc>
          <w:tcPr>
            <w:tcW w:w="9860" w:type="dxa"/>
            <w:vAlign w:val="bottom"/>
            <w:gridSpan w:val="6"/>
          </w:tcPr>
          <w:p>
            <w:pPr>
              <w:spacing w:after="0"/>
              <w:rPr>
                <w:rFonts w:ascii="Arial" w:cs="Arial" w:eastAsia="Arial" w:hAnsi="Arial"/>
                <w:sz w:val="18"/>
                <w:szCs w:val="18"/>
                <w:u w:val="single" w:color="auto"/>
                <w:color w:val="0000EE"/>
              </w:rPr>
            </w:pPr>
            <w:hyperlink r:id="rId398">
              <w:r>
                <w:rPr>
                  <w:rFonts w:ascii="Arial" w:cs="Arial" w:eastAsia="Arial" w:hAnsi="Arial"/>
                  <w:sz w:val="18"/>
                  <w:szCs w:val="18"/>
                  <w:u w:val="single" w:color="auto"/>
                  <w:color w:val="0000EE"/>
                </w:rPr>
                <w:t>IP Assignment Agreement between Oncimmune Limited, and Biodesix, Inc., dated October 31, 2019.</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10.16†#</w:t>
            </w:r>
          </w:p>
        </w:tc>
        <w:tc>
          <w:tcPr>
            <w:tcW w:w="9860" w:type="dxa"/>
            <w:vAlign w:val="bottom"/>
            <w:gridSpan w:val="6"/>
          </w:tcPr>
          <w:p>
            <w:pPr>
              <w:spacing w:after="0"/>
              <w:rPr>
                <w:rFonts w:ascii="Arial" w:cs="Arial" w:eastAsia="Arial" w:hAnsi="Arial"/>
                <w:sz w:val="18"/>
                <w:szCs w:val="18"/>
                <w:color w:val="0000EE"/>
              </w:rPr>
            </w:pPr>
            <w:hyperlink r:id="rId399">
              <w:r>
                <w:rPr>
                  <w:rFonts w:ascii="Arial" w:cs="Arial" w:eastAsia="Arial" w:hAnsi="Arial"/>
                  <w:sz w:val="18"/>
                  <w:szCs w:val="18"/>
                  <w:u w:val="single" w:color="auto"/>
                  <w:color w:val="0000EE"/>
                </w:rPr>
                <w:t>IP License Agreement between Oncimmune Limited, and Biodesix, Inc., dated October 31, 2019</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60" w:type="dxa"/>
            <w:vAlign w:val="bottom"/>
            <w:gridSpan w:val="5"/>
          </w:tcPr>
          <w:p>
            <w:pPr>
              <w:ind w:left="25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960" w:type="dxa"/>
            <w:vAlign w:val="bottom"/>
            <w:gridSpan w:val="7"/>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10.17†#</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01">
              <w:r>
                <w:rPr>
                  <w:rFonts w:ascii="Arial" w:cs="Arial" w:eastAsia="Arial" w:hAnsi="Arial"/>
                  <w:sz w:val="18"/>
                  <w:szCs w:val="18"/>
                  <w:u w:val="single" w:color="auto"/>
                  <w:color w:val="0000EE"/>
                </w:rPr>
                <w:t>Non-Exclusive License Agreement between Bio-Rad Laboratories, Inc., and Biodesix, Inc., dated August 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10.18†#</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02">
              <w:r>
                <w:rPr>
                  <w:rFonts w:ascii="Arial" w:cs="Arial" w:eastAsia="Arial" w:hAnsi="Arial"/>
                  <w:sz w:val="18"/>
                  <w:szCs w:val="18"/>
                  <w:u w:val="single" w:color="auto"/>
                  <w:color w:val="0000EE"/>
                </w:rPr>
                <w:t>Supply Agreement between Biodesix, Inc., and Oncimmune, dated October 31,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10.19†#</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03">
              <w:r>
                <w:rPr>
                  <w:rFonts w:ascii="Arial" w:cs="Arial" w:eastAsia="Arial" w:hAnsi="Arial"/>
                  <w:sz w:val="18"/>
                  <w:szCs w:val="18"/>
                  <w:u w:val="single" w:color="auto"/>
                  <w:color w:val="0000EE"/>
                </w:rPr>
                <w:t>Supply Agreement between Bio-Rad Laboratories, Inc., and Biodesix, Inc., dated August 1, 2019.</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10.20†#</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0"/>
              </w:rPr>
            </w:pPr>
            <w:hyperlink r:id="rId404">
              <w:r>
                <w:rPr>
                  <w:rFonts w:ascii="Arial" w:cs="Arial" w:eastAsia="Arial" w:hAnsi="Arial"/>
                  <w:sz w:val="18"/>
                  <w:szCs w:val="18"/>
                  <w:color w:val="0000EE"/>
                  <w:w w:val="90"/>
                </w:rPr>
                <w:t>Co-Development and Collaboration Agreement between AVEO Pharmaceuticals, Inc., and Biodesix, Inc., dated April 9, 2014, as amended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04">
              <w:r>
                <w:rPr>
                  <w:rFonts w:ascii="Arial" w:cs="Arial" w:eastAsia="Arial" w:hAnsi="Arial"/>
                  <w:sz w:val="18"/>
                  <w:szCs w:val="18"/>
                  <w:color w:val="0000EE"/>
                </w:rPr>
                <w:t>October 14, 2016.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10.21†#</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w w:val="95"/>
              </w:rPr>
            </w:pPr>
            <w:hyperlink r:id="rId405">
              <w:r>
                <w:rPr>
                  <w:rFonts w:ascii="Arial" w:cs="Arial" w:eastAsia="Arial" w:hAnsi="Arial"/>
                  <w:sz w:val="18"/>
                  <w:szCs w:val="18"/>
                  <w:u w:val="single" w:color="auto"/>
                  <w:color w:val="0000EE"/>
                  <w:w w:val="95"/>
                </w:rPr>
                <w:t>Contingent Value Rights Agreement between Biodesix, Inc. and Holders on Schedule A mentioned within, dated February 22, 2016.</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10.22†#</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1"/>
              </w:rPr>
            </w:pPr>
            <w:hyperlink r:id="rId406">
              <w:r>
                <w:rPr>
                  <w:rFonts w:ascii="Arial" w:cs="Arial" w:eastAsia="Arial" w:hAnsi="Arial"/>
                  <w:sz w:val="18"/>
                  <w:szCs w:val="18"/>
                  <w:color w:val="0000EE"/>
                  <w:w w:val="91"/>
                </w:rPr>
                <w:t>Asset Purchase Agreement among Biodesix, Inc., Integrated Diagnostics, Inc., and the stockholders of Integrated Diagnostics, Inc., listed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406">
              <w:r>
                <w:rPr>
                  <w:rFonts w:ascii="Arial" w:cs="Arial" w:eastAsia="Arial" w:hAnsi="Arial"/>
                  <w:sz w:val="18"/>
                  <w:szCs w:val="18"/>
                  <w:color w:val="0000EE"/>
                  <w:w w:val="87"/>
                </w:rPr>
                <w:t>therein, dated June 30, 2018.</w:t>
              </w:r>
            </w:hyperlink>
          </w:p>
        </w:tc>
        <w:tc>
          <w:tcPr>
            <w:tcW w:w="780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10.23†#</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rPr>
            </w:pPr>
            <w:hyperlink r:id="rId407">
              <w:r>
                <w:rPr>
                  <w:rFonts w:ascii="Arial" w:cs="Arial" w:eastAsia="Arial" w:hAnsi="Arial"/>
                  <w:sz w:val="18"/>
                  <w:szCs w:val="18"/>
                  <w:u w:val="single" w:color="auto"/>
                  <w:color w:val="0000EE"/>
                </w:rPr>
                <w:t>Asset Purchase Agreement between Oncimmune Limited and Biodesix, Inc., dated June 27, 2019, as amended to date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10.24†#</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w w:val="92"/>
              </w:rPr>
            </w:pPr>
            <w:hyperlink r:id="rId408">
              <w:r>
                <w:rPr>
                  <w:rFonts w:ascii="Arial" w:cs="Arial" w:eastAsia="Arial" w:hAnsi="Arial"/>
                  <w:sz w:val="18"/>
                  <w:szCs w:val="18"/>
                  <w:u w:val="single" w:color="auto"/>
                  <w:color w:val="0000EE"/>
                  <w:w w:val="92"/>
                </w:rPr>
                <w:t>COVID-19 Testing Laboratory Services Agreement by and between Biodesix, Inc., and Centura Health Corporation, dated April 3, 2020.</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10.25†#</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3"/>
              </w:rPr>
            </w:pPr>
            <w:hyperlink r:id="rId409">
              <w:r>
                <w:rPr>
                  <w:rFonts w:ascii="Arial" w:cs="Arial" w:eastAsia="Arial" w:hAnsi="Arial"/>
                  <w:sz w:val="18"/>
                  <w:szCs w:val="18"/>
                  <w:color w:val="0000EE"/>
                  <w:w w:val="93"/>
                </w:rPr>
                <w:t>First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409">
              <w:r>
                <w:rPr>
                  <w:rFonts w:ascii="Arial" w:cs="Arial" w:eastAsia="Arial" w:hAnsi="Arial"/>
                  <w:sz w:val="18"/>
                  <w:szCs w:val="18"/>
                  <w:color w:val="0000EE"/>
                  <w:w w:val="91"/>
                </w:rPr>
                <w:t>dated April 23, 2020.</w:t>
              </w:r>
            </w:hyperlink>
          </w:p>
        </w:tc>
        <w:tc>
          <w:tcPr>
            <w:tcW w:w="8300" w:type="dxa"/>
            <w:vAlign w:val="bottom"/>
            <w:tcBorders>
              <w:top w:val="single" w:sz="8" w:color="0000EE"/>
            </w:tcBorders>
            <w:gridSpan w:val="5"/>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10.26†#</w:t>
            </w:r>
          </w:p>
        </w:tc>
        <w:tc>
          <w:tcPr>
            <w:tcW w:w="500" w:type="dxa"/>
            <w:vAlign w:val="bottom"/>
          </w:tcPr>
          <w:p>
            <w:pPr>
              <w:spacing w:after="0"/>
              <w:rPr>
                <w:sz w:val="24"/>
                <w:szCs w:val="24"/>
                <w:color w:val="auto"/>
              </w:rPr>
            </w:pPr>
          </w:p>
        </w:tc>
        <w:tc>
          <w:tcPr>
            <w:tcW w:w="10040" w:type="dxa"/>
            <w:vAlign w:val="bottom"/>
            <w:tcBorders>
              <w:bottom w:val="single" w:sz="8" w:color="0000EE"/>
            </w:tcBorders>
            <w:gridSpan w:val="12"/>
          </w:tcPr>
          <w:p>
            <w:pPr>
              <w:spacing w:after="0"/>
              <w:rPr>
                <w:rFonts w:ascii="Arial" w:cs="Arial" w:eastAsia="Arial" w:hAnsi="Arial"/>
                <w:sz w:val="18"/>
                <w:szCs w:val="18"/>
                <w:color w:val="0000EE"/>
                <w:w w:val="90"/>
              </w:rPr>
            </w:pPr>
            <w:hyperlink r:id="rId410">
              <w:r>
                <w:rPr>
                  <w:rFonts w:ascii="Arial" w:cs="Arial" w:eastAsia="Arial" w:hAnsi="Arial"/>
                  <w:sz w:val="18"/>
                  <w:szCs w:val="18"/>
                  <w:color w:val="0000EE"/>
                  <w:w w:val="90"/>
                </w:rPr>
                <w:t>Second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40" w:type="dxa"/>
            <w:vAlign w:val="bottom"/>
            <w:gridSpan w:val="12"/>
          </w:tcPr>
          <w:p>
            <w:pPr>
              <w:spacing w:after="0" w:line="196" w:lineRule="exact"/>
              <w:rPr>
                <w:rFonts w:ascii="Arial" w:cs="Arial" w:eastAsia="Arial" w:hAnsi="Arial"/>
                <w:sz w:val="18"/>
                <w:szCs w:val="18"/>
                <w:color w:val="0000EE"/>
              </w:rPr>
            </w:pPr>
            <w:hyperlink r:id="rId410">
              <w:r>
                <w:rPr>
                  <w:rFonts w:ascii="Arial" w:cs="Arial" w:eastAsia="Arial" w:hAnsi="Arial"/>
                  <w:sz w:val="18"/>
                  <w:szCs w:val="18"/>
                  <w:color w:val="0000EE"/>
                </w:rPr>
                <w:t>dated May 27, 2020.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3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10.27†#</w:t>
            </w:r>
          </w:p>
        </w:tc>
        <w:tc>
          <w:tcPr>
            <w:tcW w:w="50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1"/>
              </w:rPr>
            </w:pPr>
            <w:hyperlink r:id="rId411">
              <w:r>
                <w:rPr>
                  <w:rFonts w:ascii="Arial" w:cs="Arial" w:eastAsia="Arial" w:hAnsi="Arial"/>
                  <w:sz w:val="18"/>
                  <w:szCs w:val="18"/>
                  <w:color w:val="0000EE"/>
                  <w:w w:val="91"/>
                </w:rPr>
                <w:t>Third Amendment to COVID-19 Testing Laboratory Services Agreement by and between Biodesix, Inc. and Centura Health Corporation,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40" w:type="dxa"/>
            <w:vAlign w:val="bottom"/>
            <w:gridSpan w:val="12"/>
          </w:tcPr>
          <w:p>
            <w:pPr>
              <w:spacing w:after="0" w:line="196" w:lineRule="exact"/>
              <w:rPr>
                <w:rFonts w:ascii="Arial" w:cs="Arial" w:eastAsia="Arial" w:hAnsi="Arial"/>
                <w:sz w:val="18"/>
                <w:szCs w:val="18"/>
                <w:color w:val="0000EE"/>
              </w:rPr>
            </w:pPr>
            <w:hyperlink r:id="rId411">
              <w:r>
                <w:rPr>
                  <w:rFonts w:ascii="Arial" w:cs="Arial" w:eastAsia="Arial" w:hAnsi="Arial"/>
                  <w:sz w:val="18"/>
                  <w:szCs w:val="18"/>
                  <w:color w:val="0000EE"/>
                </w:rPr>
                <w:t>dated August 7, 2020.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10.28†#</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2"/>
              </w:rPr>
            </w:pPr>
            <w:hyperlink r:id="rId412">
              <w:r>
                <w:rPr>
                  <w:rFonts w:ascii="Arial" w:cs="Arial" w:eastAsia="Arial" w:hAnsi="Arial"/>
                  <w:sz w:val="18"/>
                  <w:szCs w:val="18"/>
                  <w:u w:val="single" w:color="auto"/>
                  <w:color w:val="0000EE"/>
                  <w:w w:val="92"/>
                </w:rPr>
                <w:t>Contract Agreement between Biodesix, Inc. and the Colorado Department of Public Health and Environment, dated September 11, 2020</w:t>
              </w:r>
              <w:r>
                <w:rPr>
                  <w:rFonts w:ascii="Arial" w:cs="Arial" w:eastAsia="Arial" w:hAnsi="Arial"/>
                  <w:sz w:val="18"/>
                  <w:szCs w:val="18"/>
                  <w:color w:val="0000EE"/>
                  <w:w w:val="92"/>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10.29†#</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13">
              <w:r>
                <w:rPr>
                  <w:rFonts w:ascii="Arial" w:cs="Arial" w:eastAsia="Arial" w:hAnsi="Arial"/>
                  <w:sz w:val="18"/>
                  <w:szCs w:val="18"/>
                  <w:u w:val="single" w:color="auto"/>
                  <w:color w:val="0000EE"/>
                </w:rPr>
                <w:t>Material Transfer Agreement by and between Biodesix, Inc. and Bio-Rad Laboratories, Inc., dated March 23,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10.30†#</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w w:val="95"/>
              </w:rPr>
            </w:pPr>
            <w:hyperlink r:id="rId414">
              <w:r>
                <w:rPr>
                  <w:rFonts w:ascii="Arial" w:cs="Arial" w:eastAsia="Arial" w:hAnsi="Arial"/>
                  <w:sz w:val="18"/>
                  <w:szCs w:val="18"/>
                  <w:u w:val="single" w:color="auto"/>
                  <w:color w:val="0000EE"/>
                  <w:w w:val="95"/>
                </w:rPr>
                <w:t>First Amendment to Material Transfer Agreement by and between Biodesix, Inc. and Bio-Rad Laboratories, Inc. dated April 3,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10.31†#</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rPr>
            </w:pPr>
            <w:hyperlink r:id="rId415">
              <w:r>
                <w:rPr>
                  <w:rFonts w:ascii="Arial" w:cs="Arial" w:eastAsia="Arial" w:hAnsi="Arial"/>
                  <w:sz w:val="18"/>
                  <w:szCs w:val="18"/>
                  <w:u w:val="single" w:color="auto"/>
                  <w:color w:val="0000EE"/>
                </w:rPr>
                <w:t>Material Transfer Agreement by and between Biodesix, Inc. and Bio-Rad Laboratories, Inc., dated April 17,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10.32†#</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16">
              <w:r>
                <w:rPr>
                  <w:rFonts w:ascii="Arial" w:cs="Arial" w:eastAsia="Arial" w:hAnsi="Arial"/>
                  <w:sz w:val="18"/>
                  <w:szCs w:val="18"/>
                  <w:u w:val="single" w:color="auto"/>
                  <w:color w:val="0000EE"/>
                </w:rPr>
                <w:t>Price Agreement by and between Biodesix, Inc. and Bio-Rad Laboratories, Inc., dated May 12,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10.33</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w:anchor="page388">
              <w:r>
                <w:rPr>
                  <w:rFonts w:ascii="Arial" w:cs="Arial" w:eastAsia="Arial" w:hAnsi="Arial"/>
                  <w:sz w:val="18"/>
                  <w:szCs w:val="18"/>
                  <w:u w:val="single" w:color="auto"/>
                  <w:color w:val="0000EE"/>
                </w:rPr>
                <w:t>Letter from Bio-Rad Laboratories, Inc. dated August 7,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10.34</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w:anchor="page389">
              <w:r>
                <w:rPr>
                  <w:rFonts w:ascii="Arial" w:cs="Arial" w:eastAsia="Arial" w:hAnsi="Arial"/>
                  <w:sz w:val="18"/>
                  <w:szCs w:val="18"/>
                  <w:u w:val="single" w:color="auto"/>
                  <w:color w:val="0000EE"/>
                </w:rPr>
                <w:t>Letter from Bio-Rad Laboratories, Inc. dated August 14,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w:anchor="page386">
              <w:r>
                <w:rPr>
                  <w:rFonts w:ascii="Arial" w:cs="Arial" w:eastAsia="Arial" w:hAnsi="Arial"/>
                  <w:sz w:val="18"/>
                  <w:szCs w:val="18"/>
                  <w:u w:val="single" w:color="auto"/>
                  <w:color w:val="0000EE"/>
                </w:rPr>
                <w:t>Consent of Sidley Austin LLP (included in Exhibit 5.1).</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w:anchor="page299">
              <w:r>
                <w:rPr>
                  <w:rFonts w:ascii="Arial" w:cs="Arial" w:eastAsia="Arial" w:hAnsi="Arial"/>
                  <w:sz w:val="18"/>
                  <w:szCs w:val="18"/>
                  <w:u w:val="single" w:color="auto"/>
                  <w:color w:val="0000EE"/>
                </w:rPr>
                <w:t>Power of Attorney.</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right="2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financial statements or the notes thereto.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320" w:top="459" w:right="39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00" w:right="220" w:hanging="432"/>
        <w:spacing w:after="0" w:line="291" w:lineRule="auto"/>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will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60" w:hanging="432"/>
        <w:spacing w:after="0" w:line="263"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320" w:top="459" w:right="3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Boulder, State of Colorado on this 21st day of October, 2020.</w:t>
      </w:r>
    </w:p>
    <w:p>
      <w:pPr>
        <w:spacing w:after="0" w:line="4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Scott Hutton</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80"/>
              <w:spacing w:after="0"/>
              <w:rPr>
                <w:sz w:val="20"/>
                <w:szCs w:val="20"/>
                <w:color w:val="auto"/>
              </w:rPr>
            </w:pPr>
            <w:r>
              <w:rPr>
                <w:rFonts w:ascii="Arial" w:cs="Arial" w:eastAsia="Arial" w:hAnsi="Arial"/>
                <w:sz w:val="18"/>
                <w:szCs w:val="18"/>
                <w:color w:val="auto"/>
              </w:rPr>
              <w:t>Scott Hutton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8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920" w:type="dxa"/>
            <w:vAlign w:val="bottom"/>
            <w:gridSpan w:val="2"/>
          </w:tcPr>
          <w:p>
            <w:pPr>
              <w:ind w:left="1320"/>
              <w:spacing w:after="0"/>
              <w:rPr>
                <w:sz w:val="20"/>
                <w:szCs w:val="20"/>
                <w:color w:val="auto"/>
              </w:rPr>
            </w:pPr>
            <w:r>
              <w:rPr>
                <w:rFonts w:ascii="Arial" w:cs="Arial" w:eastAsia="Arial" w:hAnsi="Arial"/>
                <w:sz w:val="14"/>
                <w:szCs w:val="14"/>
                <w:b w:val="1"/>
                <w:bCs w:val="1"/>
                <w:color w:val="auto"/>
                <w:w w:val="89"/>
              </w:rPr>
              <w:t>Signature</w:t>
            </w: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0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8"/>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Hutton</w:t>
            </w: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President, Chief Executive Officer and 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21,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Scott Hutton</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Robin Harper Cowie</w:t>
            </w: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Chief Financial Officer, Secretary and Treasurer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21,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Robin Harper Cowie</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Chairman and 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21,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John Patience</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21,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Jack Schuler</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21,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Matthew Strobeck, Ph.D.</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21,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Charles Watts, M.D.</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21,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Jean Franchi</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21,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Hany Massarany</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66"/>
        </w:trPr>
        <w:tc>
          <w:tcPr>
            <w:tcW w:w="2340" w:type="dxa"/>
            <w:vAlign w:val="bottom"/>
            <w:gridSpan w:val="3"/>
          </w:tcPr>
          <w:p>
            <w:pPr>
              <w:spacing w:after="0"/>
              <w:rPr>
                <w:sz w:val="20"/>
                <w:szCs w:val="20"/>
                <w:color w:val="auto"/>
              </w:rPr>
            </w:pPr>
            <w:r>
              <w:rPr>
                <w:rFonts w:ascii="Arial" w:cs="Arial" w:eastAsia="Arial" w:hAnsi="Arial"/>
                <w:sz w:val="18"/>
                <w:szCs w:val="18"/>
                <w:color w:val="auto"/>
              </w:rPr>
              <w:t>By:  /s/ Robin Harper Cowie</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9"/>
        </w:trPr>
        <w:tc>
          <w:tcPr>
            <w:tcW w:w="420" w:type="dxa"/>
            <w:vAlign w:val="bottom"/>
          </w:tcPr>
          <w:p>
            <w:pPr>
              <w:spacing w:after="0"/>
              <w:rPr>
                <w:sz w:val="18"/>
                <w:szCs w:val="18"/>
                <w:color w:val="auto"/>
              </w:rPr>
            </w:pPr>
          </w:p>
        </w:tc>
        <w:tc>
          <w:tcPr>
            <w:tcW w:w="19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Robin Harper Cowie</w:t>
            </w:r>
          </w:p>
        </w:tc>
        <w:tc>
          <w:tcPr>
            <w:tcW w:w="1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ectPr>
          <w:pgSz w:w="11900" w:h="16838" w:orient="portrait"/>
          <w:cols w:equalWidth="0" w:num="1">
            <w:col w:w="11240"/>
          </w:cols>
          <w:pgMar w:left="320" w:top="459"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5440" w:hanging="247"/>
        <w:spacing w:after="0"/>
        <w:tabs>
          <w:tab w:leader="none" w:pos="54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Shares</w:t>
      </w:r>
    </w:p>
    <w:p>
      <w:pPr>
        <w:spacing w:after="0" w:line="225" w:lineRule="exact"/>
        <w:rPr>
          <w:rFonts w:ascii="Arial" w:cs="Arial" w:eastAsia="Arial" w:hAnsi="Arial"/>
          <w:sz w:val="18"/>
          <w:szCs w:val="18"/>
          <w:b w:val="1"/>
          <w:bCs w:val="1"/>
          <w:color w:val="auto"/>
        </w:rPr>
      </w:pPr>
    </w:p>
    <w:p>
      <w:pPr>
        <w:ind w:left="4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2020</w:t>
      </w:r>
    </w:p>
    <w:p>
      <w:pPr>
        <w:sectPr>
          <w:pgSz w:w="11900" w:h="16838" w:orient="portrait"/>
          <w:cols w:equalWidth="0" w:num="1">
            <w:col w:w="11240"/>
          </w:cols>
          <w:pgMar w:left="320" w:top="121" w:right="339" w:bottom="1440" w:gutter="0" w:footer="0" w:header="0"/>
        </w:sectPr>
      </w:pPr>
    </w:p>
    <w:bookmarkStart w:id="300" w:name="page301"/>
    <w:bookmarkEnd w:id="300"/>
    <w:p>
      <w:pPr>
        <w:jc w:val="right"/>
        <w:spacing w:after="0"/>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sz w:val="20"/>
          <w:szCs w:val="20"/>
          <w:color w:val="auto"/>
        </w:rPr>
        <w:tab/>
      </w:r>
      <w:r>
        <w:rPr>
          <w:rFonts w:ascii="Arial" w:cs="Arial" w:eastAsia="Arial" w:hAnsi="Arial"/>
          <w:sz w:val="16"/>
          <w:szCs w:val="16"/>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I hereto</w:t>
      </w:r>
    </w:p>
    <w:p>
      <w:pPr>
        <w:sectPr>
          <w:pgSz w:w="11900" w:h="16838" w:orient="portrait"/>
          <w:cols w:equalWidth="0" w:num="1">
            <w:col w:w="11020"/>
          </w:cols>
          <w:pgMar w:left="440" w:top="274"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200"/>
            <w:col w:w="10600"/>
          </w:cols>
          <w:pgMar w:left="440" w:top="274" w:right="4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150 N. Riverside Plaza Chicago,</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Illinois 60606</w:t>
      </w:r>
    </w:p>
    <w:p>
      <w:pPr>
        <w:spacing w:after="0" w:line="200" w:lineRule="exact"/>
        <w:rPr>
          <w:sz w:val="20"/>
          <w:szCs w:val="20"/>
          <w:color w:val="auto"/>
        </w:rPr>
      </w:pPr>
    </w:p>
    <w:p>
      <w:pPr>
        <w:sectPr>
          <w:pgSz w:w="11900" w:h="16838" w:orient="portrait"/>
          <w:cols w:equalWidth="0" w:num="2">
            <w:col w:w="220" w:space="200"/>
            <w:col w:w="10600"/>
          </w:cols>
          <w:pgMar w:left="440" w:top="274"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Biodesix,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Morgan Stanley &amp; Co. LLC and William Blair &amp; Company, L.L.C. are acting as representatives (the</w:t>
      </w:r>
    </w:p>
    <w:p>
      <w:pPr>
        <w:spacing w:after="0" w:line="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shares of its Common Stock, $0.001 par value per share (the “</w:t>
      </w:r>
      <w:r>
        <w:rPr>
          <w:rFonts w:ascii="Arial" w:cs="Arial" w:eastAsia="Arial" w:hAnsi="Arial"/>
          <w:sz w:val="16"/>
          <w:szCs w:val="16"/>
          <w:b w:val="1"/>
          <w:bCs w:val="1"/>
          <w:color w:val="auto"/>
        </w:rPr>
        <w:t>Firm Shares</w:t>
      </w:r>
      <w:r>
        <w:rPr>
          <w:rFonts w:ascii="Arial" w:cs="Arial" w:eastAsia="Arial" w:hAnsi="Arial"/>
          <w:sz w:val="16"/>
          <w:szCs w:val="16"/>
          <w:color w:val="auto"/>
        </w:rPr>
        <w:t>”). The Company also proposes to issue and sell to</w:t>
      </w:r>
    </w:p>
    <w:p>
      <w:pPr>
        <w:spacing w:after="0" w:line="9"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the several Underwriters not more than an additional [</w:t>
      </w:r>
      <w:r>
        <w:rPr>
          <w:sz w:val="20"/>
          <w:szCs w:val="20"/>
          <w:color w:val="auto"/>
        </w:rPr>
        <w:tab/>
      </w:r>
      <w:r>
        <w:rPr>
          <w:rFonts w:ascii="Arial" w:cs="Arial" w:eastAsia="Arial" w:hAnsi="Arial"/>
          <w:sz w:val="16"/>
          <w:szCs w:val="16"/>
          <w:color w:val="auto"/>
        </w:rPr>
        <w:t>] shares of its Common Stock, $0.001 par value per share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extent that the Representatives shall have determined to exercise, on behalf of the Underwriters, the right to purchase such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to the Underwriters in Section 2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$0.001 par value per share, of the Company to be outstanding after giving effect to the sales contemplated hereby 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07"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 No. 333-249260),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shares of Common Stock pursuant to Rule 462(b) under the Securities Act (a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deemed to include such Rule 462 Registration Statement.</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type w:val="continuous"/>
        </w:sectPr>
      </w:pPr>
    </w:p>
    <w:bookmarkStart w:id="301" w:name="page302"/>
    <w:bookmarkEnd w:id="301"/>
    <w:p>
      <w:pPr>
        <w:ind w:right="8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shall mean each prospectus used prior to the effectiveness of the Registration Statement, and each prospectus that omitted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Rule 430A under the Securities Act that was used after such effectiveness and prior to the execution and delivery of this Agreement, “</w:t>
      </w:r>
      <w:r>
        <w:rPr>
          <w:rFonts w:ascii="Arial" w:cs="Arial" w:eastAsia="Arial" w:hAnsi="Arial"/>
          <w:sz w:val="18"/>
          <w:szCs w:val="18"/>
          <w:b w:val="1"/>
          <w:bCs w:val="1"/>
          <w:color w:val="auto"/>
        </w:rPr>
        <w:t>Time</w:t>
      </w:r>
      <w:r>
        <w:rPr>
          <w:rFonts w:ascii="Arial" w:cs="Arial" w:eastAsia="Arial" w:hAnsi="Arial"/>
          <w:sz w:val="18"/>
          <w:szCs w:val="18"/>
          <w:color w:val="auto"/>
        </w:rPr>
        <w:t xml:space="preserve"> </w:t>
      </w:r>
      <w:r>
        <w:rPr>
          <w:rFonts w:ascii="Arial" w:cs="Arial" w:eastAsia="Arial" w:hAnsi="Arial"/>
          <w:sz w:val="18"/>
          <w:szCs w:val="18"/>
          <w:b w:val="1"/>
          <w:bCs w:val="1"/>
          <w:color w:val="auto"/>
        </w:rPr>
        <w:t>of Sale Prospectus</w:t>
      </w:r>
      <w:r>
        <w:rPr>
          <w:rFonts w:ascii="Arial" w:cs="Arial" w:eastAsia="Arial" w:hAnsi="Arial"/>
          <w:sz w:val="18"/>
          <w:szCs w:val="18"/>
          <w:color w:val="auto"/>
        </w:rPr>
        <w:t>” means the preliminary prospectus contained in the Registration Statement at the time of its effectiveness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pricing information set forth in Schedule II hereto, and “</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96"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Morgan Stanley has agreed to reserve a portion of the Shares to be purchased by it under this Agreement for sale to the Company’s directors, officers, employees and business associates and other parties related to the Company (collectively, “</w:t>
      </w:r>
      <w:r>
        <w:rPr>
          <w:rFonts w:ascii="Arial" w:cs="Arial" w:eastAsia="Arial" w:hAnsi="Arial"/>
          <w:sz w:val="17"/>
          <w:szCs w:val="17"/>
          <w:b w:val="1"/>
          <w:bCs w:val="1"/>
          <w:color w:val="auto"/>
        </w:rPr>
        <w:t>Participants</w:t>
      </w:r>
      <w:r>
        <w:rPr>
          <w:rFonts w:ascii="Arial" w:cs="Arial" w:eastAsia="Arial" w:hAnsi="Arial"/>
          <w:sz w:val="17"/>
          <w:szCs w:val="17"/>
          <w:color w:val="auto"/>
        </w:rPr>
        <w:t>”), as set forth in each of the Time of Sale Prospectus and the Prospectus under the heading “Underwriters” (the “</w:t>
      </w:r>
      <w:r>
        <w:rPr>
          <w:rFonts w:ascii="Arial" w:cs="Arial" w:eastAsia="Arial" w:hAnsi="Arial"/>
          <w:sz w:val="17"/>
          <w:szCs w:val="17"/>
          <w:b w:val="1"/>
          <w:bCs w:val="1"/>
          <w:color w:val="auto"/>
        </w:rPr>
        <w:t>Directed Share Program</w:t>
      </w:r>
      <w:r>
        <w:rPr>
          <w:rFonts w:ascii="Arial" w:cs="Arial" w:eastAsia="Arial" w:hAnsi="Arial"/>
          <w:sz w:val="17"/>
          <w:szCs w:val="17"/>
          <w:color w:val="auto"/>
        </w:rPr>
        <w:t>”). The Shares to be sold by Morgan Stanley and its affiliates pursuant to the Directed Share Program, at the direction of the Company, are referred to hereinafter as the “</w:t>
      </w:r>
      <w:r>
        <w:rPr>
          <w:rFonts w:ascii="Arial" w:cs="Arial" w:eastAsia="Arial" w:hAnsi="Arial"/>
          <w:sz w:val="17"/>
          <w:szCs w:val="17"/>
          <w:b w:val="1"/>
          <w:bCs w:val="1"/>
          <w:color w:val="auto"/>
        </w:rPr>
        <w:t>Directed Shares</w:t>
      </w:r>
      <w:r>
        <w:rPr>
          <w:rFonts w:ascii="Arial" w:cs="Arial" w:eastAsia="Arial" w:hAnsi="Arial"/>
          <w:sz w:val="17"/>
          <w:szCs w:val="17"/>
          <w:color w:val="auto"/>
        </w:rPr>
        <w:t>”. Any Directed Shares not orally confirmed for purchase by any Participant by the end of the business day on which this Agreement is executed will be offered to the public by the Underwriters as set forth in the Prospectus.</w:t>
      </w:r>
    </w:p>
    <w:p>
      <w:pPr>
        <w:spacing w:after="0" w:line="178" w:lineRule="exact"/>
        <w:rPr>
          <w:sz w:val="20"/>
          <w:szCs w:val="20"/>
          <w:color w:val="auto"/>
        </w:rPr>
      </w:pPr>
    </w:p>
    <w:p>
      <w:pPr>
        <w:ind w:left="1300" w:hanging="313"/>
        <w:spacing w:after="0"/>
        <w:tabs>
          <w:tab w:leader="none" w:pos="1300"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The Company represents and warrants to and agrees with each of the Underwriters that:</w:t>
      </w:r>
    </w:p>
    <w:p>
      <w:pPr>
        <w:spacing w:after="0" w:line="128" w:lineRule="exact"/>
        <w:rPr>
          <w:rFonts w:ascii="Arial" w:cs="Arial" w:eastAsia="Arial" w:hAnsi="Arial"/>
          <w:sz w:val="17"/>
          <w:szCs w:val="17"/>
          <w:color w:val="auto"/>
        </w:rPr>
      </w:pPr>
    </w:p>
    <w:p>
      <w:pPr>
        <w:ind w:left="980" w:right="40" w:firstLine="408"/>
        <w:spacing w:after="0" w:line="263" w:lineRule="auto"/>
        <w:tabs>
          <w:tab w:leader="none" w:pos="175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75" w:lineRule="exact"/>
        <w:rPr>
          <w:rFonts w:ascii="Arial" w:cs="Arial" w:eastAsia="Arial" w:hAnsi="Arial"/>
          <w:sz w:val="18"/>
          <w:szCs w:val="18"/>
          <w:color w:val="auto"/>
        </w:rPr>
      </w:pPr>
    </w:p>
    <w:p>
      <w:pPr>
        <w:ind w:left="980" w:firstLine="408"/>
        <w:spacing w:after="0" w:line="273" w:lineRule="auto"/>
        <w:tabs>
          <w:tab w:leader="none" w:pos="1771"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02" w:name="page303"/>
    <w:bookmarkEnd w:id="30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available to prospective purchasers and at the Closing Date (as defined in Section 4),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64" w:lineRule="exact"/>
        <w:rPr>
          <w:sz w:val="20"/>
          <w:szCs w:val="20"/>
          <w:color w:val="auto"/>
        </w:rPr>
      </w:pPr>
    </w:p>
    <w:p>
      <w:pPr>
        <w:ind w:right="20" w:firstLine="408"/>
        <w:spacing w:after="0" w:line="270" w:lineRule="auto"/>
        <w:tabs>
          <w:tab w:leader="none" w:pos="77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Underwriters before first use, the Company has not prepared, used or referred to, and will not, without the Representatives’ prior consent, prepare, use or refer to, any free writing prospectus.</w:t>
      </w:r>
    </w:p>
    <w:p>
      <w:pPr>
        <w:spacing w:after="0" w:line="72" w:lineRule="exact"/>
        <w:rPr>
          <w:rFonts w:ascii="Arial" w:cs="Arial" w:eastAsia="Arial" w:hAnsi="Arial"/>
          <w:sz w:val="17"/>
          <w:szCs w:val="17"/>
          <w:color w:val="auto"/>
        </w:rPr>
      </w:pPr>
    </w:p>
    <w:p>
      <w:pPr>
        <w:ind w:left="800" w:hanging="392"/>
        <w:spacing w:after="0"/>
        <w:tabs>
          <w:tab w:leader="none" w:pos="8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w:t>
      </w:r>
    </w:p>
    <w:p>
      <w:pPr>
        <w:spacing w:after="0" w:line="34" w:lineRule="exact"/>
        <w:rPr>
          <w:rFonts w:ascii="Arial" w:cs="Arial" w:eastAsia="Arial" w:hAnsi="Arial"/>
          <w:sz w:val="17"/>
          <w:szCs w:val="17"/>
          <w:color w:val="auto"/>
        </w:rPr>
      </w:pPr>
    </w:p>
    <w:p>
      <w:pPr>
        <w:ind w:right="40"/>
        <w:spacing w:after="0" w:line="292" w:lineRule="auto"/>
        <w:rPr>
          <w:rFonts w:ascii="Arial" w:cs="Arial" w:eastAsia="Arial" w:hAnsi="Arial"/>
          <w:sz w:val="17"/>
          <w:szCs w:val="17"/>
          <w:color w:val="auto"/>
        </w:rPr>
      </w:pPr>
      <w:r>
        <w:rPr>
          <w:rFonts w:ascii="Arial" w:cs="Arial" w:eastAsia="Arial" w:hAnsi="Arial"/>
          <w:sz w:val="16"/>
          <w:szCs w:val="16"/>
          <w:color w:val="auto"/>
        </w:rPr>
        <w:t>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Company; and the Company does not have any subsidiaries.</w:t>
      </w:r>
    </w:p>
    <w:p>
      <w:pPr>
        <w:spacing w:after="0" w:line="9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20"/>
          </w:cols>
          <w:pgMar w:left="1420" w:top="274" w:right="459" w:bottom="1440" w:gutter="0" w:footer="0" w:header="0"/>
        </w:sectPr>
      </w:pPr>
    </w:p>
    <w:bookmarkStart w:id="303" w:name="page304"/>
    <w:bookmarkEnd w:id="303"/>
    <w:p>
      <w:pPr>
        <w:ind w:left="760" w:hanging="372"/>
        <w:spacing w:after="0"/>
        <w:tabs>
          <w:tab w:leader="none" w:pos="7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has been duly authorized, executed and delivered by the Company.</w:t>
      </w:r>
    </w:p>
    <w:p>
      <w:pPr>
        <w:spacing w:after="0" w:line="117" w:lineRule="exact"/>
        <w:rPr>
          <w:rFonts w:ascii="Arial" w:cs="Arial" w:eastAsia="Arial" w:hAnsi="Arial"/>
          <w:sz w:val="18"/>
          <w:szCs w:val="18"/>
          <w:color w:val="auto"/>
        </w:rPr>
      </w:pPr>
    </w:p>
    <w:p>
      <w:pPr>
        <w:ind w:left="-20" w:right="340" w:firstLine="408"/>
        <w:spacing w:after="0" w:line="277" w:lineRule="auto"/>
        <w:tabs>
          <w:tab w:leader="none" w:pos="7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in all material respects, to the description thereof contained in each of the Registration Statement, the Time of Sale Prospectus and the Prospectus.</w:t>
      </w:r>
    </w:p>
    <w:p>
      <w:pPr>
        <w:spacing w:after="0" w:line="62" w:lineRule="exact"/>
        <w:rPr>
          <w:rFonts w:ascii="Arial" w:cs="Arial" w:eastAsia="Arial" w:hAnsi="Arial"/>
          <w:sz w:val="18"/>
          <w:szCs w:val="18"/>
          <w:color w:val="auto"/>
        </w:rPr>
      </w:pPr>
    </w:p>
    <w:p>
      <w:pPr>
        <w:ind w:left="-20" w:right="120" w:firstLine="408"/>
        <w:spacing w:after="0" w:line="277" w:lineRule="auto"/>
        <w:tabs>
          <w:tab w:leader="none" w:pos="7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left="-20" w:right="20" w:firstLine="408"/>
        <w:spacing w:after="0" w:line="263" w:lineRule="auto"/>
        <w:tabs>
          <w:tab w:leader="none" w:pos="7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spacing w:after="0" w:line="75" w:lineRule="exact"/>
        <w:rPr>
          <w:rFonts w:ascii="Arial" w:cs="Arial" w:eastAsia="Arial" w:hAnsi="Arial"/>
          <w:sz w:val="18"/>
          <w:szCs w:val="18"/>
          <w:color w:val="auto"/>
        </w:rPr>
      </w:pPr>
    </w:p>
    <w:p>
      <w:pPr>
        <w:ind w:left="-20" w:right="120" w:firstLine="408"/>
        <w:spacing w:after="0" w:line="271" w:lineRule="auto"/>
        <w:tabs>
          <w:tab w:leader="none" w:pos="72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will not contravene (i) any provision of applicable law, (ii) or the certificate of incorporation or by-laws of the Company, (iii) or any agreement or other material instrument binding upon the Company, or (iv) any judgment, order or decree of any governmental body, agency or court having jurisdiction over the Company, except in the case of clauses (i), (iii) and (iv), where such contravention would not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in connection with the offer and sale of the Shares.</w:t>
      </w:r>
    </w:p>
    <w:p>
      <w:pPr>
        <w:spacing w:after="0" w:line="70" w:lineRule="exact"/>
        <w:rPr>
          <w:rFonts w:ascii="Arial" w:cs="Arial" w:eastAsia="Arial" w:hAnsi="Arial"/>
          <w:sz w:val="17"/>
          <w:szCs w:val="17"/>
          <w:color w:val="auto"/>
        </w:rPr>
      </w:pPr>
    </w:p>
    <w:p>
      <w:pPr>
        <w:ind w:left="-20" w:firstLine="408"/>
        <w:spacing w:after="0" w:line="263" w:lineRule="auto"/>
        <w:tabs>
          <w:tab w:leader="none" w:pos="7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from that set forth in the Time of Sale Prospectus.</w:t>
      </w:r>
    </w:p>
    <w:p>
      <w:pPr>
        <w:spacing w:after="0" w:line="75" w:lineRule="exact"/>
        <w:rPr>
          <w:rFonts w:ascii="Arial" w:cs="Arial" w:eastAsia="Arial" w:hAnsi="Arial"/>
          <w:sz w:val="18"/>
          <w:szCs w:val="18"/>
          <w:color w:val="auto"/>
        </w:rPr>
      </w:pPr>
    </w:p>
    <w:p>
      <w:pPr>
        <w:ind w:left="-20" w:right="80" w:firstLine="408"/>
        <w:spacing w:after="0" w:line="291" w:lineRule="auto"/>
        <w:tabs>
          <w:tab w:leader="none" w:pos="76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Company’s knowledge, threatened to which the Company is a party or to which any of the properties of the Company is subject (i) other than proceedings accurately described in all material respects in each of the Registration Statement, the Time of Sale Prospectus and the Prospectus and proceedings that would not reasonably be expected to, singly or in the aggregate, have a material adverse effect on the Company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w:t>
      </w:r>
    </w:p>
    <w:p>
      <w:pPr>
        <w:spacing w:after="0" w:line="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1440" w:top="274" w:right="459" w:bottom="1440" w:gutter="0" w:footer="0" w:header="0"/>
        </w:sectPr>
      </w:pPr>
    </w:p>
    <w:bookmarkStart w:id="304" w:name="page305"/>
    <w:bookmarkEnd w:id="30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62" w:lineRule="exact"/>
        <w:rPr>
          <w:sz w:val="20"/>
          <w:szCs w:val="20"/>
          <w:color w:val="auto"/>
        </w:rPr>
      </w:pPr>
    </w:p>
    <w:p>
      <w:pPr>
        <w:jc w:val="both"/>
        <w:ind w:right="120" w:firstLine="408"/>
        <w:spacing w:after="0" w:line="286" w:lineRule="auto"/>
        <w:tabs>
          <w:tab w:leader="none" w:pos="75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spacing w:after="0" w:line="57" w:lineRule="exact"/>
        <w:rPr>
          <w:rFonts w:ascii="Arial" w:cs="Arial" w:eastAsia="Arial" w:hAnsi="Arial"/>
          <w:sz w:val="17"/>
          <w:szCs w:val="17"/>
          <w:color w:val="auto"/>
        </w:rPr>
      </w:pPr>
    </w:p>
    <w:p>
      <w:pPr>
        <w:ind w:right="40" w:firstLine="408"/>
        <w:spacing w:after="0" w:line="286" w:lineRule="auto"/>
        <w:tabs>
          <w:tab w:leader="none" w:pos="83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57" w:lineRule="exact"/>
        <w:rPr>
          <w:rFonts w:ascii="Arial" w:cs="Arial" w:eastAsia="Arial" w:hAnsi="Arial"/>
          <w:sz w:val="17"/>
          <w:szCs w:val="17"/>
          <w:color w:val="auto"/>
        </w:rPr>
      </w:pPr>
    </w:p>
    <w:p>
      <w:pPr>
        <w:ind w:firstLine="408"/>
        <w:spacing w:after="0" w:line="285" w:lineRule="auto"/>
        <w:tabs>
          <w:tab w:leader="none" w:pos="79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 The Company (w) is, and has been, in compliance with any and all applicable foreign, federal, state and local laws, rules, orders, consents and regulations relating to the protection of health and human safety, the environment, natural resources, and hazardous or toxic substances, wastes, chemicals,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(x) have received all permits, licenses or other approvals required of them under applicable Environmental Laws to conduct their respective businesses, (y) are in compliance with all terms and conditions of any such permit, license or approval and (z) have not received notices of, and have no knowledge of any event or condition that would reasonably be expected to result in, any actual or potential lability or violation, and is not subject to any pending or to the Company’s knowledge, threatened action, suit, proceeding, investigation or claim, arising under or relating to any Environmental Law, except where such noncompliance with Environmental Laws, failure to receive required permits, licenses or other approvals, failure to comply with the terms and conditions of such permits, licenses or approvals, or notice, action, suit, proceeding, investigation or claim would not, singularly or in the aggregate, reasonably be expected to have a material adverse effect on the Company, (ii) there are no costs (including anticipated capital expenditures), obligations or liabilities associated with or arising under Environmental Laws of or relating to the Company and (iii) except as described in the Registration Statement, the Time of Sale Prospectus and the Prospectus, (y) there are no proceedings pending, or to the Company’s knowledge, contemplated, against the Company under Environmental Laws in which a government authority is also a party, other than such proceedings which it is reasonably believed no monetary sanctions of $100,000 or more will be imposed and (z) the Company is not aware of any facts or issues regarding compliance with Environmental Laws that could reasonably be expected to have a material effect on the capital expenditures, earnings or competitive position of the Company.</w:t>
      </w:r>
    </w:p>
    <w:p>
      <w:pPr>
        <w:spacing w:after="0" w:line="1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20"/>
          </w:cols>
          <w:pgMar w:left="1420" w:top="274" w:right="459" w:bottom="1440" w:gutter="0" w:footer="0" w:header="0"/>
        </w:sectPr>
      </w:pPr>
    </w:p>
    <w:bookmarkStart w:id="305" w:name="page306"/>
    <w:bookmarkEnd w:id="305"/>
    <w:p>
      <w:pPr>
        <w:jc w:val="both"/>
        <w:ind w:left="-20" w:right="180" w:firstLine="408"/>
        <w:spacing w:after="0" w:line="279" w:lineRule="auto"/>
        <w:tabs>
          <w:tab w:leader="none" w:pos="767"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has been validly waived or complied with in connection with the issuance and sale of the Shares contemplated hereby.</w:t>
      </w:r>
    </w:p>
    <w:p>
      <w:pPr>
        <w:spacing w:after="0" w:line="63" w:lineRule="exact"/>
        <w:rPr>
          <w:rFonts w:ascii="Arial" w:cs="Arial" w:eastAsia="Arial" w:hAnsi="Arial"/>
          <w:sz w:val="17"/>
          <w:szCs w:val="17"/>
          <w:color w:val="auto"/>
        </w:rPr>
      </w:pPr>
    </w:p>
    <w:p>
      <w:pPr>
        <w:ind w:left="-20" w:firstLine="408"/>
        <w:spacing w:after="0" w:line="269" w:lineRule="auto"/>
        <w:tabs>
          <w:tab w:leader="none" w:pos="77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 None of the Company, or any director, officer, or employee thereof, or, to the Company’s knowledge, any affiliate, agent or representative of the Company,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 applicable anti-corruption laws; (ii) the Company has conducted its business in compliance with applicable anti-corruption laws and has instituted and maintained and will continue to maintain policies and procedures reasonably designed to promote and achieve compliance with such laws and with the representations and warranties contained herein; and (iii) the Company will not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3" w:lineRule="exact"/>
        <w:rPr>
          <w:rFonts w:ascii="Arial" w:cs="Arial" w:eastAsia="Arial" w:hAnsi="Arial"/>
          <w:sz w:val="17"/>
          <w:szCs w:val="17"/>
          <w:color w:val="auto"/>
        </w:rPr>
      </w:pPr>
    </w:p>
    <w:p>
      <w:pPr>
        <w:ind w:left="-20" w:right="140" w:firstLine="408"/>
        <w:spacing w:after="0" w:line="271" w:lineRule="auto"/>
        <w:tabs>
          <w:tab w:leader="none" w:pos="76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60"/>
          </w:cols>
          <w:pgMar w:left="1440" w:top="274" w:right="499" w:bottom="1440" w:gutter="0" w:footer="0" w:header="0"/>
        </w:sectPr>
      </w:pPr>
    </w:p>
    <w:bookmarkStart w:id="306" w:name="page307"/>
    <w:bookmarkEnd w:id="306"/>
    <w:p>
      <w:pPr>
        <w:ind w:left="-20" w:right="140" w:firstLine="408"/>
        <w:spacing w:after="0" w:line="342" w:lineRule="auto"/>
        <w:tabs>
          <w:tab w:leader="none" w:pos="7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None of the Company, or any director, officer, or employee thereof, or, to the Company’s knowledge, any agent, affiliate or representative of the Company,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that is, or is owned or controlled by one or more Persons that are:</w:t>
      </w:r>
    </w:p>
    <w:p>
      <w:pPr>
        <w:spacing w:after="0" w:line="15" w:lineRule="exact"/>
        <w:rPr>
          <w:rFonts w:ascii="Arial" w:cs="Arial" w:eastAsia="Arial" w:hAnsi="Arial"/>
          <w:sz w:val="16"/>
          <w:szCs w:val="16"/>
          <w:color w:val="auto"/>
        </w:rPr>
      </w:pPr>
    </w:p>
    <w:p>
      <w:pPr>
        <w:ind w:left="980" w:right="80" w:firstLine="360"/>
        <w:spacing w:after="0" w:line="263" w:lineRule="auto"/>
        <w:tabs>
          <w:tab w:leader="none" w:pos="177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80" w:right="700" w:firstLine="360"/>
        <w:spacing w:after="0" w:line="277" w:lineRule="auto"/>
        <w:tabs>
          <w:tab w:leader="none" w:pos="176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420" w:right="440" w:firstLine="391"/>
        <w:spacing w:after="0" w:line="277" w:lineRule="auto"/>
        <w:tabs>
          <w:tab w:leader="none" w:pos="12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joint venture partner or other Person:</w:t>
      </w:r>
    </w:p>
    <w:p>
      <w:pPr>
        <w:spacing w:after="0" w:line="62" w:lineRule="exact"/>
        <w:rPr>
          <w:rFonts w:ascii="Arial" w:cs="Arial" w:eastAsia="Arial" w:hAnsi="Arial"/>
          <w:sz w:val="18"/>
          <w:szCs w:val="18"/>
          <w:color w:val="auto"/>
        </w:rPr>
      </w:pPr>
    </w:p>
    <w:p>
      <w:pPr>
        <w:ind w:left="980" w:right="120" w:firstLine="360"/>
        <w:spacing w:after="0" w:line="277" w:lineRule="auto"/>
        <w:tabs>
          <w:tab w:leader="none" w:pos="177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80" w:right="120" w:firstLine="360"/>
        <w:spacing w:after="0" w:line="277" w:lineRule="auto"/>
        <w:tabs>
          <w:tab w:leader="none" w:pos="176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jc w:val="both"/>
        <w:ind w:left="420" w:right="60" w:firstLine="391"/>
        <w:spacing w:after="0" w:line="263" w:lineRule="auto"/>
        <w:tabs>
          <w:tab w:leader="none" w:pos="125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 the past 5 years, the Company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left="-20" w:firstLine="408"/>
        <w:spacing w:after="0" w:line="275" w:lineRule="auto"/>
        <w:tabs>
          <w:tab w:leader="none" w:pos="75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w:t>
      </w:r>
    </w:p>
    <w:p>
      <w:pPr>
        <w:spacing w:after="0" w:line="68" w:lineRule="exact"/>
        <w:rPr>
          <w:rFonts w:ascii="Arial" w:cs="Arial" w:eastAsia="Arial" w:hAnsi="Arial"/>
          <w:sz w:val="17"/>
          <w:szCs w:val="17"/>
          <w:color w:val="auto"/>
        </w:rPr>
      </w:pPr>
    </w:p>
    <w:p>
      <w:pPr>
        <w:ind w:left="-20" w:right="20" w:firstLine="408"/>
        <w:spacing w:after="0" w:line="273" w:lineRule="auto"/>
        <w:tabs>
          <w:tab w:leader="none" w:pos="72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Company has good and marketable title to all real property and good and marketable title to all personal property owned by them which is material to the business of the Company, free and clear of all liens, encumbrances and defects except such as do not materially affect the value of such property and do not materially interfere with the use made and proposed to be made of such property by the Company; and any real property and buildings held under lease by the Company is held under valid, subsisting and enforceable leases with such exceptions as are not material and would not reasonably be expected to materially interfere with the use made and proposed to be made of such property and buildings by the Company.</w:t>
      </w:r>
    </w:p>
    <w:p>
      <w:pPr>
        <w:spacing w:after="0" w:line="1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80"/>
          </w:cols>
          <w:pgMar w:left="1440" w:top="274" w:right="479" w:bottom="1440" w:gutter="0" w:footer="0" w:header="0"/>
        </w:sectPr>
      </w:pPr>
    </w:p>
    <w:bookmarkStart w:id="307" w:name="page308"/>
    <w:bookmarkEnd w:id="307"/>
    <w:p>
      <w:pPr>
        <w:ind w:left="-20" w:firstLine="408"/>
        <w:spacing w:after="0" w:line="285" w:lineRule="auto"/>
        <w:tabs>
          <w:tab w:leader="none" w:pos="771" w:val="left"/>
        </w:tabs>
        <w:numPr>
          <w:ilvl w:val="0"/>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The Company solely and exclusively owns or has a valid and enforceable license or right to use all patents, inventions, copyrights, know how (including trade secrets and other unpatented and/or unpatentable proprietary or confidential information, systems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used in or reasonably necessary to conduct its business; (ii) the Intellectual Property Rights owned by the Company and, to the Company’s knowledge, the Intellectual Property Rights licensed to the Company, are valid, subsisting and enforceable, and there is no material pending or, to the Company’s knowledge, threatened action, suit, proceeding or claim by others challenging the validity, scope or enforceability of any such Intellectual Property Rights; (iii) the Company has not received any written notice alleging any material infringement, misappropriation or other violation of Intellectual Property Rights; (iv) to the Company’s knowledge, no third party is infringing, misappropriating or otherwise violating, or has infringed, misappropriated or otherwise violated, any Intellectual Property Rights owned or licensed by the Company; (v) the Company does not infringe, misappropriate or otherwise violate, nor has infringed, misappropriated or otherwise violated, any Intellectual Property Rights; (vi) all employees or contractors engaged in the development of Intellectual Property Rights on behalf of the Company have executed an invention assignment agreement whereby such employees or contractors presently assign all of their right, title and interest in and to such Intellectual Property Rights to the Company, and to the Company’s knowledge no such agreement has been breached or violated; and (vii) the Company uses, and has used, commercially reasonable efforts to appropriately maintain all information intended to be maintained as a trade secret.</w:t>
      </w:r>
    </w:p>
    <w:p>
      <w:pPr>
        <w:spacing w:after="0" w:line="68" w:lineRule="exact"/>
        <w:rPr>
          <w:rFonts w:ascii="Arial" w:cs="Arial" w:eastAsia="Arial" w:hAnsi="Arial"/>
          <w:sz w:val="16"/>
          <w:szCs w:val="16"/>
          <w:color w:val="auto"/>
        </w:rPr>
      </w:pPr>
    </w:p>
    <w:p>
      <w:pPr>
        <w:ind w:left="-20" w:right="20" w:firstLine="408"/>
        <w:spacing w:after="0" w:line="272" w:lineRule="auto"/>
        <w:tabs>
          <w:tab w:leader="none" w:pos="81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 The Company uses and has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7"/>
          <w:szCs w:val="17"/>
          <w:b w:val="1"/>
          <w:bCs w:val="1"/>
          <w:color w:val="auto"/>
        </w:rPr>
        <w:t>Open Source Software</w:t>
      </w:r>
      <w:r>
        <w:rPr>
          <w:rFonts w:ascii="Arial" w:cs="Arial" w:eastAsia="Arial" w:hAnsi="Arial"/>
          <w:sz w:val="17"/>
          <w:szCs w:val="17"/>
          <w:color w:val="auto"/>
        </w:rPr>
        <w:t>”) in compliance with all license terms applicable to such Open Source Software; and (ii) the Company does not use or distribute nor has used or distributed any Open Source Software in any manner that requires or has required (A) the Company to permit reverse engineering of any software code or other technology owned by the Company or (B) any software code or other technology owned by the Company to be (1) disclosed or distributed in source code form, (2) licensed for the purpose of making derivative works or (3) redistributed at no charge.</w:t>
      </w:r>
    </w:p>
    <w:p>
      <w:pPr>
        <w:spacing w:after="0" w:line="69" w:lineRule="exact"/>
        <w:rPr>
          <w:rFonts w:ascii="Arial" w:cs="Arial" w:eastAsia="Arial" w:hAnsi="Arial"/>
          <w:sz w:val="17"/>
          <w:szCs w:val="17"/>
          <w:color w:val="auto"/>
        </w:rPr>
      </w:pPr>
    </w:p>
    <w:p>
      <w:pPr>
        <w:ind w:left="-20" w:right="340" w:firstLine="408"/>
        <w:spacing w:after="0" w:line="277" w:lineRule="auto"/>
        <w:tabs>
          <w:tab w:leader="none" w:pos="81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The Company has complied in all material respects and is presently in compliance with all internal and external privacy policies, contractual obligations, industry standards, applicable laws, statutes, judgments, orders, rules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00"/>
          </w:cols>
          <w:pgMar w:left="1440" w:top="274" w:right="459" w:bottom="1440" w:gutter="0" w:footer="0" w:header="0"/>
        </w:sectPr>
      </w:pPr>
    </w:p>
    <w:bookmarkStart w:id="308" w:name="page309"/>
    <w:bookmarkEnd w:id="308"/>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regulations of any court or arbitrator or other governmental or regulatory authority and any other legal obligations, in each case, relating to the collection, use, transfer, import, export, storage, protection, disposal and disclosure by the Company of personally identifiable or other regulated data (“</w:t>
      </w:r>
      <w:r>
        <w:rPr>
          <w:rFonts w:ascii="Arial" w:cs="Arial" w:eastAsia="Arial" w:hAnsi="Arial"/>
          <w:sz w:val="17"/>
          <w:szCs w:val="17"/>
          <w:b w:val="1"/>
          <w:bCs w:val="1"/>
          <w:color w:val="auto"/>
        </w:rPr>
        <w:t>Data Security Obligations</w:t>
      </w:r>
      <w:r>
        <w:rPr>
          <w:rFonts w:ascii="Arial" w:cs="Arial" w:eastAsia="Arial" w:hAnsi="Arial"/>
          <w:sz w:val="17"/>
          <w:szCs w:val="17"/>
          <w:color w:val="auto"/>
        </w:rPr>
        <w:t>”, and such data, “</w:t>
      </w:r>
      <w:r>
        <w:rPr>
          <w:rFonts w:ascii="Arial" w:cs="Arial" w:eastAsia="Arial" w:hAnsi="Arial"/>
          <w:sz w:val="17"/>
          <w:szCs w:val="17"/>
          <w:b w:val="1"/>
          <w:bCs w:val="1"/>
          <w:color w:val="auto"/>
        </w:rPr>
        <w:t>Data</w:t>
      </w:r>
      <w:r>
        <w:rPr>
          <w:rFonts w:ascii="Arial" w:cs="Arial" w:eastAsia="Arial" w:hAnsi="Arial"/>
          <w:sz w:val="17"/>
          <w:szCs w:val="17"/>
          <w:color w:val="auto"/>
        </w:rPr>
        <w:t>”); (ii) the Company has not received any written notification of or complaint regarding material non-compliance with any Data Security Obligation; and (iii) there is no action, suit, investigation or proceeding by or before any court or governmental agency, authority or body pending or, to the Company’s knowledge, threatened alleging non-compliance with any Data Security Obligation.</w:t>
      </w:r>
    </w:p>
    <w:p>
      <w:pPr>
        <w:spacing w:after="0" w:line="70" w:lineRule="exact"/>
        <w:rPr>
          <w:sz w:val="20"/>
          <w:szCs w:val="20"/>
          <w:color w:val="auto"/>
        </w:rPr>
      </w:pPr>
    </w:p>
    <w:p>
      <w:pPr>
        <w:ind w:firstLine="408"/>
        <w:spacing w:after="0" w:line="287" w:lineRule="auto"/>
        <w:tabs>
          <w:tab w:leader="none" w:pos="78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Company’s information technology assets and equipment, computers, systems, networks, hardware, software, internet websites, applications and data and databases (including the data of their respective customers, employees, suppliers, vendors and any third-party data maintained by or on behalf of the Company)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free and clear of all bugs, errors, defects, Trojan horses, time bombs, malware and other corruptants. The Company has implemented reasonable controls, policies, procedures and technical safeguards to protect the IT Systems and Data used in connection with the operation of the Company’s business. Without limiting the foregoing, the Company has used reasonable efforts to implement appropriate controls, policies, procedures and technical safeguards to establish and maintain, and have implemented, maintained and complied with, reasonable data protection controls, policies and procedures that are designed to protect against and prevent breach, destruction, loss, unauthorized distribution, use, access, disablement, misappropriation or modification, or other compromise or misuse of any IT Systems or Data used in connection with the operation of the Company’s business (“</w:t>
      </w:r>
      <w:r>
        <w:rPr>
          <w:rFonts w:ascii="Arial" w:cs="Arial" w:eastAsia="Arial" w:hAnsi="Arial"/>
          <w:sz w:val="16"/>
          <w:szCs w:val="16"/>
          <w:b w:val="1"/>
          <w:bCs w:val="1"/>
          <w:color w:val="auto"/>
        </w:rPr>
        <w:t>Breach</w:t>
      </w:r>
      <w:r>
        <w:rPr>
          <w:rFonts w:ascii="Arial" w:cs="Arial" w:eastAsia="Arial" w:hAnsi="Arial"/>
          <w:sz w:val="16"/>
          <w:szCs w:val="16"/>
          <w:color w:val="auto"/>
        </w:rPr>
        <w:t>”). To the Company’s knowledge, there has been no material Breach, and the Company has not been notified of and has no knowledge of any event or condition that would reasonably be expected to result in, any such material Breach.</w:t>
      </w:r>
    </w:p>
    <w:p>
      <w:pPr>
        <w:spacing w:after="0" w:line="59" w:lineRule="exact"/>
        <w:rPr>
          <w:rFonts w:ascii="Arial" w:cs="Arial" w:eastAsia="Arial" w:hAnsi="Arial"/>
          <w:sz w:val="16"/>
          <w:szCs w:val="16"/>
          <w:color w:val="auto"/>
        </w:rPr>
      </w:pPr>
    </w:p>
    <w:p>
      <w:pPr>
        <w:ind w:right="240" w:firstLine="408"/>
        <w:spacing w:after="0" w:line="311" w:lineRule="auto"/>
        <w:tabs>
          <w:tab w:leader="none" w:pos="79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would, singly or in the aggregate, have a material adverse effect on the Company.</w:t>
      </w:r>
    </w:p>
    <w:p>
      <w:pPr>
        <w:spacing w:after="0" w:line="40" w:lineRule="exact"/>
        <w:rPr>
          <w:rFonts w:ascii="Arial" w:cs="Arial" w:eastAsia="Arial" w:hAnsi="Arial"/>
          <w:sz w:val="16"/>
          <w:szCs w:val="16"/>
          <w:color w:val="auto"/>
        </w:rPr>
      </w:pPr>
    </w:p>
    <w:p>
      <w:pPr>
        <w:ind w:right="60" w:firstLine="408"/>
        <w:spacing w:after="0" w:line="296" w:lineRule="auto"/>
        <w:tabs>
          <w:tab w:leader="none" w:pos="77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Company is insured by insurers of recognized financial responsibility against such losses and risks and in such amounts as in the Company’s reasonable judgment are prudent and customary in the businesses in which they are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w:t>
      </w:r>
    </w:p>
    <w:p>
      <w:pPr>
        <w:spacing w:after="0" w:line="9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20" w:top="274" w:right="459" w:bottom="1440" w:gutter="0" w:footer="0" w:header="0"/>
        </w:sectPr>
      </w:pPr>
    </w:p>
    <w:bookmarkStart w:id="309" w:name="page310"/>
    <w:bookmarkEnd w:id="309"/>
    <w:p>
      <w:pPr>
        <w:ind w:left="-20" w:right="80" w:firstLine="408"/>
        <w:spacing w:after="0" w:line="279" w:lineRule="auto"/>
        <w:tabs>
          <w:tab w:leader="none" w:pos="837" w:val="left"/>
        </w:tabs>
        <w:numPr>
          <w:ilvl w:val="0"/>
          <w:numId w:val="1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possesses all certificates, authorizations and permits issued by the appropriate federal, state or foreign regulatory authorities necessary to conduct their respective businesses, and the Company has not received any written notice of proceedings relating to the revocation or modification of any such certificate, authorization or permit which, singly or in the aggregate, if the subject of an unfavorable decision, ruling or finding, would have a material adverse effect on the Company.</w:t>
      </w:r>
    </w:p>
    <w:p>
      <w:pPr>
        <w:spacing w:after="0" w:line="63" w:lineRule="exact"/>
        <w:rPr>
          <w:rFonts w:ascii="Arial" w:cs="Arial" w:eastAsia="Arial" w:hAnsi="Arial"/>
          <w:sz w:val="17"/>
          <w:szCs w:val="17"/>
          <w:color w:val="auto"/>
        </w:rPr>
      </w:pPr>
    </w:p>
    <w:p>
      <w:pPr>
        <w:ind w:left="-20" w:right="120" w:firstLine="408"/>
        <w:spacing w:after="0" w:line="311" w:lineRule="auto"/>
        <w:tabs>
          <w:tab w:leader="none" w:pos="85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statistical and market-related data included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40" w:lineRule="exact"/>
        <w:rPr>
          <w:rFonts w:ascii="Arial" w:cs="Arial" w:eastAsia="Arial" w:hAnsi="Arial"/>
          <w:sz w:val="16"/>
          <w:szCs w:val="16"/>
          <w:color w:val="auto"/>
        </w:rPr>
      </w:pPr>
    </w:p>
    <w:p>
      <w:pPr>
        <w:ind w:left="-20" w:firstLine="408"/>
        <w:spacing w:after="0" w:line="259" w:lineRule="auto"/>
        <w:tabs>
          <w:tab w:leader="none" w:pos="8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has operated at all times and is currently in compliance in all material respects with all applicable statutes, rules and regulations of the U.S.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and applicable foreign regulatory authorities, including the European Medicines Agency and the UK Medicines &amp; Healthcare products Regulatory Agency (collectively, the “Regulatory Authorities”), including, without limitation</w:t>
      </w:r>
    </w:p>
    <w:p>
      <w:pPr>
        <w:spacing w:after="0" w:line="78" w:lineRule="exact"/>
        <w:rPr>
          <w:rFonts w:ascii="Arial" w:cs="Arial" w:eastAsia="Arial" w:hAnsi="Arial"/>
          <w:sz w:val="18"/>
          <w:szCs w:val="18"/>
          <w:color w:val="auto"/>
        </w:rPr>
      </w:pPr>
    </w:p>
    <w:p>
      <w:pPr>
        <w:ind w:left="1160" w:hanging="349"/>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Federal Food, Drug, and Cosmetic Act and the regulations promulgated thereunder;</w:t>
      </w:r>
    </w:p>
    <w:p>
      <w:pPr>
        <w:spacing w:after="0" w:line="117" w:lineRule="exact"/>
        <w:rPr>
          <w:rFonts w:ascii="Arial" w:cs="Arial" w:eastAsia="Arial" w:hAnsi="Arial"/>
          <w:sz w:val="18"/>
          <w:szCs w:val="18"/>
          <w:color w:val="auto"/>
        </w:rPr>
      </w:pPr>
    </w:p>
    <w:p>
      <w:pPr>
        <w:ind w:left="1220" w:hanging="409"/>
        <w:spacing w:after="0"/>
        <w:tabs>
          <w:tab w:leader="none" w:pos="12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applicable federal, state, local and foreign health care laws, including the U.S. Anti-Kickback Statute (42 U.S.C.</w:t>
      </w:r>
    </w:p>
    <w:p>
      <w:pPr>
        <w:spacing w:after="0" w:line="35" w:lineRule="exact"/>
        <w:rPr>
          <w:sz w:val="20"/>
          <w:szCs w:val="20"/>
          <w:color w:val="auto"/>
        </w:rPr>
      </w:pPr>
    </w:p>
    <w:p>
      <w:pPr>
        <w:ind w:left="420" w:right="20"/>
        <w:spacing w:after="0" w:line="290" w:lineRule="auto"/>
        <w:rPr>
          <w:sz w:val="20"/>
          <w:szCs w:val="20"/>
          <w:color w:val="auto"/>
        </w:rPr>
      </w:pPr>
      <w:r>
        <w:rPr>
          <w:rFonts w:ascii="Arial" w:cs="Arial" w:eastAsia="Arial" w:hAnsi="Arial"/>
          <w:sz w:val="16"/>
          <w:szCs w:val="16"/>
          <w:color w:val="auto"/>
        </w:rPr>
        <w:t>Section 1320a-7b(b)), the Civil Monetary Penalties Law (42 U.S.C. § 1320a-7a), the U.S. Civil False Claims Act (31 U.S.C. Section 3729 et seq.), all applicable federal, state, local and all foreign criminal laws relating to health care fraud and abuse, including but not limited to false statements relating to health care matters (42 U.S.C. Section 1320a-7b(a)), 18 U.S.C. Sections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exclusion laws, the statutes, regulations and directives of applicable government funded or sponsored healthcare programs, and the regulations promulgated pursuant to such statutes;</w:t>
      </w:r>
    </w:p>
    <w:p>
      <w:pPr>
        <w:spacing w:after="0" w:line="56" w:lineRule="exact"/>
        <w:rPr>
          <w:sz w:val="20"/>
          <w:szCs w:val="20"/>
          <w:color w:val="auto"/>
        </w:rPr>
      </w:pPr>
    </w:p>
    <w:p>
      <w:pPr>
        <w:ind w:left="420" w:right="100" w:firstLine="391"/>
        <w:spacing w:after="0" w:line="301" w:lineRule="auto"/>
        <w:tabs>
          <w:tab w:leader="none" w:pos="125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40"/>
          </w:cols>
          <w:pgMar w:left="1440" w:top="274" w:right="519" w:bottom="1440" w:gutter="0" w:footer="0" w:header="0"/>
        </w:sectPr>
      </w:pPr>
    </w:p>
    <w:bookmarkStart w:id="310" w:name="page311"/>
    <w:bookmarkEnd w:id="310"/>
    <w:p>
      <w:pPr>
        <w:ind w:left="420" w:right="280" w:firstLine="391"/>
        <w:spacing w:after="0" w:line="277" w:lineRule="auto"/>
        <w:tabs>
          <w:tab w:leader="none" w:pos="1243"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Patient Protection and Affordable Care Act of 2010, as amended by the Health Care and Education Reconciliation Act of 2010, the regulations promulgated thereunder;</w:t>
      </w:r>
    </w:p>
    <w:p>
      <w:pPr>
        <w:spacing w:after="0" w:line="62" w:lineRule="exact"/>
        <w:rPr>
          <w:rFonts w:ascii="Arial" w:cs="Arial" w:eastAsia="Arial" w:hAnsi="Arial"/>
          <w:sz w:val="18"/>
          <w:szCs w:val="18"/>
          <w:color w:val="auto"/>
        </w:rPr>
      </w:pPr>
    </w:p>
    <w:p>
      <w:pPr>
        <w:ind w:left="1200" w:hanging="389"/>
        <w:spacing w:after="0"/>
        <w:tabs>
          <w:tab w:leader="none" w:pos="12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U.S. Controlled Substances Act (21 U.S.C. Section 801 et seq.);</w:t>
      </w:r>
    </w:p>
    <w:p>
      <w:pPr>
        <w:spacing w:after="0" w:line="113" w:lineRule="exact"/>
        <w:rPr>
          <w:rFonts w:ascii="Arial" w:cs="Arial" w:eastAsia="Arial" w:hAnsi="Arial"/>
          <w:sz w:val="18"/>
          <w:szCs w:val="18"/>
          <w:color w:val="auto"/>
        </w:rPr>
      </w:pPr>
    </w:p>
    <w:p>
      <w:pPr>
        <w:ind w:left="1260" w:hanging="449"/>
        <w:spacing w:after="0"/>
        <w:tabs>
          <w:tab w:leader="none" w:pos="12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Clinical Laboratories Improvement Act of 1967, as amended) (“</w:t>
      </w:r>
      <w:r>
        <w:rPr>
          <w:rFonts w:ascii="Arial" w:cs="Arial" w:eastAsia="Arial" w:hAnsi="Arial"/>
          <w:sz w:val="18"/>
          <w:szCs w:val="18"/>
          <w:b w:val="1"/>
          <w:bCs w:val="1"/>
          <w:color w:val="auto"/>
        </w:rPr>
        <w:t>CLIA</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20" w:right="740" w:firstLine="391"/>
        <w:spacing w:after="0" w:line="277" w:lineRule="auto"/>
        <w:tabs>
          <w:tab w:leader="none" w:pos="129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licensure, quality, safety and accreditation requirements under applicable federal, state, local or foreign laws or regulatory bodies; and</w:t>
      </w:r>
    </w:p>
    <w:p>
      <w:pPr>
        <w:spacing w:after="0" w:line="62" w:lineRule="exact"/>
        <w:rPr>
          <w:rFonts w:ascii="Arial" w:cs="Arial" w:eastAsia="Arial" w:hAnsi="Arial"/>
          <w:sz w:val="18"/>
          <w:szCs w:val="18"/>
          <w:color w:val="auto"/>
        </w:rPr>
      </w:pPr>
    </w:p>
    <w:p>
      <w:pPr>
        <w:ind w:left="420" w:right="60" w:firstLine="391"/>
        <w:spacing w:after="0" w:line="259" w:lineRule="auto"/>
        <w:tabs>
          <w:tab w:leader="none" w:pos="134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 (i) through (viii), collectively, “</w:t>
      </w:r>
      <w:r>
        <w:rPr>
          <w:rFonts w:ascii="Arial" w:cs="Arial" w:eastAsia="Arial" w:hAnsi="Arial"/>
          <w:sz w:val="18"/>
          <w:szCs w:val="18"/>
          <w:b w:val="1"/>
          <w:bCs w:val="1"/>
          <w:color w:val="auto"/>
        </w:rPr>
        <w:t>Health Care Laws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0" w:firstLine="408"/>
        <w:spacing w:after="0" w:line="286" w:lineRule="auto"/>
        <w:tabs>
          <w:tab w:leader="none" w:pos="8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 the studies, tests and preclinical and clinical trials conducted by or, to the Company’s knowledge, on behalf of or sponsored by the Company or in which the Company has participated, were, and if still pending are being conducted in all material respects in accordance with standard medical and experimental protocols, procedures and controls pursuant to accepted professional scientific research standards and procedures, and all applicable Health Care Laws, the rules and regulations of the Regulatory Authorities and, to the extent required, current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are materially inconsistent with or call into question the results described or referred to in the Registration Statement, the Time of Sale Prospectus and the Prospectus; has provided the Underwriters with all substantive written notices, correspondence and summaries of all other communications provided to the Company from the Regulatory Authorities; and (iv) the Company has not received any written notices or correspondence from any Regulatory Authority or any other governmental entity requiring the termination, material modification or suspension of any studies or trials that are described in the Registration Statement, the Time of Sale Prospectus and the Prospectus or the results of which are referred to in the Registration Statement, the Time of Sale Prospectus and the Prospectus.</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20"/>
          </w:cols>
          <w:pgMar w:left="1440" w:top="274" w:right="439" w:bottom="1440" w:gutter="0" w:footer="0" w:header="0"/>
        </w:sectPr>
      </w:pPr>
    </w:p>
    <w:bookmarkStart w:id="311" w:name="page312"/>
    <w:bookmarkEnd w:id="311"/>
    <w:p>
      <w:pPr>
        <w:ind w:left="-20" w:right="20" w:firstLine="408"/>
        <w:spacing w:after="0" w:line="286" w:lineRule="auto"/>
        <w:tabs>
          <w:tab w:leader="none" w:pos="885"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party to any corporate integrity agreements, monitoring agreements, consent decrees, settlement orders, or similar agreements with or imposed by any Regulatory Authority or other governmental entity; and (iv) neither the Company nor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62" w:lineRule="exact"/>
        <w:rPr>
          <w:rFonts w:ascii="Arial" w:cs="Arial" w:eastAsia="Arial" w:hAnsi="Arial"/>
          <w:sz w:val="16"/>
          <w:szCs w:val="16"/>
          <w:color w:val="auto"/>
        </w:rPr>
      </w:pPr>
    </w:p>
    <w:p>
      <w:pPr>
        <w:ind w:left="-20" w:right="160" w:firstLine="408"/>
        <w:spacing w:after="0" w:line="257" w:lineRule="auto"/>
        <w:tabs>
          <w:tab w:leader="none" w:pos="79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Company’s clinical laboratory tests are conducted in compliance with all applicable Health Care Laws, and, to the extent applicable, the respective counterparts thereof promulgated by governmental authorities in countries outside the United States. The Company has not received notice from the FDA, HHS or other governmental authority alleging or asserting noncompliance with any applicable Health Care Law. To the Company’s knowledge, neither the FDA nor any other governmental authority is considering such action.</w:t>
      </w:r>
    </w:p>
    <w:p>
      <w:pPr>
        <w:spacing w:after="0" w:line="79" w:lineRule="exact"/>
        <w:rPr>
          <w:rFonts w:ascii="Arial" w:cs="Arial" w:eastAsia="Arial" w:hAnsi="Arial"/>
          <w:sz w:val="18"/>
          <w:szCs w:val="18"/>
          <w:color w:val="auto"/>
        </w:rPr>
      </w:pPr>
    </w:p>
    <w:p>
      <w:pPr>
        <w:ind w:left="-20" w:firstLine="408"/>
        <w:spacing w:after="0" w:line="293" w:lineRule="auto"/>
        <w:tabs>
          <w:tab w:leader="none" w:pos="85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6"/>
          <w:szCs w:val="16"/>
          <w:b w:val="1"/>
          <w:bCs w:val="1"/>
          <w:color w:val="auto"/>
        </w:rPr>
        <w:t>U.S. GAAP</w:t>
      </w:r>
      <w:r>
        <w:rPr>
          <w:rFonts w:ascii="Arial" w:cs="Arial" w:eastAsia="Arial" w:hAnsi="Arial"/>
          <w:sz w:val="16"/>
          <w:szCs w:val="16"/>
          <w:color w:val="auto"/>
        </w:rPr>
        <w:t>”) applied on a consistent basis throughout the periods covered thereby except for any normal year-end adjustments in the Company’s quarterly financial statements.</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80"/>
          </w:cols>
          <w:pgMar w:left="1440" w:top="274" w:right="479" w:bottom="1440" w:gutter="0" w:footer="0" w:header="0"/>
        </w:sectPr>
      </w:pPr>
    </w:p>
    <w:bookmarkStart w:id="312" w:name="page313"/>
    <w:bookmarkEnd w:id="312"/>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other financial information included in each of the Registration Statement, the Time of Sale Prospectus and the Prospectus has been derived from the accounting records of the Company and presents fairly in all material respects the information shown thereby.</w:t>
      </w:r>
    </w:p>
    <w:p>
      <w:pPr>
        <w:spacing w:after="0" w:line="16" w:lineRule="exact"/>
        <w:rPr>
          <w:sz w:val="20"/>
          <w:szCs w:val="20"/>
          <w:color w:val="auto"/>
        </w:rPr>
      </w:pPr>
    </w:p>
    <w:p>
      <w:pPr>
        <w:ind w:right="180" w:firstLine="408"/>
        <w:spacing w:after="0" w:line="275" w:lineRule="auto"/>
        <w:tabs>
          <w:tab w:leader="none" w:pos="8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KPMG LLP, who have certified certain financial statements of the Company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68" w:lineRule="exact"/>
        <w:rPr>
          <w:rFonts w:ascii="Arial" w:cs="Arial" w:eastAsia="Arial" w:hAnsi="Arial"/>
          <w:sz w:val="17"/>
          <w:szCs w:val="17"/>
          <w:color w:val="auto"/>
        </w:rPr>
      </w:pPr>
    </w:p>
    <w:p>
      <w:pPr>
        <w:ind w:firstLine="408"/>
        <w:spacing w:after="0" w:line="290" w:lineRule="auto"/>
        <w:tabs>
          <w:tab w:leader="none" w:pos="79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spacing w:after="0" w:line="57" w:lineRule="exact"/>
        <w:rPr>
          <w:rFonts w:ascii="Arial" w:cs="Arial" w:eastAsia="Arial" w:hAnsi="Arial"/>
          <w:sz w:val="16"/>
          <w:szCs w:val="16"/>
          <w:color w:val="auto"/>
        </w:rPr>
      </w:pPr>
    </w:p>
    <w:p>
      <w:pPr>
        <w:jc w:val="both"/>
        <w:ind w:right="160" w:firstLine="408"/>
        <w:spacing w:after="0" w:line="259" w:lineRule="auto"/>
        <w:tabs>
          <w:tab w:leader="none" w:pos="79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right="120" w:firstLine="408"/>
        <w:spacing w:after="0" w:line="259" w:lineRule="auto"/>
        <w:tabs>
          <w:tab w:leader="none" w:pos="87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Registration Statement, the Prospectus, the Time of Sale Prospectus and any preliminary prospectus comply, and any amendments or supplements thereto will comply, with any applicable laws or regulations of foreign jurisdictions in which the Prospectus, the Time of Sale Prospectus or any preliminary prospectus, as amended or supplemented, if applicable, are distributed in connection with the Directed Share Program.</w:t>
      </w:r>
    </w:p>
    <w:p>
      <w:pPr>
        <w:spacing w:after="0" w:line="78" w:lineRule="exact"/>
        <w:rPr>
          <w:rFonts w:ascii="Arial" w:cs="Arial" w:eastAsia="Arial" w:hAnsi="Arial"/>
          <w:sz w:val="18"/>
          <w:szCs w:val="18"/>
          <w:color w:val="auto"/>
        </w:rPr>
      </w:pPr>
    </w:p>
    <w:p>
      <w:pPr>
        <w:ind w:right="20" w:firstLine="408"/>
        <w:spacing w:after="0" w:line="342" w:lineRule="auto"/>
        <w:tabs>
          <w:tab w:leader="none" w:pos="80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 consent, approval, authorization or order of, or qualification with, any governmental body or agency, other than those obtained, is required in connection with the offering of the Directed Shares in any jurisdiction where the Directed Shares are being offered.</w:t>
      </w:r>
    </w:p>
    <w:p>
      <w:pPr>
        <w:spacing w:after="0" w:line="5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20"/>
          </w:cols>
          <w:pgMar w:left="1420" w:top="274" w:right="459" w:bottom="1440" w:gutter="0" w:footer="0" w:header="0"/>
        </w:sectPr>
      </w:pPr>
    </w:p>
    <w:bookmarkStart w:id="313" w:name="page314"/>
    <w:bookmarkEnd w:id="313"/>
    <w:p>
      <w:pPr>
        <w:ind w:right="120" w:firstLine="408"/>
        <w:spacing w:after="0" w:line="259" w:lineRule="auto"/>
        <w:tabs>
          <w:tab w:leader="none" w:pos="977"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not offered, or caused Morgan Stanley or any Morgan Stanley Entity as defined in Section 9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78" w:lineRule="exact"/>
        <w:rPr>
          <w:rFonts w:ascii="Arial" w:cs="Arial" w:eastAsia="Arial" w:hAnsi="Arial"/>
          <w:sz w:val="18"/>
          <w:szCs w:val="18"/>
          <w:color w:val="auto"/>
        </w:rPr>
      </w:pPr>
    </w:p>
    <w:p>
      <w:pPr>
        <w:ind w:right="40" w:firstLine="408"/>
        <w:spacing w:after="0" w:line="290" w:lineRule="auto"/>
        <w:tabs>
          <w:tab w:leader="none" w:pos="87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has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have paid all taxes required to be paid thereon (except for cases in which the failure to file or pay would not, singly or in the aggregate, reasonably be expected to have a material adverse effect on the Company, or, except as currently being contested in good faith and for which reserves required by U.S. GAAP have been created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57" w:lineRule="exact"/>
        <w:rPr>
          <w:rFonts w:ascii="Arial" w:cs="Arial" w:eastAsia="Arial" w:hAnsi="Arial"/>
          <w:sz w:val="16"/>
          <w:szCs w:val="16"/>
          <w:color w:val="auto"/>
        </w:rPr>
      </w:pPr>
    </w:p>
    <w:p>
      <w:pPr>
        <w:ind w:right="100" w:firstLine="408"/>
        <w:spacing w:after="0" w:line="263"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80" w:hanging="472"/>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(i) has not alone engaged in any Testing-the-Waters Communication with any person other than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Testing-the-Waters Communications with the consent of the Representatives with entities that are reasonably believed to be qualified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institutional buyers within the meaning of Rule 144A under the Securities Act or institutions that are reasonably believed to be accredited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investors within the meaning of Rule 501 under the Securities Act and (ii) has not authorized anyone other than the Representatives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engage in Testing-the-Waters Communications. The Company reconfirms that the Representatives have been authorized to act on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behalf in undertaking Testing-the-Waters Communications. The Company has not distributed any Testing-the-Waters Communication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a written communication within the meaning of Rule 405 under the Securities Act other than those listed on Schedule III hereto.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communication with potential investors undertaken in reliance on Section 5(d) or Rule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163B of the Securities Act.</w:t>
      </w:r>
    </w:p>
    <w:p>
      <w:pPr>
        <w:spacing w:after="0" w:line="14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00"/>
          </w:cols>
          <w:pgMar w:left="1420" w:top="274" w:right="479" w:bottom="1440" w:gutter="0" w:footer="0" w:header="0"/>
        </w:sectPr>
      </w:pPr>
    </w:p>
    <w:bookmarkStart w:id="314" w:name="page315"/>
    <w:bookmarkEnd w:id="314"/>
    <w:p>
      <w:pPr>
        <w:ind w:left="980" w:right="40" w:firstLine="408"/>
        <w:spacing w:after="0" w:line="277" w:lineRule="auto"/>
        <w:tabs>
          <w:tab w:leader="none" w:pos="18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does not have any securities rated by any “nationally recognized statistical rating organization,” as such term is defined in Section 3(a)(62)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80" w:firstLine="408"/>
        <w:spacing w:after="0" w:line="296" w:lineRule="auto"/>
        <w:tabs>
          <w:tab w:leader="none" w:pos="179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61" w:lineRule="exact"/>
        <w:rPr>
          <w:sz w:val="20"/>
          <w:szCs w:val="20"/>
          <w:color w:val="auto"/>
        </w:rPr>
      </w:pPr>
    </w:p>
    <w:p>
      <w:pPr>
        <w:ind w:right="100" w:firstLine="987"/>
        <w:spacing w:after="0" w:line="291" w:lineRule="auto"/>
        <w:tabs>
          <w:tab w:leader="none" w:pos="1306"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basis of the representations and warranties herein contained, but subject to the terms and conditions hereinafter stated, agrees, severally and not jointly,</w:t>
      </w:r>
    </w:p>
    <w:p>
      <w:pPr>
        <w:ind w:right="160"/>
        <w:spacing w:after="0" w:line="260" w:lineRule="auto"/>
        <w:rPr>
          <w:sz w:val="20"/>
          <w:szCs w:val="20"/>
          <w:color w:val="auto"/>
        </w:rPr>
      </w:pPr>
      <w:r>
        <w:rPr>
          <w:rFonts w:ascii="Arial" w:cs="Arial" w:eastAsia="Arial" w:hAnsi="Arial"/>
          <w:sz w:val="18"/>
          <w:szCs w:val="18"/>
          <w:color w:val="auto"/>
        </w:rPr>
        <w:t>to purchase from the Company the respective numbers of Firm Shares set forth in Schedule I hereto opposite its name at $[ ] a share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18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315" w:name="page316"/>
    <w:bookmarkEnd w:id="315"/>
    <w:p>
      <w:pPr>
        <w:ind w:left="1300" w:hanging="313"/>
        <w:spacing w:after="0"/>
        <w:tabs>
          <w:tab w:leader="none" w:pos="130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Terms of Public Offering</w:t>
      </w:r>
      <w:r>
        <w:rPr>
          <w:rFonts w:ascii="Arial" w:cs="Arial" w:eastAsia="Arial" w:hAnsi="Arial"/>
          <w:sz w:val="16"/>
          <w:szCs w:val="16"/>
          <w:color w:val="auto"/>
        </w:rPr>
        <w:t>. The Company is advised by the Representatives that the Underwriters propose to make a public offering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their respective portions of the Shares as soon after the Registration Statement and this Agreement have become effective as in the Representatives’</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judgment is advisable. The Company is further advised by the Representatives that the Shares are to be offered to the public initially at $[ ] a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the Representatives at a price that represents a concession not in excess of $[ ] a share</w:t>
      </w:r>
    </w:p>
    <w:p>
      <w:pPr>
        <w:ind w:right="140"/>
        <w:spacing w:after="0" w:line="260" w:lineRule="auto"/>
        <w:rPr>
          <w:sz w:val="20"/>
          <w:szCs w:val="20"/>
          <w:color w:val="auto"/>
        </w:rPr>
      </w:pPr>
      <w:r>
        <w:rPr>
          <w:rFonts w:ascii="Arial" w:cs="Arial" w:eastAsia="Arial" w:hAnsi="Arial"/>
          <w:sz w:val="18"/>
          <w:szCs w:val="18"/>
          <w:color w:val="auto"/>
        </w:rPr>
        <w:t>under the Public Offering Price, and that any Underwriter may allow, and such dealers may reallow, a concession, not in excess of $[ ] a share, to any Underwriter or to certain other dealers.</w:t>
      </w:r>
    </w:p>
    <w:p>
      <w:pPr>
        <w:spacing w:after="0" w:line="18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Payment and Delivery.</w:t>
      </w:r>
      <w:r>
        <w:rPr>
          <w:rFonts w:ascii="Arial" w:cs="Arial" w:eastAsia="Arial" w:hAnsi="Arial"/>
          <w:sz w:val="18"/>
          <w:szCs w:val="18"/>
          <w:color w:val="auto"/>
        </w:rPr>
        <w:t xml:space="preserve"> Payment for the Firm Shares shall be made to the Company in Federal or other funds immediately available in New York City against delivery of such Firm Shares for the respective accounts of the several Underwriters at 10:00 a.m., New York City time, on [ ], 2020, or at such other time on the same or such other date, not later than [ ], 2020,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400" w:firstLine="991"/>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 2020, as shall be designated in writing by the Representatives.</w:t>
      </w:r>
    </w:p>
    <w:p>
      <w:pPr>
        <w:spacing w:after="0" w:line="18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and similar taxes payable in connection with the transfer of the Shares to the Underwriters duly paid, against payment of the Purchase Price therefor.</w:t>
      </w:r>
    </w:p>
    <w:p>
      <w:pPr>
        <w:spacing w:after="0" w:line="188" w:lineRule="exact"/>
        <w:rPr>
          <w:sz w:val="20"/>
          <w:szCs w:val="20"/>
          <w:color w:val="auto"/>
        </w:rPr>
      </w:pPr>
    </w:p>
    <w:p>
      <w:pPr>
        <w:ind w:right="120" w:firstLine="987"/>
        <w:spacing w:after="0" w:line="263" w:lineRule="auto"/>
        <w:tabs>
          <w:tab w:leader="none" w:pos="1306"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Underwriters to purchase and pay for the Shares on the Closing Date are subject to the condition that the Registration Statement shall have become effective not later than [ ] [a./p.]m. (New York City time) on the date hereof.</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1760" w:hanging="372"/>
        <w:spacing w:after="0"/>
        <w:tabs>
          <w:tab w:leader="none" w:pos="1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1980" w:right="200" w:firstLine="360"/>
        <w:spacing w:after="0" w:line="263" w:lineRule="auto"/>
        <w:tabs>
          <w:tab w:leader="none" w:pos="2691" w:val="left"/>
        </w:tabs>
        <w:numPr>
          <w:ilvl w:val="1"/>
          <w:numId w:val="144"/>
        </w:numPr>
        <w:rPr>
          <w:rFonts w:ascii="Arial" w:cs="Arial" w:eastAsia="Arial" w:hAnsi="Arial"/>
          <w:sz w:val="18"/>
          <w:szCs w:val="18"/>
          <w:color w:val="auto"/>
        </w:rPr>
      </w:pPr>
      <w:r>
        <w:rPr>
          <w:rFonts w:ascii="Arial" w:cs="Arial" w:eastAsia="Arial" w:hAnsi="Arial"/>
          <w:sz w:val="18"/>
          <w:szCs w:val="18"/>
          <w:color w:val="auto"/>
        </w:rPr>
        <w:t>no order suspending the effectiveness of the Registration Statement shall be in effect, and no proceeding for such purpose or pursuant to Section 8A under the Securities Act shall be pending before or, to the knowledge of the Company, threatened by the Commission;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16" w:name="page317"/>
    <w:bookmarkEnd w:id="316"/>
    <w:p>
      <w:pPr>
        <w:ind w:left="1980" w:right="160" w:firstLine="360"/>
        <w:spacing w:after="0" w:line="301" w:lineRule="auto"/>
        <w:tabs>
          <w:tab w:leader="none" w:pos="2741" w:val="left"/>
        </w:tabs>
        <w:numPr>
          <w:ilvl w:val="1"/>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shall not have occurred any change, or any development involving a prospective change, in the condition, financial or otherwise, or in the earnings, business or operations of the Company,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49" w:lineRule="exact"/>
        <w:rPr>
          <w:rFonts w:ascii="Arial" w:cs="Arial" w:eastAsia="Arial" w:hAnsi="Arial"/>
          <w:sz w:val="16"/>
          <w:szCs w:val="16"/>
          <w:color w:val="auto"/>
        </w:rPr>
      </w:pPr>
    </w:p>
    <w:p>
      <w:pPr>
        <w:ind w:left="980" w:firstLine="408"/>
        <w:spacing w:after="0" w:line="301" w:lineRule="auto"/>
        <w:tabs>
          <w:tab w:leader="none" w:pos="176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129" w:lineRule="exact"/>
        <w:rPr>
          <w:sz w:val="20"/>
          <w:szCs w:val="20"/>
          <w:color w:val="auto"/>
        </w:rPr>
      </w:pPr>
    </w:p>
    <w:p>
      <w:pPr>
        <w:ind w:left="980" w:right="40" w:firstLine="408"/>
        <w:spacing w:after="0" w:line="277" w:lineRule="auto"/>
        <w:tabs>
          <w:tab w:leader="none" w:pos="175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letter (including certain negative assurance statements) of Sidley Austin LLP, dated the Closing Date, in substantially the form as set forth on Exhibit C.</w:t>
      </w:r>
    </w:p>
    <w:p>
      <w:pPr>
        <w:spacing w:after="0" w:line="62" w:lineRule="exact"/>
        <w:rPr>
          <w:rFonts w:ascii="Arial" w:cs="Arial" w:eastAsia="Arial" w:hAnsi="Arial"/>
          <w:sz w:val="18"/>
          <w:szCs w:val="18"/>
          <w:color w:val="auto"/>
        </w:rPr>
      </w:pPr>
    </w:p>
    <w:p>
      <w:pPr>
        <w:ind w:left="980" w:firstLine="408"/>
        <w:spacing w:after="0" w:line="263" w:lineRule="auto"/>
        <w:tabs>
          <w:tab w:leader="none" w:pos="176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opinions of (i) Foley Hoag LLP, (ii) Sheridan Ross P.C., (iii) DLA Piper LLP and (iv) Parker Highlander PLLC, each acting as outside intellectual property counsel for the Company, dated the Closing Date, in substantially the forms as set forth on Exhibits D-1, D-2, D-3 and D-4, respectively.</w:t>
      </w:r>
    </w:p>
    <w:p>
      <w:pPr>
        <w:spacing w:after="0" w:line="75" w:lineRule="exact"/>
        <w:rPr>
          <w:rFonts w:ascii="Arial" w:cs="Arial" w:eastAsia="Arial" w:hAnsi="Arial"/>
          <w:sz w:val="18"/>
          <w:szCs w:val="18"/>
          <w:color w:val="auto"/>
        </w:rPr>
      </w:pPr>
    </w:p>
    <w:p>
      <w:pPr>
        <w:ind w:left="980" w:right="300" w:firstLine="408"/>
        <w:spacing w:after="0" w:line="277" w:lineRule="auto"/>
        <w:tabs>
          <w:tab w:leader="none" w:pos="175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Foley Hoag LLP, outside regulatory counsel for the Company, dated the Closing Date, in substantially the form as set forth on Exhibit E.</w:t>
      </w:r>
    </w:p>
    <w:p>
      <w:pPr>
        <w:spacing w:after="0" w:line="62" w:lineRule="exact"/>
        <w:rPr>
          <w:rFonts w:ascii="Arial" w:cs="Arial" w:eastAsia="Arial" w:hAnsi="Arial"/>
          <w:sz w:val="18"/>
          <w:szCs w:val="18"/>
          <w:color w:val="auto"/>
        </w:rPr>
      </w:pPr>
    </w:p>
    <w:p>
      <w:pPr>
        <w:ind w:left="980" w:right="20" w:firstLine="408"/>
        <w:spacing w:after="0" w:line="342" w:lineRule="auto"/>
        <w:tabs>
          <w:tab w:leader="none" w:pos="173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(i) an opinion and (ii) negative assurance letter of Davis Polk &amp; Wardwell LLP, counsel for the Underwriters, dated the Closing Date, in form and substance reasonably satisfactory to the Representatives.</w:t>
      </w:r>
    </w:p>
    <w:p>
      <w:pPr>
        <w:spacing w:after="0" w:line="124" w:lineRule="exact"/>
        <w:rPr>
          <w:sz w:val="20"/>
          <w:szCs w:val="20"/>
          <w:color w:val="auto"/>
        </w:rPr>
      </w:pPr>
    </w:p>
    <w:p>
      <w:pPr>
        <w:jc w:val="both"/>
        <w:ind w:right="40" w:firstLine="991"/>
        <w:spacing w:after="0" w:line="311" w:lineRule="auto"/>
        <w:rPr>
          <w:sz w:val="20"/>
          <w:szCs w:val="20"/>
          <w:color w:val="auto"/>
        </w:rPr>
      </w:pPr>
      <w:r>
        <w:rPr>
          <w:rFonts w:ascii="Arial" w:cs="Arial" w:eastAsia="Arial" w:hAnsi="Arial"/>
          <w:sz w:val="16"/>
          <w:szCs w:val="16"/>
          <w:color w:val="auto"/>
        </w:rPr>
        <w:t>With respect to Sections 5(c) and 5(f) above, Sidley Austin LLP and Davis Polk &amp; Wardwell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17" w:name="page318"/>
    <w:bookmarkEnd w:id="317"/>
    <w:p>
      <w:pPr>
        <w:ind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opinion (including certain negative assurance statements) of Sidley Austin LLP described in Section 5(c) above shall be rendered to the Underwriters at the request of the Company and shall so state therein.</w:t>
      </w:r>
    </w:p>
    <w:p>
      <w:pPr>
        <w:spacing w:after="0" w:line="62" w:lineRule="exact"/>
        <w:rPr>
          <w:sz w:val="20"/>
          <w:szCs w:val="20"/>
          <w:color w:val="auto"/>
        </w:rPr>
      </w:pPr>
    </w:p>
    <w:p>
      <w:pPr>
        <w:ind w:left="980" w:right="80" w:firstLine="408"/>
        <w:spacing w:after="0" w:line="259" w:lineRule="auto"/>
        <w:tabs>
          <w:tab w:leader="none" w:pos="176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Underwriters shall have received, on each of the date hereof and the Closing Date, a certificate dated the date hereof or the Closing Date, as the case may be, in substantially the form as set forth on Exhibit F, from the chief financial officer of the Company as to the accuracy of certain financial and other information included in the Registration Statement, the Time of Sale Prospectus and the Prospectus;</w:t>
      </w:r>
    </w:p>
    <w:p>
      <w:pPr>
        <w:spacing w:after="0" w:line="78" w:lineRule="exact"/>
        <w:rPr>
          <w:rFonts w:ascii="Arial" w:cs="Arial" w:eastAsia="Arial" w:hAnsi="Arial"/>
          <w:sz w:val="18"/>
          <w:szCs w:val="18"/>
          <w:color w:val="auto"/>
        </w:rPr>
      </w:pPr>
    </w:p>
    <w:p>
      <w:pPr>
        <w:ind w:left="980" w:firstLine="408"/>
        <w:spacing w:after="0" w:line="296" w:lineRule="auto"/>
        <w:tabs>
          <w:tab w:leader="none" w:pos="176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reasonably satisfactory to the Underwriters, from KPMG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53" w:lineRule="exact"/>
        <w:rPr>
          <w:rFonts w:ascii="Arial" w:cs="Arial" w:eastAsia="Arial" w:hAnsi="Arial"/>
          <w:sz w:val="16"/>
          <w:szCs w:val="16"/>
          <w:color w:val="auto"/>
        </w:rPr>
      </w:pPr>
    </w:p>
    <w:p>
      <w:pPr>
        <w:ind w:left="980" w:right="160" w:firstLine="408"/>
        <w:spacing w:after="0" w:line="311" w:lineRule="auto"/>
        <w:tabs>
          <w:tab w:leader="none" w:pos="172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“lock-up” agreements, each substantially in the form of Exhibit A hereto, between the Representatives and certain shareholders, officers and directors of the Company relating to sales and certain other dispositions of shares of Common Stock or certain other securities, delivered to the Representatives on or before the date hereof, shall be in full force and effect on the Closing Date.</w:t>
      </w:r>
    </w:p>
    <w:p>
      <w:pPr>
        <w:spacing w:after="0" w:line="40" w:lineRule="exact"/>
        <w:rPr>
          <w:rFonts w:ascii="Arial" w:cs="Arial" w:eastAsia="Arial" w:hAnsi="Arial"/>
          <w:sz w:val="16"/>
          <w:szCs w:val="16"/>
          <w:color w:val="auto"/>
        </w:rPr>
      </w:pPr>
    </w:p>
    <w:p>
      <w:pPr>
        <w:ind w:left="980" w:right="800" w:firstLine="408"/>
        <w:spacing w:after="0" w:line="277" w:lineRule="auto"/>
        <w:tabs>
          <w:tab w:leader="none" w:pos="172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Underwriters on the applicable Option Closing Date of the following:</w:t>
      </w:r>
    </w:p>
    <w:p>
      <w:pPr>
        <w:spacing w:after="0" w:line="62" w:lineRule="exact"/>
        <w:rPr>
          <w:rFonts w:ascii="Arial" w:cs="Arial" w:eastAsia="Arial" w:hAnsi="Arial"/>
          <w:sz w:val="18"/>
          <w:szCs w:val="18"/>
          <w:color w:val="auto"/>
        </w:rPr>
      </w:pPr>
    </w:p>
    <w:p>
      <w:pPr>
        <w:ind w:left="1420" w:right="240" w:firstLine="391"/>
        <w:spacing w:after="0" w:line="342" w:lineRule="auto"/>
        <w:tabs>
          <w:tab w:leader="none" w:pos="215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5" w:lineRule="exact"/>
        <w:rPr>
          <w:rFonts w:ascii="Arial" w:cs="Arial" w:eastAsia="Arial" w:hAnsi="Arial"/>
          <w:sz w:val="16"/>
          <w:szCs w:val="16"/>
          <w:color w:val="auto"/>
        </w:rPr>
      </w:pPr>
    </w:p>
    <w:p>
      <w:pPr>
        <w:ind w:left="1420" w:right="140" w:firstLine="391"/>
        <w:spacing w:after="0" w:line="263" w:lineRule="auto"/>
        <w:tabs>
          <w:tab w:leader="none" w:pos="220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 opinion (including certain negative assurance statements) of Sidley Austin LLP, outside counsel for the Company, dated the Option Closing Date, relating to the Additional Shares to be purchased on such Option Closing Date and otherwise to the same effect as the opinion required by Section 5(c) hereof;</w:t>
      </w:r>
    </w:p>
    <w:p>
      <w:pPr>
        <w:spacing w:after="0" w:line="75" w:lineRule="exact"/>
        <w:rPr>
          <w:rFonts w:ascii="Arial" w:cs="Arial" w:eastAsia="Arial" w:hAnsi="Arial"/>
          <w:sz w:val="18"/>
          <w:szCs w:val="18"/>
          <w:color w:val="auto"/>
        </w:rPr>
      </w:pPr>
    </w:p>
    <w:p>
      <w:pPr>
        <w:ind w:left="1420" w:right="300" w:firstLine="391"/>
        <w:spacing w:after="0" w:line="311" w:lineRule="auto"/>
        <w:tabs>
          <w:tab w:leader="none" w:pos="225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opinions of (i) Foley Hoag LLP, (ii) Sheridan Ross P.C., (iii) DLA Piper LLP and (iv) Parker Highlander PLLC, each outside intellectual property counsel for the Company, dated the Option Closing Date, relating to the Additional Shares to be purchased on such Option Closing Date and otherwise to the same effect as the opinions required by Section 5(d) hereof;</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18" w:name="page319"/>
    <w:bookmarkEnd w:id="318"/>
    <w:p>
      <w:pPr>
        <w:ind w:left="433" w:right="200" w:firstLine="391"/>
        <w:spacing w:after="0" w:line="263" w:lineRule="auto"/>
        <w:tabs>
          <w:tab w:leader="none" w:pos="1256" w:val="left"/>
        </w:tabs>
        <w:numPr>
          <w:ilvl w:val="2"/>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opinion of Foley Hoag LLP, outside regulatory counsel for the Company, dated the Option Closing Date, relating to the Additional Shares to be purchased on such Option Closing Date and otherwise to the same effect as the opinion required by Section 5(e) hereof;</w:t>
      </w:r>
    </w:p>
    <w:p>
      <w:pPr>
        <w:spacing w:after="0" w:line="75" w:lineRule="exact"/>
        <w:rPr>
          <w:rFonts w:ascii="Arial" w:cs="Arial" w:eastAsia="Arial" w:hAnsi="Arial"/>
          <w:sz w:val="18"/>
          <w:szCs w:val="18"/>
          <w:color w:val="auto"/>
        </w:rPr>
      </w:pPr>
    </w:p>
    <w:p>
      <w:pPr>
        <w:ind w:left="433" w:right="40" w:firstLine="391"/>
        <w:spacing w:after="0" w:line="263" w:lineRule="auto"/>
        <w:tabs>
          <w:tab w:leader="none" w:pos="1206"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an opinion and negative assurance letter of Davis Polk &amp; Wardwell LLP, counsel for the Underwriters, dated the Option Closing Date, relating to the Additional Shares to be purchased on such Option Closing Date and otherwise to the same effect as the opinion required by Section 5(f) hereof;</w:t>
      </w:r>
    </w:p>
    <w:p>
      <w:pPr>
        <w:spacing w:after="0" w:line="75" w:lineRule="exact"/>
        <w:rPr>
          <w:rFonts w:ascii="Arial" w:cs="Arial" w:eastAsia="Arial" w:hAnsi="Arial"/>
          <w:sz w:val="18"/>
          <w:szCs w:val="18"/>
          <w:color w:val="auto"/>
        </w:rPr>
      </w:pPr>
    </w:p>
    <w:p>
      <w:pPr>
        <w:ind w:left="433" w:right="280" w:firstLine="391"/>
        <w:spacing w:after="0" w:line="277" w:lineRule="auto"/>
        <w:tabs>
          <w:tab w:leader="none" w:pos="1256"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 certificate from the chief financial officer of the Company, dated the Option Closing Date, substantially in the same form and substance as the certificate required by Section 5(g) hereof;</w:t>
      </w:r>
    </w:p>
    <w:p>
      <w:pPr>
        <w:spacing w:after="0" w:line="62" w:lineRule="exact"/>
        <w:rPr>
          <w:rFonts w:ascii="Arial" w:cs="Arial" w:eastAsia="Arial" w:hAnsi="Arial"/>
          <w:sz w:val="18"/>
          <w:szCs w:val="18"/>
          <w:color w:val="auto"/>
        </w:rPr>
      </w:pPr>
    </w:p>
    <w:p>
      <w:pPr>
        <w:ind w:left="433" w:right="80" w:firstLine="391"/>
        <w:spacing w:after="0" w:line="259" w:lineRule="auto"/>
        <w:tabs>
          <w:tab w:leader="none" w:pos="1306" w:val="left"/>
        </w:tabs>
        <w:numPr>
          <w:ilvl w:val="2"/>
          <w:numId w:val="149"/>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Underwriters, from KPMG LLP, independent public accountants, substantially in the same form and substance as the letter furnished to the Underwriters pursuant to Section 5(h)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78" w:lineRule="exact"/>
        <w:rPr>
          <w:rFonts w:ascii="Arial" w:cs="Arial" w:eastAsia="Arial" w:hAnsi="Arial"/>
          <w:sz w:val="18"/>
          <w:szCs w:val="18"/>
          <w:color w:val="auto"/>
        </w:rPr>
      </w:pPr>
    </w:p>
    <w:p>
      <w:pPr>
        <w:ind w:left="433" w:firstLine="391"/>
        <w:spacing w:after="0" w:line="263" w:lineRule="auto"/>
        <w:tabs>
          <w:tab w:leader="none" w:pos="1356" w:val="left"/>
        </w:tabs>
        <w:numPr>
          <w:ilvl w:val="2"/>
          <w:numId w:val="149"/>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3" w:lineRule="exact"/>
        <w:rPr>
          <w:rFonts w:ascii="Arial" w:cs="Arial" w:eastAsia="Arial" w:hAnsi="Arial"/>
          <w:sz w:val="18"/>
          <w:szCs w:val="18"/>
          <w:color w:val="auto"/>
        </w:rPr>
      </w:pPr>
    </w:p>
    <w:p>
      <w:pPr>
        <w:ind w:left="313" w:hanging="313"/>
        <w:spacing w:after="0"/>
        <w:tabs>
          <w:tab w:leader="none" w:pos="313"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7" w:right="40" w:firstLine="408"/>
        <w:spacing w:after="0" w:line="255" w:lineRule="auto"/>
        <w:tabs>
          <w:tab w:leader="none" w:pos="77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furnish to the Representatives, upon written request, without charge, two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125"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993"/>
          </w:cols>
          <w:pgMar w:left="1427" w:top="274" w:right="479" w:bottom="1440" w:gutter="0" w:footer="0" w:header="0"/>
        </w:sectPr>
      </w:pPr>
    </w:p>
    <w:bookmarkStart w:id="319" w:name="page320"/>
    <w:bookmarkEnd w:id="319"/>
    <w:p>
      <w:pPr>
        <w:ind w:right="100" w:firstLine="408"/>
        <w:spacing w:after="0" w:line="287" w:lineRule="auto"/>
        <w:tabs>
          <w:tab w:leader="none" w:pos="791"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in writing, and to file with the Commission within the applicable period specified in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424(b) under the Securities Act any prospectus required to be filed pursuant to such Rule.</w:t>
      </w:r>
    </w:p>
    <w:p>
      <w:pPr>
        <w:spacing w:after="0" w:line="102" w:lineRule="exact"/>
        <w:rPr>
          <w:rFonts w:ascii="Arial" w:cs="Arial" w:eastAsia="Arial" w:hAnsi="Arial"/>
          <w:sz w:val="16"/>
          <w:szCs w:val="16"/>
          <w:color w:val="auto"/>
        </w:rPr>
      </w:pPr>
    </w:p>
    <w:p>
      <w:pPr>
        <w:jc w:val="both"/>
        <w:ind w:right="20" w:firstLine="408"/>
        <w:spacing w:after="0" w:line="342" w:lineRule="auto"/>
        <w:tabs>
          <w:tab w:leader="none" w:pos="77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5" w:lineRule="exact"/>
        <w:rPr>
          <w:rFonts w:ascii="Arial" w:cs="Arial" w:eastAsia="Arial" w:hAnsi="Arial"/>
          <w:sz w:val="16"/>
          <w:szCs w:val="16"/>
          <w:color w:val="auto"/>
        </w:rPr>
      </w:pPr>
    </w:p>
    <w:p>
      <w:pPr>
        <w:ind w:right="40" w:firstLine="408"/>
        <w:spacing w:after="0" w:line="263" w:lineRule="auto"/>
        <w:tabs>
          <w:tab w:leader="none" w:pos="79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right="20" w:firstLine="408"/>
        <w:spacing w:after="0" w:line="288" w:lineRule="auto"/>
        <w:tabs>
          <w:tab w:leader="none" w:pos="7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60" w:lineRule="exact"/>
        <w:rPr>
          <w:rFonts w:ascii="Arial" w:cs="Arial" w:eastAsia="Arial" w:hAnsi="Arial"/>
          <w:sz w:val="16"/>
          <w:szCs w:val="16"/>
          <w:color w:val="auto"/>
        </w:rPr>
      </w:pPr>
    </w:p>
    <w:p>
      <w:pPr>
        <w:ind w:firstLine="408"/>
        <w:spacing w:after="0" w:line="255" w:lineRule="auto"/>
        <w:tabs>
          <w:tab w:leader="none" w:pos="7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w:t>
      </w:r>
    </w:p>
    <w:p>
      <w:pPr>
        <w:spacing w:after="0" w:line="1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20"/>
          </w:cols>
          <w:pgMar w:left="1420" w:top="274" w:right="459" w:bottom="1440" w:gutter="0" w:footer="0" w:header="0"/>
        </w:sectPr>
      </w:pPr>
    </w:p>
    <w:bookmarkStart w:id="320" w:name="page321"/>
    <w:bookmarkEnd w:id="320"/>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56" w:lineRule="exact"/>
        <w:rPr>
          <w:sz w:val="20"/>
          <w:szCs w:val="20"/>
          <w:color w:val="auto"/>
        </w:rPr>
      </w:pPr>
    </w:p>
    <w:p>
      <w:pPr>
        <w:ind w:right="840" w:firstLine="408"/>
        <w:spacing w:after="0" w:line="277" w:lineRule="auto"/>
        <w:tabs>
          <w:tab w:leader="none" w:pos="78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To endeavor to qualify the Shares for offer and sale under the securities or Blue Sky laws of such jurisdictions as the Representatives shall reasonably request.</w:t>
      </w:r>
    </w:p>
    <w:p>
      <w:pPr>
        <w:spacing w:after="0" w:line="62" w:lineRule="exact"/>
        <w:rPr>
          <w:rFonts w:ascii="Arial" w:cs="Arial" w:eastAsia="Arial" w:hAnsi="Arial"/>
          <w:sz w:val="18"/>
          <w:szCs w:val="18"/>
          <w:color w:val="auto"/>
        </w:rPr>
      </w:pPr>
    </w:p>
    <w:p>
      <w:pPr>
        <w:jc w:val="both"/>
        <w:ind w:right="100" w:firstLine="408"/>
        <w:spacing w:after="0" w:line="301" w:lineRule="auto"/>
        <w:tabs>
          <w:tab w:leader="none" w:pos="78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To make generally available (which may be satisfied by filing with the Commission on its Electronic Data Gathering, Analysis and Retrieval System) to the Company’s security holders and to the Underwriters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49" w:lineRule="exact"/>
        <w:rPr>
          <w:rFonts w:ascii="Arial" w:cs="Arial" w:eastAsia="Arial" w:hAnsi="Arial"/>
          <w:sz w:val="16"/>
          <w:szCs w:val="16"/>
          <w:color w:val="auto"/>
        </w:rPr>
      </w:pPr>
    </w:p>
    <w:p>
      <w:pPr>
        <w:ind w:right="160" w:firstLine="408"/>
        <w:spacing w:after="0" w:line="277" w:lineRule="auto"/>
        <w:tabs>
          <w:tab w:leader="none" w:pos="7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laws, rules and regulations in each jurisdiction in which the Directed Shares are offered in connection with the Directed Share Program.</w:t>
      </w:r>
    </w:p>
    <w:p>
      <w:pPr>
        <w:spacing w:after="0" w:line="62" w:lineRule="exact"/>
        <w:rPr>
          <w:rFonts w:ascii="Arial" w:cs="Arial" w:eastAsia="Arial" w:hAnsi="Arial"/>
          <w:sz w:val="18"/>
          <w:szCs w:val="18"/>
          <w:color w:val="auto"/>
        </w:rPr>
      </w:pPr>
    </w:p>
    <w:p>
      <w:pPr>
        <w:ind w:firstLine="408"/>
        <w:spacing w:after="0" w:line="284" w:lineRule="auto"/>
        <w:tabs>
          <w:tab w:leader="none" w:pos="74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w:t>
      </w:r>
    </w:p>
    <w:p>
      <w:pPr>
        <w:jc w:val="both"/>
        <w:ind w:right="120" w:firstLine="7"/>
        <w:spacing w:after="0" w:line="273" w:lineRule="auto"/>
        <w:tabs>
          <w:tab w:leader="none" w:pos="31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w:t>
      </w:r>
    </w:p>
    <w:p>
      <w:pPr>
        <w:spacing w:after="0" w:line="10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20"/>
          </w:cols>
          <w:pgMar w:left="1420" w:top="274" w:right="459" w:bottom="1440" w:gutter="0" w:footer="0" w:header="0"/>
        </w:sectPr>
      </w:pPr>
    </w:p>
    <w:bookmarkStart w:id="321" w:name="page322"/>
    <w:bookmarkEnd w:id="32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memorandum (such fees and expenses of counsel in aggregate not to exceed $10,000), (iv) all filing fees and the reasonable fees and disbursements of counsel to the Underwriters incurred in connection with the review and qualification of the offering of the Shares by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(such fees and expenses of counsel in aggregate not to exceed $40,000),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or other transportation chartered in connection with the road show (with the remaining 50% of such costs to be paid by the Underwriters), (ix) the document production charges and expenses associated with printing this Agreement, (x) all fees and disbursements of counsel incurred by the Underwriters in connection with the Directed Share Program and stamp duties, similar taxes or duties or other taxes, if any, incurred by the Underwriters in connection with the Directed Share Program and (xi) all other costs and expenses incident to the performance of the obligations of the Company hereunder for which provision is not otherwise made in this Section. It is understood, however, that except as provided in this Section, Section 8 entitled “Indemnity and Contribution,” Section 9 entitled “Directed Share Program Indemnification”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61" w:lineRule="exact"/>
        <w:rPr>
          <w:sz w:val="20"/>
          <w:szCs w:val="20"/>
          <w:color w:val="auto"/>
        </w:rPr>
      </w:pPr>
    </w:p>
    <w:p>
      <w:pPr>
        <w:ind w:firstLine="408"/>
        <w:spacing w:after="0" w:line="263" w:lineRule="auto"/>
        <w:tabs>
          <w:tab w:leader="none" w:pos="78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75" w:lineRule="exact"/>
        <w:rPr>
          <w:rFonts w:ascii="Arial" w:cs="Arial" w:eastAsia="Arial" w:hAnsi="Arial"/>
          <w:sz w:val="18"/>
          <w:szCs w:val="18"/>
          <w:color w:val="auto"/>
        </w:rPr>
      </w:pPr>
    </w:p>
    <w:p>
      <w:pPr>
        <w:ind w:right="180" w:firstLine="408"/>
        <w:spacing w:after="0" w:line="257" w:lineRule="auto"/>
        <w:tabs>
          <w:tab w:leader="none" w:pos="75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w:t>
      </w:r>
    </w:p>
    <w:p>
      <w:pPr>
        <w:spacing w:after="0" w:line="12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00"/>
          </w:cols>
          <w:pgMar w:left="1420" w:top="274" w:right="479" w:bottom="1440" w:gutter="0" w:footer="0" w:header="0"/>
        </w:sectPr>
      </w:pPr>
    </w:p>
    <w:bookmarkStart w:id="322" w:name="page323"/>
    <w:bookmarkEnd w:id="322"/>
    <w:p>
      <w:pPr>
        <w:ind w:left="98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notify the Representatives and will promptly amend or supplement, at its own expense, such Testing-the-Waters Communication to eliminate or correct such untrue statement or omission.</w:t>
      </w:r>
    </w:p>
    <w:p>
      <w:pPr>
        <w:spacing w:after="0" w:line="62" w:lineRule="exact"/>
        <w:rPr>
          <w:sz w:val="20"/>
          <w:szCs w:val="20"/>
          <w:color w:val="auto"/>
        </w:rPr>
      </w:pPr>
    </w:p>
    <w:p>
      <w:pPr>
        <w:ind w:left="980" w:right="60" w:firstLine="408"/>
        <w:spacing w:after="0" w:line="259" w:lineRule="auto"/>
        <w:tabs>
          <w:tab w:leader="none" w:pos="181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Company also covenants with each Underwriter that, without the prior written consent of the Representatives on behalf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Underwriters, it will not, and will not publicly disclose an intention to, during the period ending 180 days after the date of the Prospectus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right or warrant to purchase, lend, or otherwise transfer or dispose of, directly or indirectly, any shares of Common Stock or any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convertible into or exercisable or exchangeable for Common Stock or (2) enter into any swap or other arrangement that transfers to another, in whole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part, any of the economic consequences of ownership of the Common Stock, whether any such transaction described in clause (1) or (2) above is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settled by delivery of Common Stock or such other securities, in cash or otherwise or (3) file any registration statement with the Commission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offering of any shares of Common Stock or any securities convertible into or exercisable or exchangeable for Common Stock.</w:t>
      </w:r>
    </w:p>
    <w:p>
      <w:pPr>
        <w:spacing w:after="0" w:line="211"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The restrictions contained in the preceding paragraph shall not apply to (A) the Shares to be sold hereunder, (B) the issuance by the Company of shares of Common Stock upon the exercise of an option or warrant or the conversion of a security outstanding on the date hereof as described in each of the Time of Sale Prospectus and Prospectus, (C) the issuance by the Company of shares of Common Stock or options to purchase shares of, Common Stock to employees, officers, directors, advisors or consultants of the Company pursuant to employee benefit plans as described in each of the Time of Sale Prospectus and Prospectus, provided that, prior to the issuance of any such shares or the grant of any such options, the Company shall cause each recipient of such grant or issuance to execute and deliver a “lock-up” agreement, substantially in the form of Exhibit A hereto, (D) the filing by the Company of registration statements on Form S-8 with respect to the employee benefit plans described in the Time of Sale Prospectus and Prospectus, (E) the sale or issuance of or entry into an agreement to sell or issue shares of Common Stock in connection with the Company’s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23" w:name="page324"/>
    <w:bookmarkEnd w:id="32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contemplated by this Agreement and provided further that the Company shall cause each recipient of such shares to execute and deliver to you, on or prior to such issuance, a “lock up” agreement, substantially in the form of Exhibit A hereto, or (F) facilitating the establishment of a trading plan on behalf of a shareholder, officer or director of the Company pursuant to Rule 10b5-1 under the Exchange Act for the transfer of shares of Common Stock,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such plan does not provide for the transfer of Common Stock during the Restricted Period and (ii) to the extent a public announcement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9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If the Representatives, in their sole discretion, agree to release or waive the restrictions on the transfer of Shares set forth in a lock-up agreement described in Section 5(i)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88" w:lineRule="exact"/>
        <w:rPr>
          <w:sz w:val="20"/>
          <w:szCs w:val="20"/>
          <w:color w:val="auto"/>
        </w:rPr>
      </w:pPr>
    </w:p>
    <w:p>
      <w:pPr>
        <w:jc w:val="both"/>
        <w:ind w:right="200" w:firstLine="987"/>
        <w:spacing w:after="0" w:line="286" w:lineRule="auto"/>
        <w:tabs>
          <w:tab w:leader="none" w:pos="1306"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and not jointly, covenants with the Company not to take any action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65" w:lineRule="exact"/>
        <w:rPr>
          <w:rFonts w:ascii="Arial" w:cs="Arial" w:eastAsia="Arial" w:hAnsi="Arial"/>
          <w:sz w:val="17"/>
          <w:szCs w:val="17"/>
          <w:color w:val="auto"/>
        </w:rPr>
      </w:pPr>
    </w:p>
    <w:p>
      <w:pPr>
        <w:ind w:right="60" w:firstLine="987"/>
        <w:spacing w:after="0" w:line="268" w:lineRule="auto"/>
        <w:tabs>
          <w:tab w:leader="none" w:pos="1306"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each Underwriter, each person, if any, who</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any Underwriter within the meaning of either Section 15 of the Securities Act or Section 20 of the Exchange Act and each director, officer and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24" w:name="page325"/>
    <w:bookmarkEnd w:id="32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expressly for use therein, it being understood and agreed that the only such information furnished by the Underwriters through Morgan Stanley consists of the information described as such in paragraph (b) below.</w:t>
      </w:r>
    </w:p>
    <w:p>
      <w:pPr>
        <w:spacing w:after="0" w:line="62" w:lineRule="exact"/>
        <w:rPr>
          <w:sz w:val="20"/>
          <w:szCs w:val="20"/>
          <w:color w:val="auto"/>
        </w:rPr>
      </w:pPr>
    </w:p>
    <w:p>
      <w:pPr>
        <w:ind w:left="980" w:right="20" w:firstLine="408"/>
        <w:spacing w:after="0" w:line="289" w:lineRule="auto"/>
        <w:tabs>
          <w:tab w:leader="none" w:pos="177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following: the concession figures appearing in the third paragraph under the caption “Underwriters,” the information relating to stabilizing transactions contained in the thirteenth paragraph under the caption “Underwriters” and the information regarding internet distribution appearing in the fifteenth paragraph under the caption “Underwriters.”</w:t>
      </w:r>
    </w:p>
    <w:p>
      <w:pPr>
        <w:spacing w:after="0" w:line="58" w:lineRule="exact"/>
        <w:rPr>
          <w:rFonts w:ascii="Arial" w:cs="Arial" w:eastAsia="Arial" w:hAnsi="Arial"/>
          <w:sz w:val="16"/>
          <w:szCs w:val="16"/>
          <w:color w:val="auto"/>
        </w:rPr>
      </w:pPr>
    </w:p>
    <w:p>
      <w:pPr>
        <w:ind w:left="980" w:firstLine="408"/>
        <w:spacing w:after="0" w:line="268" w:lineRule="auto"/>
        <w:tabs>
          <w:tab w:leader="none" w:pos="17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person has failed within a reasonable time to retain counsel satisfactory to the indemnified party.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25" w:name="page326"/>
    <w:bookmarkEnd w:id="325"/>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w:t>
      </w:r>
    </w:p>
    <w:p>
      <w:pPr>
        <w:spacing w:after="0" w:line="4" w:lineRule="exact"/>
        <w:rPr>
          <w:sz w:val="20"/>
          <w:szCs w:val="20"/>
          <w:color w:val="auto"/>
        </w:rPr>
      </w:pPr>
    </w:p>
    <w:p>
      <w:pPr>
        <w:ind w:right="40" w:firstLine="7"/>
        <w:spacing w:after="0" w:line="270" w:lineRule="auto"/>
        <w:tabs>
          <w:tab w:leader="none" w:pos="26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any statement as to or any admission of fault, culpability or a failure to act by or on behalf of any indemnified party.</w:t>
      </w:r>
    </w:p>
    <w:p>
      <w:pPr>
        <w:spacing w:after="0" w:line="70" w:lineRule="exact"/>
        <w:rPr>
          <w:rFonts w:ascii="Arial" w:cs="Arial" w:eastAsia="Arial" w:hAnsi="Arial"/>
          <w:sz w:val="17"/>
          <w:szCs w:val="17"/>
          <w:color w:val="auto"/>
        </w:rPr>
      </w:pPr>
    </w:p>
    <w:p>
      <w:pPr>
        <w:ind w:firstLine="408"/>
        <w:spacing w:after="0" w:line="286" w:lineRule="auto"/>
        <w:tabs>
          <w:tab w:leader="none" w:pos="78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w:t>
      </w:r>
    </w:p>
    <w:p>
      <w:pPr>
        <w:spacing w:after="0" w:line="10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040"/>
          </w:cols>
          <w:pgMar w:left="1420" w:top="274" w:right="439" w:bottom="1440" w:gutter="0" w:footer="0" w:header="0"/>
        </w:sectPr>
      </w:pPr>
    </w:p>
    <w:bookmarkStart w:id="326" w:name="page327"/>
    <w:bookmarkEnd w:id="326"/>
    <w:p>
      <w:pPr>
        <w:ind w:left="980"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76" w:lineRule="exact"/>
        <w:rPr>
          <w:sz w:val="20"/>
          <w:szCs w:val="20"/>
          <w:color w:val="auto"/>
        </w:rPr>
      </w:pPr>
    </w:p>
    <w:p>
      <w:pPr>
        <w:ind w:left="980" w:firstLine="408"/>
        <w:spacing w:after="0" w:line="269" w:lineRule="auto"/>
        <w:tabs>
          <w:tab w:leader="none" w:pos="1757"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70" w:lineRule="exact"/>
        <w:rPr>
          <w:rFonts w:ascii="Arial" w:cs="Arial" w:eastAsia="Arial" w:hAnsi="Arial"/>
          <w:sz w:val="17"/>
          <w:szCs w:val="17"/>
          <w:color w:val="auto"/>
        </w:rPr>
      </w:pPr>
    </w:p>
    <w:p>
      <w:pPr>
        <w:ind w:left="980" w:right="60" w:firstLine="408"/>
        <w:spacing w:after="0" w:line="257" w:lineRule="auto"/>
        <w:tabs>
          <w:tab w:leader="none" w:pos="173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87" w:lineRule="exact"/>
        <w:rPr>
          <w:rFonts w:ascii="Arial" w:cs="Arial" w:eastAsia="Arial" w:hAnsi="Arial"/>
          <w:sz w:val="18"/>
          <w:szCs w:val="18"/>
          <w:color w:val="auto"/>
        </w:rPr>
      </w:pPr>
    </w:p>
    <w:p>
      <w:pPr>
        <w:ind w:right="20" w:firstLine="987"/>
        <w:spacing w:after="0" w:line="254" w:lineRule="auto"/>
        <w:tabs>
          <w:tab w:leader="none" w:pos="1306"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Directed Share Program Indemnification. </w:t>
      </w:r>
      <w:r>
        <w:rPr>
          <w:rFonts w:ascii="Arial" w:cs="Arial" w:eastAsia="Arial" w:hAnsi="Arial"/>
          <w:sz w:val="18"/>
          <w:szCs w:val="18"/>
          <w:color w:val="auto"/>
        </w:rPr>
        <w:t>(a) The Company agrees to indemnify and hold harmless Morgan Stanley, each person, if</w:t>
      </w:r>
      <w:r>
        <w:rPr>
          <w:rFonts w:ascii="Arial" w:cs="Arial" w:eastAsia="Arial" w:hAnsi="Arial"/>
          <w:sz w:val="18"/>
          <w:szCs w:val="18"/>
          <w:i w:val="1"/>
          <w:iCs w:val="1"/>
          <w:color w:val="auto"/>
        </w:rPr>
        <w:t xml:space="preserve"> </w:t>
      </w:r>
      <w:r>
        <w:rPr>
          <w:rFonts w:ascii="Arial" w:cs="Arial" w:eastAsia="Arial" w:hAnsi="Arial"/>
          <w:sz w:val="18"/>
          <w:szCs w:val="18"/>
          <w:color w:val="auto"/>
        </w:rPr>
        <w:t>any, who controls Morgan Stanley within the meaning of either Section 15 of the Securities Act or Section 20 of the Exchange Act and each affiliate of Morgan Stanley within the meaning of Rule 405 of the Securities Act (“</w:t>
      </w:r>
      <w:r>
        <w:rPr>
          <w:rFonts w:ascii="Arial" w:cs="Arial" w:eastAsia="Arial" w:hAnsi="Arial"/>
          <w:sz w:val="18"/>
          <w:szCs w:val="18"/>
          <w:b w:val="1"/>
          <w:bCs w:val="1"/>
          <w:color w:val="auto"/>
        </w:rPr>
        <w:t>Morgan Stanley Entities</w:t>
      </w:r>
      <w:r>
        <w:rPr>
          <w:rFonts w:ascii="Arial" w:cs="Arial" w:eastAsia="Arial" w:hAnsi="Arial"/>
          <w:sz w:val="18"/>
          <w:szCs w:val="18"/>
          <w:color w:val="auto"/>
        </w:rPr>
        <w:t>”) from and against any and all losses, claims, damages and liabilities (including, without limitation, any legal or other expenses reasonably incurred in connection with defending or investigating any such action or claim) (i) that arise out of, or are based upon, any untrue statement or alleged untrue statement of a material fact contained in any material prepared by or with the consent of the Company for distribution to Participants in connection with the Directed Share Program or arise out of, or are based upon, any omission or alleged omission to state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27" w:name="page328"/>
    <w:bookmarkEnd w:id="327"/>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therein a material fact required to be stated therein or necessary to make the statements therein not misleading; (ii) that arise out of, or are based upon,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 The Company agrees and confirms that references to “affiliates” of Morgan Stanley that appear in this Agreement shall be understood to include Mitsubishi UFJ Morgan Stanley Securities Co., Ltd.</w:t>
      </w:r>
    </w:p>
    <w:p>
      <w:pPr>
        <w:spacing w:after="0" w:line="53" w:lineRule="exact"/>
        <w:rPr>
          <w:sz w:val="20"/>
          <w:szCs w:val="20"/>
          <w:color w:val="auto"/>
        </w:rPr>
      </w:pPr>
    </w:p>
    <w:p>
      <w:pPr>
        <w:ind w:left="980" w:right="100" w:firstLine="408"/>
        <w:spacing w:after="0" w:line="284" w:lineRule="auto"/>
        <w:tabs>
          <w:tab w:leader="none" w:pos="177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Morgan Stanley Entity in respect of which indemnity may be sought pursuant to Section 9(a),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w:t>
      </w:r>
    </w:p>
    <w:p>
      <w:pPr>
        <w:spacing w:after="0" w:line="4" w:lineRule="exact"/>
        <w:rPr>
          <w:rFonts w:ascii="Arial" w:cs="Arial" w:eastAsia="Arial" w:hAnsi="Arial"/>
          <w:sz w:val="16"/>
          <w:szCs w:val="16"/>
          <w:color w:val="auto"/>
        </w:rPr>
      </w:pPr>
    </w:p>
    <w:p>
      <w:pPr>
        <w:ind w:left="980" w:right="20" w:firstLine="7"/>
        <w:spacing w:after="0" w:line="284" w:lineRule="auto"/>
        <w:tabs>
          <w:tab w:leader="none" w:pos="11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 proceeding effected without its written consent if (i) such settlement is entered into more than 30 days after receipt by the Company of the aforesaid request and (ii) the Company shall not have reimbursed the Morgan Stanley Entity in accordance with such request prior to the date of such settlement.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28" w:name="page329"/>
    <w:bookmarkEnd w:id="328"/>
    <w:p>
      <w:pPr>
        <w:ind w:left="-20" w:firstLine="408"/>
        <w:spacing w:after="0" w:line="267" w:lineRule="auto"/>
        <w:tabs>
          <w:tab w:leader="none" w:pos="757" w:val="left"/>
        </w:tabs>
        <w:numPr>
          <w:ilvl w:val="0"/>
          <w:numId w:val="1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extent the indemnification provided for in Section 9(a)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9(c)(i) above is not permitted by applicable law, in such proportion as is appropriate to reflect not only the relative benefits referred to in clause 9(c)(i)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83" w:lineRule="exact"/>
        <w:rPr>
          <w:rFonts w:ascii="Arial" w:cs="Arial" w:eastAsia="Arial" w:hAnsi="Arial"/>
          <w:sz w:val="17"/>
          <w:szCs w:val="17"/>
          <w:color w:val="auto"/>
        </w:rPr>
      </w:pPr>
    </w:p>
    <w:p>
      <w:pPr>
        <w:ind w:left="-20" w:right="160" w:firstLine="408"/>
        <w:spacing w:after="0" w:line="288" w:lineRule="auto"/>
        <w:tabs>
          <w:tab w:leader="none" w:pos="76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 and the Morgan Stanley Entities agree that it would not be just or equitable if contribution pursuant to this Section 9 were determined by pro rata allocation (even if the Morgan Stanley Entities were treated as one entity for such purpose) or by any other method of allocation that does not take account of the equitable considerations referred to in Section 9(c). The amount paid or payable by 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9, no Morgan Stanley Entity shall be required to contribute any amount in excess of the amount by which the total price at which the Directed Shares distributed to the public were offered to the public exceeds the amount of any damages that such Morgan Stanley Entity has otherwise been required to pay. The remedies provided for in this Section 9 are not exclusive and shall not limit any rights or remedies which may otherwise be available to any indemnified party at law or in equity.</w:t>
      </w:r>
    </w:p>
    <w:p>
      <w:pPr>
        <w:spacing w:after="0" w:line="1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20"/>
          </w:cols>
          <w:pgMar w:left="1440" w:top="274" w:right="439" w:bottom="1440" w:gutter="0" w:footer="0" w:header="0"/>
        </w:sectPr>
      </w:pPr>
    </w:p>
    <w:bookmarkStart w:id="329" w:name="page330"/>
    <w:bookmarkEnd w:id="329"/>
    <w:p>
      <w:pPr>
        <w:jc w:val="both"/>
        <w:ind w:left="984" w:right="440" w:firstLine="408"/>
        <w:spacing w:after="0" w:line="259" w:lineRule="auto"/>
        <w:tabs>
          <w:tab w:leader="none" w:pos="1761" w:val="left"/>
        </w:tabs>
        <w:numPr>
          <w:ilvl w:val="2"/>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indemnity and contribution provisions contained in this Section 9 shall remain operative and in full force and effect regardless of (i) any termination of this Agreement, (ii) any investigation made by or on behalf of any Morgan Stanley Entity or the Company, its officers or directors or any person controlling the Company and (iii) acceptance of and payment for any of the Directed Shares.</w:t>
      </w:r>
    </w:p>
    <w:p>
      <w:pPr>
        <w:spacing w:after="0" w:line="186" w:lineRule="exact"/>
        <w:rPr>
          <w:rFonts w:ascii="Arial" w:cs="Arial" w:eastAsia="Arial" w:hAnsi="Arial"/>
          <w:sz w:val="18"/>
          <w:szCs w:val="18"/>
          <w:color w:val="auto"/>
        </w:rPr>
      </w:pPr>
    </w:p>
    <w:p>
      <w:pPr>
        <w:ind w:left="4" w:right="80" w:firstLine="987"/>
        <w:spacing w:after="0" w:line="285" w:lineRule="auto"/>
        <w:tabs>
          <w:tab w:leader="none" w:pos="1400" w:val="left"/>
        </w:tabs>
        <w:numPr>
          <w:ilvl w:val="1"/>
          <w:numId w:val="165"/>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or other relevant exchanges, (ii) trading of any securities of the Company shall have been suspended on any exchange or in any over-the-counter market, (iii) a material disruption in securities settlement, payment or clearance services in the United States shall have occurred,</w:t>
      </w:r>
    </w:p>
    <w:p>
      <w:pPr>
        <w:spacing w:after="0" w:line="1" w:lineRule="exact"/>
        <w:rPr>
          <w:rFonts w:ascii="Arial" w:cs="Arial" w:eastAsia="Arial" w:hAnsi="Arial"/>
          <w:sz w:val="16"/>
          <w:szCs w:val="16"/>
          <w:color w:val="auto"/>
        </w:rPr>
      </w:pPr>
    </w:p>
    <w:p>
      <w:pPr>
        <w:ind w:left="4" w:hanging="4"/>
        <w:spacing w:after="0" w:line="253" w:lineRule="auto"/>
        <w:tabs>
          <w:tab w:leader="none" w:pos="30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90" w:lineRule="exact"/>
        <w:rPr>
          <w:rFonts w:ascii="Arial" w:cs="Arial" w:eastAsia="Arial" w:hAnsi="Arial"/>
          <w:sz w:val="18"/>
          <w:szCs w:val="18"/>
          <w:color w:val="auto"/>
        </w:rPr>
      </w:pPr>
    </w:p>
    <w:p>
      <w:pPr>
        <w:ind w:left="1384" w:hanging="393"/>
        <w:spacing w:after="0"/>
        <w:tabs>
          <w:tab w:leader="none" w:pos="1384" w:val="left"/>
        </w:tabs>
        <w:numPr>
          <w:ilvl w:val="1"/>
          <w:numId w:val="166"/>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1" w:lineRule="exact"/>
        <w:rPr>
          <w:sz w:val="20"/>
          <w:szCs w:val="20"/>
          <w:color w:val="auto"/>
        </w:rPr>
      </w:pPr>
    </w:p>
    <w:p>
      <w:pPr>
        <w:ind w:left="4" w:right="20" w:firstLine="991"/>
        <w:spacing w:after="0" w:line="288"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30" w:name="page331"/>
    <w:bookmarkEnd w:id="33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5"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and documented fees and disbursements of their counsel) reasonably incurred by such Underwriters in connection with this Agreement or the offering contemplated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obligation to reimburse the Underwriters shall not apply to any defaulting Underwriter that shall have failed or refused to purchase Shares for reasons other than as permitted under this Agreement.</w:t>
      </w:r>
    </w:p>
    <w:p>
      <w:pPr>
        <w:spacing w:after="0" w:line="195" w:lineRule="exact"/>
        <w:rPr>
          <w:sz w:val="20"/>
          <w:szCs w:val="20"/>
          <w:color w:val="auto"/>
        </w:rPr>
      </w:pPr>
    </w:p>
    <w:p>
      <w:pPr>
        <w:ind w:right="60" w:firstLine="987"/>
        <w:spacing w:after="0" w:line="259" w:lineRule="auto"/>
        <w:tabs>
          <w:tab w:leader="none" w:pos="1396"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980" w:firstLine="408"/>
        <w:spacing w:after="0" w:line="255" w:lineRule="auto"/>
        <w:tabs>
          <w:tab w:leader="none" w:pos="176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31" w:name="page332"/>
    <w:bookmarkEnd w:id="331"/>
    <w:p>
      <w:pPr>
        <w:jc w:val="both"/>
        <w:ind w:firstLine="987"/>
        <w:spacing w:after="0" w:line="279" w:lineRule="auto"/>
        <w:tabs>
          <w:tab w:leader="none" w:pos="1396"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Recognition of the U.S. Special Resolution Regimes</w:t>
      </w:r>
      <w:r>
        <w:rPr>
          <w:rFonts w:ascii="Arial" w:cs="Arial" w:eastAsia="Arial" w:hAnsi="Arial"/>
          <w:sz w:val="17"/>
          <w:szCs w:val="17"/>
          <w:color w:val="auto"/>
        </w:rPr>
        <w:t>. (a) In the event that any Underwriter that is a Covered Entity becomes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63" w:lineRule="exact"/>
        <w:rPr>
          <w:rFonts w:ascii="Arial" w:cs="Arial" w:eastAsia="Arial" w:hAnsi="Arial"/>
          <w:sz w:val="17"/>
          <w:szCs w:val="17"/>
          <w:color w:val="auto"/>
        </w:rPr>
      </w:pPr>
    </w:p>
    <w:p>
      <w:pPr>
        <w:ind w:left="980" w:right="40" w:firstLine="408"/>
        <w:spacing w:after="0" w:line="279" w:lineRule="auto"/>
        <w:tabs>
          <w:tab w:leader="none" w:pos="1771" w:val="left"/>
        </w:tabs>
        <w:numPr>
          <w:ilvl w:val="1"/>
          <w:numId w:val="168"/>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ind w:right="40" w:firstLine="987"/>
        <w:spacing w:after="0" w:line="259" w:lineRule="auto"/>
        <w:tabs>
          <w:tab w:leader="none" w:pos="1396"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which may be delivered via facsimile, electronic mail</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electronic signature covered by the U.S. federal ESIGN Act of 2000, Uniform Electronic Transactions Act, the Electronic Signatures and Records Act or other applicable law, e.g., www.docusign.com), each of which shall be an original, with the same effect as if the signatures thereto and hereto were upon the same instrument.</w:t>
      </w:r>
    </w:p>
    <w:p>
      <w:pPr>
        <w:spacing w:after="0" w:line="186" w:lineRule="exact"/>
        <w:rPr>
          <w:rFonts w:ascii="Arial" w:cs="Arial" w:eastAsia="Arial" w:hAnsi="Arial"/>
          <w:sz w:val="18"/>
          <w:szCs w:val="18"/>
          <w:color w:val="auto"/>
        </w:rPr>
      </w:pPr>
    </w:p>
    <w:p>
      <w:pPr>
        <w:ind w:left="1400" w:hanging="413"/>
        <w:spacing w:after="0"/>
        <w:tabs>
          <w:tab w:leader="none" w:pos="1400"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This Agreement shall be governed by and construed in accordance with the internal laws of the State of New York.</w:t>
      </w:r>
    </w:p>
    <w:p>
      <w:pPr>
        <w:spacing w:after="0" w:line="248" w:lineRule="exact"/>
        <w:rPr>
          <w:rFonts w:ascii="Arial" w:cs="Arial" w:eastAsia="Arial" w:hAnsi="Arial"/>
          <w:sz w:val="16"/>
          <w:szCs w:val="16"/>
          <w:color w:val="auto"/>
        </w:rPr>
      </w:pPr>
    </w:p>
    <w:p>
      <w:pPr>
        <w:ind w:right="400" w:firstLine="987"/>
        <w:spacing w:after="0" w:line="277" w:lineRule="auto"/>
        <w:tabs>
          <w:tab w:leader="none" w:pos="1396"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a part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32" w:name="page333"/>
    <w:bookmarkEnd w:id="332"/>
    <w:p>
      <w:pPr>
        <w:ind w:left="-20" w:firstLine="987"/>
        <w:spacing w:after="0" w:line="257" w:lineRule="auto"/>
        <w:tabs>
          <w:tab w:leader="none" w:pos="137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w:t>
      </w:r>
      <w:r>
        <w:rPr>
          <w:rFonts w:ascii="Arial" w:cs="Arial" w:eastAsia="Arial" w:hAnsi="Arial"/>
          <w:sz w:val="18"/>
          <w:szCs w:val="18"/>
          <w:color w:val="auto"/>
        </w:rPr>
        <w:t>. All communications hereunder shall be in writing and effective only upon receipt and if to the Underwriters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mailed or sent to (i) Morgan Stanley &amp; Co. LLC, 1585 Broadway, 29</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10036, Attention: Equity Syndicate Desk, with a copy to the Legal Department and (ii) William Blair &amp; Company, L.L.C., 150 N. Riverside Plaza, Chicago, Illinois 60606, Attention: Equity Capital Markets, Facsimile: (312) 551-4646; and if to the Company shall be delivered, mailed or sent to 2970 Wilderness Place, Boulder, Colorado 80301.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60" w:top="274" w:right="47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1.1</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BIODESIX, INC.</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several Underwriters named in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 I hereto.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Morgan Stanley &amp; Co.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4"/>
                <w:szCs w:val="24"/>
                <w:color w:val="auto"/>
              </w:rPr>
            </w:pP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William Blair &amp; Company,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4"/>
                <w:szCs w:val="24"/>
                <w:color w:val="auto"/>
              </w:rPr>
            </w:pP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34" w:name="page335"/>
    <w:bookmarkEnd w:id="3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76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15240</wp:posOffset>
            </wp:positionV>
            <wp:extent cx="4749165" cy="1371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wp:posOffset>
            </wp:positionV>
            <wp:extent cx="4749165"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Canaccord Genuity LLC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BTIG, LLC</w:t>
      </w:r>
    </w:p>
    <w:p>
      <w:pPr>
        <w:spacing w:after="0" w:line="2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-121920</wp:posOffset>
            </wp:positionV>
            <wp:extent cx="4749165"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92"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48"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Number of Firm</w:t>
      </w:r>
    </w:p>
    <w:p>
      <w:pPr>
        <w:spacing w:after="0" w:line="3"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Shares To Be</w:t>
      </w:r>
    </w:p>
    <w:p>
      <w:pPr>
        <w:jc w:val="center"/>
        <w:ind w:right="1920"/>
        <w:spacing w:after="0"/>
        <w:rPr>
          <w:sz w:val="20"/>
          <w:szCs w:val="20"/>
          <w:color w:val="auto"/>
        </w:rPr>
      </w:pPr>
      <w:r>
        <w:rPr>
          <w:rFonts w:ascii="Arial" w:cs="Arial" w:eastAsia="Arial" w:hAnsi="Arial"/>
          <w:sz w:val="14"/>
          <w:szCs w:val="14"/>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544830</wp:posOffset>
            </wp:positionV>
            <wp:extent cx="7289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699135</wp:posOffset>
            </wp:positionV>
            <wp:extent cx="7289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0">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716280</wp:posOffset>
            </wp:positionV>
            <wp:extent cx="7289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2">
            <w:col w:w="6380" w:space="720"/>
            <w:col w:w="2920"/>
          </w:cols>
          <w:pgMar w:left="1440" w:top="270" w:right="4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2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Preliminary Prospectus issued [</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 2020</w:t>
            </w:r>
          </w:p>
        </w:tc>
      </w:tr>
      <w:tr>
        <w:trPr>
          <w:trHeight w:val="33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2220" w:type="dxa"/>
            <w:vAlign w:val="bottom"/>
          </w:tcPr>
          <w:p>
            <w:pPr>
              <w:ind w:left="140"/>
              <w:spacing w:after="0"/>
              <w:rPr>
                <w:sz w:val="20"/>
                <w:szCs w:val="20"/>
                <w:color w:val="auto"/>
              </w:rPr>
            </w:pPr>
            <w:r>
              <w:rPr>
                <w:rFonts w:ascii="Arial" w:cs="Arial" w:eastAsia="Arial" w:hAnsi="Arial"/>
                <w:sz w:val="18"/>
                <w:szCs w:val="18"/>
                <w:color w:val="auto"/>
              </w:rPr>
              <w:t>Pricing Information:</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8"/>
        </w:trPr>
        <w:tc>
          <w:tcPr>
            <w:tcW w:w="280" w:type="dxa"/>
            <w:vAlign w:val="bottom"/>
          </w:tcPr>
          <w:p>
            <w:pPr>
              <w:spacing w:after="0"/>
              <w:rPr>
                <w:sz w:val="24"/>
                <w:szCs w:val="24"/>
                <w:color w:val="auto"/>
              </w:rPr>
            </w:pPr>
          </w:p>
        </w:tc>
        <w:tc>
          <w:tcPr>
            <w:tcW w:w="2220" w:type="dxa"/>
            <w:vAlign w:val="bottom"/>
          </w:tcPr>
          <w:p>
            <w:pPr>
              <w:ind w:left="500"/>
              <w:spacing w:after="0"/>
              <w:rPr>
                <w:sz w:val="20"/>
                <w:szCs w:val="20"/>
                <w:color w:val="auto"/>
              </w:rPr>
            </w:pPr>
            <w:r>
              <w:rPr>
                <w:rFonts w:ascii="Arial" w:cs="Arial" w:eastAsia="Arial" w:hAnsi="Arial"/>
                <w:sz w:val="18"/>
                <w:szCs w:val="18"/>
                <w:color w:val="auto"/>
              </w:rPr>
              <w:t>Firm Shares: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4"/>
                <w:szCs w:val="24"/>
                <w:color w:val="auto"/>
              </w:rPr>
            </w:pPr>
          </w:p>
        </w:tc>
        <w:tc>
          <w:tcPr>
            <w:tcW w:w="2220" w:type="dxa"/>
            <w:vAlign w:val="bottom"/>
          </w:tcPr>
          <w:p>
            <w:pPr>
              <w:ind w:left="500"/>
              <w:spacing w:after="0"/>
              <w:rPr>
                <w:sz w:val="20"/>
                <w:szCs w:val="20"/>
                <w:color w:val="auto"/>
              </w:rPr>
            </w:pPr>
            <w:r>
              <w:rPr>
                <w:rFonts w:ascii="Arial" w:cs="Arial" w:eastAsia="Arial" w:hAnsi="Arial"/>
                <w:sz w:val="18"/>
                <w:szCs w:val="18"/>
                <w:color w:val="auto"/>
              </w:rPr>
              <w:t>Additional Shares: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4"/>
                <w:szCs w:val="24"/>
                <w:color w:val="auto"/>
              </w:rPr>
            </w:pPr>
          </w:p>
        </w:tc>
        <w:tc>
          <w:tcPr>
            <w:tcW w:w="2220" w:type="dxa"/>
            <w:vAlign w:val="bottom"/>
          </w:tcPr>
          <w:p>
            <w:pPr>
              <w:ind w:left="500"/>
              <w:spacing w:after="0"/>
              <w:rPr>
                <w:sz w:val="20"/>
                <w:szCs w:val="20"/>
                <w:color w:val="auto"/>
              </w:rPr>
            </w:pPr>
            <w:r>
              <w:rPr>
                <w:rFonts w:ascii="Arial" w:cs="Arial" w:eastAsia="Arial" w:hAnsi="Arial"/>
                <w:sz w:val="18"/>
                <w:szCs w:val="18"/>
                <w:color w:val="auto"/>
              </w:rPr>
              <w:t>Public Offering Price:</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440" w:top="270" w:right="4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Written Testing-the-Waters Communication</w:t>
      </w:r>
    </w:p>
    <w:p>
      <w:pPr>
        <w:spacing w:after="0" w:line="256" w:lineRule="exact"/>
        <w:rPr>
          <w:sz w:val="20"/>
          <w:szCs w:val="20"/>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Testing-the-Waters presentation dated September 2020</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024"/>
          </w:cols>
          <w:pgMar w:left="436" w:top="270" w:right="4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-10160</wp:posOffset>
            </wp:positionV>
            <wp:extent cx="5715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200"/>
            <w:col w:w="10600"/>
          </w:cols>
          <w:pgMar w:left="440" w:top="270" w:right="4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150 N. Riverside Plaza Chicago,</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Illinois 60606</w:t>
      </w:r>
    </w:p>
    <w:p>
      <w:pPr>
        <w:spacing w:after="0" w:line="200" w:lineRule="exact"/>
        <w:rPr>
          <w:sz w:val="20"/>
          <w:szCs w:val="20"/>
          <w:color w:val="auto"/>
        </w:rPr>
      </w:pPr>
    </w:p>
    <w:p>
      <w:pPr>
        <w:sectPr>
          <w:pgSz w:w="11900" w:h="16838" w:orient="portrait"/>
          <w:cols w:equalWidth="0" w:num="2">
            <w:col w:w="220" w:space="200"/>
            <w:col w:w="10600"/>
          </w:cols>
          <w:pgMar w:left="440" w:top="270"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991"/>
        <w:spacing w:after="0" w:line="281" w:lineRule="auto"/>
        <w:rPr>
          <w:sz w:val="20"/>
          <w:szCs w:val="20"/>
          <w:color w:val="auto"/>
        </w:rPr>
      </w:pPr>
      <w:r>
        <w:rPr>
          <w:rFonts w:ascii="Arial" w:cs="Arial" w:eastAsia="Arial" w:hAnsi="Arial"/>
          <w:sz w:val="17"/>
          <w:szCs w:val="17"/>
          <w:color w:val="auto"/>
        </w:rPr>
        <w:t>The undersigned understands that Morgan Stanley &amp; Co. LLC and William Blair &amp; Company, L.L.C. (the “</w:t>
      </w:r>
      <w:r>
        <w:rPr>
          <w:rFonts w:ascii="Arial" w:cs="Arial" w:eastAsia="Arial" w:hAnsi="Arial"/>
          <w:sz w:val="17"/>
          <w:szCs w:val="17"/>
          <w:b w:val="1"/>
          <w:bCs w:val="1"/>
          <w:color w:val="auto"/>
        </w:rPr>
        <w:t>Representatives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Biodesix,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by the several Underwriters listed on Schedule I to the Underwriting Agreement, including the Representatives (the “</w:t>
      </w:r>
      <w:r>
        <w:rPr>
          <w:rFonts w:ascii="Arial" w:cs="Arial" w:eastAsia="Arial" w:hAnsi="Arial"/>
          <w:sz w:val="17"/>
          <w:szCs w:val="17"/>
          <w:b w:val="1"/>
          <w:bCs w:val="1"/>
          <w:color w:val="auto"/>
        </w:rPr>
        <w:t>Underwriters</w:t>
      </w:r>
      <w:r>
        <w:rPr>
          <w:rFonts w:ascii="Arial" w:cs="Arial" w:eastAsia="Arial" w:hAnsi="Arial"/>
          <w:sz w:val="17"/>
          <w:szCs w:val="17"/>
          <w:color w:val="auto"/>
        </w:rPr>
        <w:t>”), of shares of the common stock, par value $0.001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69"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and will not publicly disclose an intention to, during the period commencing on the date hereof and ending 180 days after the date of the final prospectus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Common Stock, or (2) enter into any swap or other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type w:val="continuous"/>
        </w:sectPr>
      </w:pPr>
    </w:p>
    <w:bookmarkStart w:id="338" w:name="page339"/>
    <w:bookmarkEnd w:id="338"/>
    <w:p>
      <w:pPr>
        <w:ind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arrangement that transfers to another, in whole or in part, any of the economic consequences of ownership of the Common Stock, whether any such transaction described in clause (1) or (2) above is to be settled by delivery of Common Stock or such other securities, in cash or otherwise.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foregoing sentence shall not apply to:</w:t>
      </w:r>
    </w:p>
    <w:p>
      <w:pPr>
        <w:spacing w:after="0" w:line="117" w:lineRule="exact"/>
        <w:rPr>
          <w:sz w:val="20"/>
          <w:szCs w:val="20"/>
          <w:color w:val="auto"/>
        </w:rPr>
      </w:pPr>
    </w:p>
    <w:p>
      <w:pPr>
        <w:ind w:right="20" w:firstLine="987"/>
        <w:spacing w:after="0" w:line="255" w:lineRule="auto"/>
        <w:tabs>
          <w:tab w:leader="none" w:pos="12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transactions relating to shares of Common Stock or other securities acquired in (x) open market transactions after the completion of the Public Offering or (y) as part of the Public Offering (other than issuer-directed shares purchased in the Public Offering, which shall be subject to the foregoing sentence)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reporting a reduction in beneficial ownership of the Common Stock shall be required or shall be voluntarily made in connection with subsequent sales of Common Stock or other securities acquired in such open market transactions,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all filings on Form 13F and all initial filings under Schedule 13G or 13D regarding beneficial ownership shall be permitted;</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as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bona fide gift;</w:t>
      </w:r>
    </w:p>
    <w:p>
      <w:pPr>
        <w:spacing w:after="0" w:line="210" w:lineRule="exact"/>
        <w:rPr>
          <w:rFonts w:ascii="Arial" w:cs="Arial" w:eastAsia="Arial" w:hAnsi="Arial"/>
          <w:sz w:val="16"/>
          <w:szCs w:val="16"/>
          <w:color w:val="auto"/>
        </w:rPr>
      </w:pPr>
    </w:p>
    <w:p>
      <w:pPr>
        <w:ind w:right="40" w:firstLine="987"/>
        <w:spacing w:after="0" w:line="259" w:lineRule="auto"/>
        <w:tabs>
          <w:tab w:leader="none" w:pos="12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any trust or similar entity for the direct or indirect benefit of the undersigned or the immediate family of the undersigned (for purposes of this lock-up agreement, “immediate family” shall mean any relationship by blood, marriage or adoption, not more remote than first cousin) or if the undersigned is a trust, to any beneficiary of the undersigned (including such beneficiary’s estate);</w:t>
      </w:r>
    </w:p>
    <w:p>
      <w:pPr>
        <w:spacing w:after="0" w:line="186"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distributions of shares of Common Stock or any other securities convertible into or exercisable or exchangeable for Common Stock to limited partners, general partners, members, stockholders or other equityholders of the undersigned;</w:t>
      </w:r>
    </w:p>
    <w:p>
      <w:pPr>
        <w:spacing w:after="0" w:line="170" w:lineRule="exact"/>
        <w:rPr>
          <w:rFonts w:ascii="Arial" w:cs="Arial" w:eastAsia="Arial" w:hAnsi="Arial"/>
          <w:sz w:val="18"/>
          <w:szCs w:val="18"/>
          <w:color w:val="auto"/>
        </w:rPr>
      </w:pPr>
    </w:p>
    <w:p>
      <w:pPr>
        <w:ind w:firstLine="987"/>
        <w:spacing w:after="0" w:line="263" w:lineRule="auto"/>
        <w:tabs>
          <w:tab w:leader="none" w:pos="12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the undersigned’s affiliates or to any investment fund or other entity that, directly or indirectly, controls or manages, is controlled or managed by, or is under common control or management with the undersigned;</w:t>
      </w:r>
    </w:p>
    <w:p>
      <w:pPr>
        <w:spacing w:after="0" w:line="183" w:lineRule="exact"/>
        <w:rPr>
          <w:rFonts w:ascii="Arial" w:cs="Arial" w:eastAsia="Arial" w:hAnsi="Arial"/>
          <w:sz w:val="18"/>
          <w:szCs w:val="18"/>
          <w:color w:val="auto"/>
        </w:rPr>
      </w:pPr>
    </w:p>
    <w:p>
      <w:pPr>
        <w:ind w:right="100" w:firstLine="987"/>
        <w:spacing w:after="0" w:line="308" w:lineRule="auto"/>
        <w:tabs>
          <w:tab w:leader="none" w:pos="121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transfers of shares of Common Stock or any other securities convertible into or exercisable or exchangeable for Common Stock to any nominee or custodian of a person or entity to whom a transfer or disposition would be permissible under clauses (b) through (e) above;</w:t>
      </w:r>
    </w:p>
    <w:p>
      <w:pPr>
        <w:spacing w:after="0" w:line="146" w:lineRule="exact"/>
        <w:rPr>
          <w:rFonts w:ascii="Arial" w:cs="Arial" w:eastAsia="Arial" w:hAnsi="Arial"/>
          <w:sz w:val="17"/>
          <w:szCs w:val="17"/>
          <w:color w:val="auto"/>
        </w:rPr>
      </w:pPr>
    </w:p>
    <w:p>
      <w:pPr>
        <w:ind w:firstLine="987"/>
        <w:spacing w:after="0" w:line="277" w:lineRule="auto"/>
        <w:tabs>
          <w:tab w:leader="none" w:pos="12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by will or intestate succession (including to the transferee’s nominee or custodian);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339" w:name="page340"/>
    <w:bookmarkEnd w:id="339"/>
    <w:p>
      <w:pPr>
        <w:ind w:right="20" w:firstLine="987"/>
        <w:spacing w:after="0" w:line="296" w:lineRule="auto"/>
        <w:tabs>
          <w:tab w:leader="none" w:pos="1246" w:val="left"/>
        </w:tabs>
        <w:numPr>
          <w:ilvl w:val="0"/>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transfers of shares of Common Stock or any other securities convertible into or exercisable or exchangeable for Common Stock to the Company in connection with the exercise of options, warrants or other rights to acquire shares of Common Stock or any security convertible into or exercisable for shares of Common Stock of the Company by way of net exercise and/or to cover withholding tax obligations in connection with such exercise pursuant to an employee benefit plan, option, warrant or other right disclosed in the Prospectus for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shares of the Common Stock issued upon exercise of such option, warrant or other right shall be subject to the restrictions set forth herein;</w:t>
      </w:r>
    </w:p>
    <w:p>
      <w:pPr>
        <w:spacing w:after="0" w:line="161" w:lineRule="exact"/>
        <w:rPr>
          <w:rFonts w:ascii="Arial" w:cs="Arial" w:eastAsia="Arial" w:hAnsi="Arial"/>
          <w:sz w:val="16"/>
          <w:szCs w:val="16"/>
          <w:color w:val="auto"/>
        </w:rPr>
      </w:pPr>
    </w:p>
    <w:p>
      <w:pPr>
        <w:ind w:right="60" w:firstLine="987"/>
        <w:spacing w:after="0" w:line="263" w:lineRule="auto"/>
        <w:tabs>
          <w:tab w:leader="none" w:pos="120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pursuant to the automatic conversion of outstanding preferred stock or convertible notes of the Company into shares of Common Stock as described in the Prospectus;</w:t>
      </w:r>
    </w:p>
    <w:p>
      <w:pPr>
        <w:spacing w:after="0" w:line="183" w:lineRule="exact"/>
        <w:rPr>
          <w:rFonts w:ascii="Arial" w:cs="Arial" w:eastAsia="Arial" w:hAnsi="Arial"/>
          <w:sz w:val="18"/>
          <w:szCs w:val="18"/>
          <w:color w:val="auto"/>
        </w:rPr>
      </w:pPr>
    </w:p>
    <w:p>
      <w:pPr>
        <w:ind w:right="200" w:firstLine="987"/>
        <w:spacing w:after="0" w:line="311" w:lineRule="auto"/>
        <w:tabs>
          <w:tab w:leader="none" w:pos="120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by operation of law, including pursuant to a court or regulatory agency order, a settlement agreement, a qualified domestic order or in connection with a divorce settlement (including to any nominee or custodian of a person or entity to whom a transfer or disposition would be permissible);</w:t>
      </w:r>
    </w:p>
    <w:p>
      <w:pPr>
        <w:spacing w:after="0" w:line="148" w:lineRule="exact"/>
        <w:rPr>
          <w:rFonts w:ascii="Arial" w:cs="Arial" w:eastAsia="Arial" w:hAnsi="Arial"/>
          <w:sz w:val="16"/>
          <w:szCs w:val="16"/>
          <w:color w:val="auto"/>
        </w:rPr>
      </w:pPr>
    </w:p>
    <w:p>
      <w:pPr>
        <w:ind w:right="20" w:firstLine="987"/>
        <w:spacing w:after="0" w:line="263" w:lineRule="auto"/>
        <w:tabs>
          <w:tab w:leader="none" w:pos="12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the Company pursuant to agreements described in the Prospectus under which the Company has the option to repurchase such shares or a right of first refusal with respect to transfers of such shares upon termination of service of the undersigned;</w:t>
      </w:r>
    </w:p>
    <w:p>
      <w:pPr>
        <w:spacing w:after="0" w:line="183" w:lineRule="exact"/>
        <w:rPr>
          <w:rFonts w:ascii="Arial" w:cs="Arial" w:eastAsia="Arial" w:hAnsi="Arial"/>
          <w:sz w:val="18"/>
          <w:szCs w:val="18"/>
          <w:color w:val="auto"/>
        </w:rPr>
      </w:pPr>
    </w:p>
    <w:p>
      <w:pPr>
        <w:ind w:firstLine="987"/>
        <w:spacing w:after="0" w:line="257" w:lineRule="auto"/>
        <w:tabs>
          <w:tab w:leader="none" w:pos="120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transfers of shares of Common Stock or any other securities convertible into or exercisable or exchangeable for Common Stock to a third party pursuant to a merger, consolidation,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tender offer or other similar transaction made to all holders of shares of the Common Stock involving a change of control and approved by the Company’s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merger, consolidation, tender offer or other transaction is not completed, such shares of Common Stock owned by the undersigned shall remain subject to the provisions of this lock-up agreement; or</w:t>
      </w:r>
    </w:p>
    <w:p>
      <w:pPr>
        <w:spacing w:after="0" w:line="187" w:lineRule="exact"/>
        <w:rPr>
          <w:rFonts w:ascii="Arial" w:cs="Arial" w:eastAsia="Arial" w:hAnsi="Arial"/>
          <w:sz w:val="18"/>
          <w:szCs w:val="18"/>
          <w:color w:val="auto"/>
        </w:rPr>
      </w:pPr>
    </w:p>
    <w:p>
      <w:pPr>
        <w:ind w:right="20" w:firstLine="987"/>
        <w:spacing w:after="0" w:line="275" w:lineRule="auto"/>
        <w:tabs>
          <w:tab w:leader="none" w:pos="1296"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facilitating the establishment of a trading plan on behalf of a shareholder, officer or director of the Company pursuant to Rule 10b5-1 under the Exchange Act for the transfer of shares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7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provided that</w:t>
      </w:r>
      <w:r>
        <w:rPr>
          <w:rFonts w:ascii="Arial" w:cs="Arial" w:eastAsia="Arial" w:hAnsi="Arial"/>
          <w:sz w:val="17"/>
          <w:szCs w:val="17"/>
          <w:color w:val="auto"/>
        </w:rPr>
        <w:t>, with respect to each donee, trustee, distributee, or transferee, as applicable, (x) in the case of any transfer, disposition 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clauses (b) to (g) above, such donee, trustee, distribute or transferee, as applicable, shall sign and deliver a</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00"/>
          </w:cols>
          <w:pgMar w:left="440" w:top="274" w:right="559" w:bottom="1440" w:gutter="0" w:footer="0" w:header="0"/>
        </w:sectPr>
      </w:pPr>
    </w:p>
    <w:bookmarkStart w:id="340" w:name="page341"/>
    <w:bookmarkEnd w:id="340"/>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lock-up agreement substantially in the form of this agreement, (y) (A) in the case of clauses (b) to (f) above, such transfer shall not involve a disposition for value and no filing under Section 16(a) of the Exchange Act reporting a reduction in beneficial ownership of the Common Stock shall be required or shall be voluntarily made and (B) in the case of clauses (g) to (l) above, any required filing under Section 16(a) of the Exchange Act shall state the reason for such transfer in the footnotes thereto and (z) the undersigned shall not otherwise voluntarily effect any public filing or report regarding such transfers during the Restricted Period. As used in this lock-up agreement, “change of control” shall mean the consummation of any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third-party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total voting power of the voting stock of the Company.</w:t>
      </w:r>
    </w:p>
    <w:p>
      <w:pPr>
        <w:spacing w:after="0" w:line="178"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In addition, the undersigned agrees that, without the prior written consent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70"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The undersigned further agrees that the foregoing restrictions shall be equally applicable to any issuer-directed Shares the undersigned may purchase in the Public Offering.</w:t>
      </w:r>
    </w:p>
    <w:p>
      <w:pPr>
        <w:spacing w:after="0" w:line="170"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178"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341" w:name="page342"/>
    <w:bookmarkEnd w:id="341"/>
    <w:p>
      <w:pPr>
        <w:ind w:left="4" w:right="2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acknowledges and agrees that the Underwriters have not provided any recommendation or investment advice, nor have the Underwriters solicited any action from the undersigned with respect to the Public Offering of the shares of Common Stock, and the undersigned has consulted their own legal, accounting, financial, regulatory and tax advisors to the extent deemed appropriate.</w:t>
      </w:r>
    </w:p>
    <w:p>
      <w:pPr>
        <w:spacing w:after="0" w:line="165" w:lineRule="exact"/>
        <w:rPr>
          <w:sz w:val="20"/>
          <w:szCs w:val="20"/>
          <w:color w:val="auto"/>
        </w:rPr>
      </w:pPr>
    </w:p>
    <w:p>
      <w:pPr>
        <w:ind w:left="4" w:firstLine="991"/>
        <w:spacing w:after="0" w:line="342" w:lineRule="auto"/>
        <w:rPr>
          <w:sz w:val="20"/>
          <w:szCs w:val="20"/>
          <w:color w:val="auto"/>
        </w:rPr>
      </w:pPr>
      <w:r>
        <w:rPr>
          <w:rFonts w:ascii="Arial" w:cs="Arial" w:eastAsia="Arial" w:hAnsi="Arial"/>
          <w:sz w:val="16"/>
          <w:szCs w:val="16"/>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24" w:lineRule="exact"/>
        <w:rPr>
          <w:sz w:val="20"/>
          <w:szCs w:val="20"/>
          <w:color w:val="auto"/>
        </w:rPr>
      </w:pPr>
    </w:p>
    <w:p>
      <w:pPr>
        <w:jc w:val="both"/>
        <w:ind w:left="4" w:right="20" w:firstLine="991"/>
        <w:spacing w:after="0" w:line="287" w:lineRule="auto"/>
        <w:rPr>
          <w:sz w:val="20"/>
          <w:szCs w:val="20"/>
          <w:color w:val="auto"/>
        </w:rPr>
      </w:pPr>
      <w:r>
        <w:rPr>
          <w:rFonts w:ascii="Arial" w:cs="Arial" w:eastAsia="Arial" w:hAnsi="Arial"/>
          <w:sz w:val="16"/>
          <w:szCs w:val="16"/>
          <w:color w:val="auto"/>
        </w:rPr>
        <w:t>The undersigned understands that, if (i) either the Representatives, on the one hand, or the Company, on the other hand, informs the other, prior to the execution of the Underwriting Agreement, that they have determined not to proceed with the Public Offering, (ii) the registration statement furnished to or filed with the Commission with respect to the Public Offering is withdrawn prior to the execution of the Underwriting Agreement,</w:t>
      </w:r>
    </w:p>
    <w:p>
      <w:pPr>
        <w:spacing w:after="0" w:line="2" w:lineRule="exact"/>
        <w:rPr>
          <w:sz w:val="20"/>
          <w:szCs w:val="20"/>
          <w:color w:val="auto"/>
        </w:rPr>
      </w:pPr>
    </w:p>
    <w:p>
      <w:pPr>
        <w:jc w:val="both"/>
        <w:ind w:left="4" w:right="280" w:hanging="4"/>
        <w:spacing w:after="0" w:line="253" w:lineRule="auto"/>
        <w:tabs>
          <w:tab w:leader="none" w:pos="31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Underwriting Agreement is not duly executed by December 31, 2020 (provided that the Company may, by written notice to the undersigned prior to such date, extend such date for a period of an additional six months), or (iv) the Underwriting Agreement (other than the provisions thereof which survive termination) shall terminate or be terminated prior to payment for and delivery of the Common Stock to be sold thereunder, the undersigned shall be released from all obligations under this lock-up agreement.</w:t>
      </w:r>
    </w:p>
    <w:p>
      <w:pPr>
        <w:spacing w:after="0" w:line="193"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This agreement and any claim, controversy or dispute arising under or related to this agreement shall be governed by and construed in accordance with the laws of the State of New York.</w:t>
      </w:r>
    </w:p>
    <w:p>
      <w:pPr>
        <w:spacing w:after="0" w:line="17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44"/>
          </w:cols>
          <w:pgMar w:left="436" w:top="274" w:right="519"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Very truly yours,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59"/>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IF AN INDIVIDUAL:</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IF AN ENTITY:</w:t>
            </w:r>
          </w:p>
        </w:tc>
      </w:tr>
      <w:tr>
        <w:trPr>
          <w:trHeight w:val="459"/>
        </w:trPr>
        <w:tc>
          <w:tcPr>
            <w:tcW w:w="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224"/>
        </w:trPr>
        <w:tc>
          <w:tcPr>
            <w:tcW w:w="640" w:type="dxa"/>
            <w:vAlign w:val="bottom"/>
          </w:tcPr>
          <w:p>
            <w:pPr>
              <w:spacing w:after="0"/>
              <w:rPr>
                <w:sz w:val="19"/>
                <w:szCs w:val="19"/>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i w:val="1"/>
                <w:iCs w:val="1"/>
                <w:color w:val="auto"/>
              </w:rPr>
              <w:t>(duly authorized signature)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0" w:type="dxa"/>
            <w:vAlign w:val="bottom"/>
          </w:tcPr>
          <w:p>
            <w:pPr>
              <w:ind w:left="480"/>
              <w:spacing w:after="0"/>
              <w:rPr>
                <w:sz w:val="20"/>
                <w:szCs w:val="20"/>
                <w:color w:val="auto"/>
              </w:rPr>
            </w:pPr>
            <w:r>
              <w:rPr>
                <w:rFonts w:ascii="Arial" w:cs="Arial" w:eastAsia="Arial" w:hAnsi="Arial"/>
                <w:sz w:val="18"/>
                <w:szCs w:val="18"/>
                <w:i w:val="1"/>
                <w:iCs w:val="1"/>
                <w:color w:val="auto"/>
              </w:rPr>
              <w:t>(please print complete name of entity)</w:t>
            </w:r>
          </w:p>
        </w:tc>
      </w:tr>
      <w:tr>
        <w:trPr>
          <w:trHeight w:val="431"/>
        </w:trPr>
        <w:tc>
          <w:tcPr>
            <w:tcW w:w="5260" w:type="dxa"/>
            <w:vAlign w:val="bottom"/>
            <w:gridSpan w:val="3"/>
          </w:tcPr>
          <w:p>
            <w:pPr>
              <w:spacing w:after="0"/>
              <w:rPr>
                <w:sz w:val="20"/>
                <w:szCs w:val="20"/>
                <w:color w:val="auto"/>
              </w:rPr>
            </w:pPr>
            <w:r>
              <w:rPr>
                <w:rFonts w:ascii="Arial" w:cs="Arial" w:eastAsia="Arial" w:hAnsi="Arial"/>
                <w:sz w:val="18"/>
                <w:szCs w:val="18"/>
                <w:color w:val="auto"/>
              </w:rPr>
              <w:t>Name: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20" w:type="dxa"/>
            <w:vAlign w:val="bottom"/>
            <w:gridSpan w:val="2"/>
          </w:tcPr>
          <w:p>
            <w:pPr>
              <w:jc w:val="right"/>
              <w:ind w:right="4490"/>
              <w:spacing w:after="0"/>
              <w:rPr>
                <w:sz w:val="20"/>
                <w:szCs w:val="20"/>
                <w:color w:val="auto"/>
              </w:rPr>
            </w:pPr>
            <w:r>
              <w:rPr>
                <w:rFonts w:ascii="Arial" w:cs="Arial" w:eastAsia="Arial" w:hAnsi="Arial"/>
                <w:sz w:val="18"/>
                <w:szCs w:val="18"/>
                <w:color w:val="auto"/>
              </w:rPr>
              <w:t>By:</w:t>
            </w:r>
          </w:p>
        </w:tc>
      </w:tr>
      <w:tr>
        <w:trPr>
          <w:trHeight w:val="224"/>
        </w:trPr>
        <w:tc>
          <w:tcPr>
            <w:tcW w:w="640" w:type="dxa"/>
            <w:vAlign w:val="bottom"/>
          </w:tcPr>
          <w:p>
            <w:pPr>
              <w:spacing w:after="0"/>
              <w:rPr>
                <w:sz w:val="19"/>
                <w:szCs w:val="19"/>
                <w:color w:val="auto"/>
              </w:rPr>
            </w:pPr>
          </w:p>
        </w:tc>
        <w:tc>
          <w:tcPr>
            <w:tcW w:w="4620" w:type="dxa"/>
            <w:vAlign w:val="bottom"/>
            <w:tcBorders>
              <w:top w:val="single" w:sz="8" w:color="auto"/>
            </w:tcBorders>
            <w:gridSpan w:val="2"/>
          </w:tcPr>
          <w:p>
            <w:pPr>
              <w:ind w:left="1460"/>
              <w:spacing w:after="0"/>
              <w:rPr>
                <w:sz w:val="20"/>
                <w:szCs w:val="20"/>
                <w:color w:val="auto"/>
              </w:rPr>
            </w:pPr>
            <w:r>
              <w:rPr>
                <w:rFonts w:ascii="Arial" w:cs="Arial" w:eastAsia="Arial" w:hAnsi="Arial"/>
                <w:sz w:val="18"/>
                <w:szCs w:val="18"/>
                <w:i w:val="1"/>
                <w:iCs w:val="1"/>
                <w:color w:val="auto"/>
              </w:rPr>
              <w:t>(please print full name)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(duly authorized signature)</w:t>
            </w:r>
          </w:p>
        </w:tc>
      </w:tr>
      <w:tr>
        <w:trPr>
          <w:trHeight w:val="431"/>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20" w:type="dxa"/>
            <w:vAlign w:val="bottom"/>
            <w:gridSpan w:val="2"/>
          </w:tcPr>
          <w:p>
            <w:pPr>
              <w:jc w:val="right"/>
              <w:ind w:right="4490"/>
              <w:spacing w:after="0"/>
              <w:rPr>
                <w:sz w:val="20"/>
                <w:szCs w:val="20"/>
                <w:color w:val="auto"/>
              </w:rPr>
            </w:pPr>
            <w:r>
              <w:rPr>
                <w:rFonts w:ascii="Arial" w:cs="Arial" w:eastAsia="Arial" w:hAnsi="Arial"/>
                <w:sz w:val="18"/>
                <w:szCs w:val="18"/>
                <w:color w:val="auto"/>
                <w:w w:val="98"/>
              </w:rPr>
              <w:t>Name:</w:t>
            </w:r>
          </w:p>
        </w:tc>
      </w:tr>
      <w:tr>
        <w:trPr>
          <w:trHeight w:val="224"/>
        </w:trPr>
        <w:tc>
          <w:tcPr>
            <w:tcW w:w="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(please print full name)</w:t>
            </w:r>
          </w:p>
        </w:tc>
      </w:tr>
      <w:tr>
        <w:trPr>
          <w:trHeight w:val="431"/>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20" w:type="dxa"/>
            <w:vAlign w:val="bottom"/>
            <w:gridSpan w:val="2"/>
          </w:tcPr>
          <w:p>
            <w:pPr>
              <w:jc w:val="right"/>
              <w:ind w:right="4490"/>
              <w:spacing w:after="0"/>
              <w:rPr>
                <w:sz w:val="20"/>
                <w:szCs w:val="20"/>
                <w:color w:val="auto"/>
              </w:rPr>
            </w:pPr>
            <w:r>
              <w:rPr>
                <w:rFonts w:ascii="Arial" w:cs="Arial" w:eastAsia="Arial" w:hAnsi="Arial"/>
                <w:sz w:val="18"/>
                <w:szCs w:val="18"/>
                <w:color w:val="auto"/>
              </w:rPr>
              <w:t>Title:</w:t>
            </w:r>
          </w:p>
        </w:tc>
      </w:tr>
      <w:tr>
        <w:trPr>
          <w:trHeight w:val="224"/>
        </w:trPr>
        <w:tc>
          <w:tcPr>
            <w:tcW w:w="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(please print full title)</w:t>
            </w:r>
          </w:p>
        </w:tc>
      </w:tr>
      <w:tr>
        <w:trPr>
          <w:trHeight w:val="431"/>
        </w:trPr>
        <w:tc>
          <w:tcPr>
            <w:tcW w:w="526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760" w:type="dxa"/>
            <w:vAlign w:val="bottom"/>
            <w:gridSpan w:val="4"/>
          </w:tcPr>
          <w:p>
            <w:pPr>
              <w:jc w:val="right"/>
              <w:ind w:right="4470"/>
              <w:spacing w:after="0"/>
              <w:rPr>
                <w:sz w:val="20"/>
                <w:szCs w:val="20"/>
                <w:color w:val="auto"/>
              </w:rPr>
            </w:pPr>
            <w:r>
              <w:rPr>
                <w:rFonts w:ascii="Arial" w:cs="Arial" w:eastAsia="Arial" w:hAnsi="Arial"/>
                <w:sz w:val="18"/>
                <w:szCs w:val="18"/>
                <w:color w:val="auto"/>
              </w:rPr>
              <w:t>Address:</w:t>
            </w:r>
          </w:p>
        </w:tc>
      </w:tr>
      <w:tr>
        <w:trPr>
          <w:trHeight w:val="324"/>
        </w:trPr>
        <w:tc>
          <w:tcPr>
            <w:tcW w:w="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331"/>
        </w:trPr>
        <w:tc>
          <w:tcPr>
            <w:tcW w:w="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tabs>
          <w:tab w:leader="none" w:pos="5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14605</wp:posOffset>
            </wp:positionV>
            <wp:extent cx="27260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20"/>
          </w:cols>
          <w:pgMar w:left="440" w:top="274" w:right="4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-10160</wp:posOffset>
            </wp:positionV>
            <wp:extent cx="60007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letter is being delivered to Morgan Stanley &amp; Co. LLC and William Blair &amp; Company, L.L.C. (the “</w:t>
      </w:r>
      <w:r>
        <w:rPr>
          <w:rFonts w:ascii="Arial" w:cs="Arial" w:eastAsia="Arial" w:hAnsi="Arial"/>
          <w:sz w:val="17"/>
          <w:szCs w:val="17"/>
          <w:b w:val="1"/>
          <w:bCs w:val="1"/>
          <w:color w:val="auto"/>
        </w:rPr>
        <w:t>Representatives</w:t>
      </w:r>
      <w:r>
        <w:rPr>
          <w:rFonts w:ascii="Arial" w:cs="Arial" w:eastAsia="Arial" w:hAnsi="Arial"/>
          <w:sz w:val="17"/>
          <w:szCs w:val="17"/>
          <w:color w:val="auto"/>
        </w:rPr>
        <w:t>”) in connection with</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9"/>
          </w:tcPr>
          <w:p>
            <w:pPr>
              <w:spacing w:after="0"/>
              <w:rPr>
                <w:sz w:val="20"/>
                <w:szCs w:val="20"/>
                <w:color w:val="auto"/>
              </w:rPr>
            </w:pPr>
            <w:r>
              <w:rPr>
                <w:rFonts w:ascii="Arial" w:cs="Arial" w:eastAsia="Arial" w:hAnsi="Arial"/>
                <w:sz w:val="18"/>
                <w:szCs w:val="18"/>
                <w:color w:val="auto"/>
                <w:w w:val="94"/>
              </w:rPr>
              <w:t>the offering by Biodesix, Inc. (the “</w:t>
            </w:r>
            <w:r>
              <w:rPr>
                <w:rFonts w:ascii="Arial" w:cs="Arial" w:eastAsia="Arial" w:hAnsi="Arial"/>
                <w:sz w:val="18"/>
                <w:szCs w:val="18"/>
                <w:b w:val="1"/>
                <w:bCs w:val="1"/>
                <w:color w:val="auto"/>
                <w:w w:val="94"/>
              </w:rPr>
              <w:t>Company</w:t>
            </w:r>
            <w:r>
              <w:rPr>
                <w:rFonts w:ascii="Arial" w:cs="Arial" w:eastAsia="Arial" w:hAnsi="Arial"/>
                <w:sz w:val="18"/>
                <w:szCs w:val="18"/>
                <w:color w:val="auto"/>
                <w:w w:val="94"/>
              </w:rPr>
              <w:t>”) of</w:t>
            </w: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w w:val="90"/>
              </w:rPr>
              <w:t>shares of common stock, $0.001 par value (the “</w:t>
            </w:r>
            <w:r>
              <w:rPr>
                <w:rFonts w:ascii="Arial" w:cs="Arial" w:eastAsia="Arial" w:hAnsi="Arial"/>
                <w:sz w:val="18"/>
                <w:szCs w:val="18"/>
                <w:b w:val="1"/>
                <w:bCs w:val="1"/>
                <w:color w:val="auto"/>
                <w:w w:val="90"/>
              </w:rPr>
              <w:t>Common Stock</w:t>
            </w:r>
            <w:r>
              <w:rPr>
                <w:rFonts w:ascii="Arial" w:cs="Arial" w:eastAsia="Arial" w:hAnsi="Arial"/>
                <w:sz w:val="18"/>
                <w:szCs w:val="18"/>
                <w:color w:val="auto"/>
                <w:w w:val="90"/>
              </w:rPr>
              <w:t>”), of the Company and the</w:t>
            </w:r>
          </w:p>
        </w:tc>
      </w:tr>
      <w:tr>
        <w:trPr>
          <w:trHeight w:val="196"/>
        </w:trPr>
        <w:tc>
          <w:tcPr>
            <w:tcW w:w="1820" w:type="dxa"/>
            <w:vAlign w:val="bottom"/>
            <w:gridSpan w:val="3"/>
          </w:tcPr>
          <w:p>
            <w:pPr>
              <w:spacing w:after="0" w:line="196" w:lineRule="exact"/>
              <w:rPr>
                <w:sz w:val="20"/>
                <w:szCs w:val="20"/>
                <w:color w:val="auto"/>
              </w:rPr>
            </w:pPr>
            <w:r>
              <w:rPr>
                <w:rFonts w:ascii="Arial" w:cs="Arial" w:eastAsia="Arial" w:hAnsi="Arial"/>
                <w:sz w:val="18"/>
                <w:szCs w:val="18"/>
                <w:color w:val="auto"/>
                <w:w w:val="90"/>
              </w:rPr>
              <w:t>lock-up agreement dated</w:t>
            </w:r>
          </w:p>
        </w:tc>
        <w:tc>
          <w:tcPr>
            <w:tcW w:w="18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540" w:type="dxa"/>
            <w:vAlign w:val="bottom"/>
            <w:gridSpan w:val="5"/>
          </w:tcPr>
          <w:p>
            <w:pPr>
              <w:spacing w:after="0" w:line="196" w:lineRule="exact"/>
              <w:rPr>
                <w:sz w:val="20"/>
                <w:szCs w:val="20"/>
                <w:color w:val="auto"/>
              </w:rPr>
            </w:pPr>
            <w:r>
              <w:rPr>
                <w:rFonts w:ascii="Arial" w:cs="Arial" w:eastAsia="Arial" w:hAnsi="Arial"/>
                <w:sz w:val="18"/>
                <w:szCs w:val="18"/>
                <w:color w:val="auto"/>
                <w:w w:val="92"/>
              </w:rPr>
              <w:t>, 2020 (the “Lock-up Agreement”), executed by you in connection with such offering, and your request for a [waiver]</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w w:val="90"/>
              </w:rPr>
              <w:t>[release] dated</w:t>
            </w:r>
          </w:p>
        </w:tc>
        <w:tc>
          <w:tcPr>
            <w:tcW w:w="90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rPr>
              <w:t>, 20</w:t>
            </w:r>
          </w:p>
        </w:tc>
        <w:tc>
          <w:tcPr>
            <w:tcW w:w="168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 with respect to</w:t>
            </w:r>
          </w:p>
        </w:tc>
        <w:tc>
          <w:tcPr>
            <w:tcW w:w="140" w:type="dxa"/>
            <w:vAlign w:val="bottom"/>
          </w:tcPr>
          <w:p>
            <w:pPr>
              <w:spacing w:after="0"/>
              <w:rPr>
                <w:sz w:val="17"/>
                <w:szCs w:val="17"/>
                <w:color w:val="auto"/>
              </w:rPr>
            </w:pPr>
          </w:p>
        </w:tc>
        <w:tc>
          <w:tcPr>
            <w:tcW w:w="70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Representatives hereby agree to [waive] [release] the transfer restrictions set forth in the Lock-up Agreement, but only with respect to the</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Shares, effective , 20 ;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-306705</wp:posOffset>
            </wp:positionV>
            <wp:extent cx="3429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-306705</wp:posOffset>
            </wp:positionV>
            <wp:extent cx="1143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Agreement shall remain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William Blair &amp; Company, L.L.C.</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Acting severally on behalf of themselves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 the several Underwriters named in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Schedule I hereto</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44" w:name="page345"/>
    <w:bookmarkEnd w:id="344"/>
    <w:p>
      <w:pPr>
        <w:jc w:val="right"/>
        <w:ind w:right="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WILLIAM BLAIR &amp; COMPANY, L.L.C.</w:t>
      </w:r>
    </w:p>
    <w:p>
      <w:pPr>
        <w:spacing w:after="0" w:line="225" w:lineRule="exact"/>
        <w:rPr>
          <w:sz w:val="20"/>
          <w:szCs w:val="20"/>
          <w:color w:val="auto"/>
        </w:rPr>
      </w:pPr>
    </w:p>
    <w:p>
      <w:pPr>
        <w:ind w:left="670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14605</wp:posOffset>
            </wp:positionV>
            <wp:extent cx="23399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670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Company</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023"/>
          </w:cols>
          <w:pgMar w:left="436" w:top="274" w:right="1440" w:bottom="1440" w:gutter="0" w:footer="0" w:header="0"/>
        </w:sectPr>
      </w:pPr>
    </w:p>
    <w:bookmarkStart w:id="345" w:name="page346"/>
    <w:bookmarkEnd w:id="345"/>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5715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Biodesix, Inc. (the “</w:t>
      </w:r>
      <w:r>
        <w:rPr>
          <w:rFonts w:ascii="Arial" w:cs="Arial" w:eastAsia="Arial" w:hAnsi="Arial"/>
          <w:sz w:val="17"/>
          <w:szCs w:val="17"/>
          <w:b w:val="1"/>
          <w:bCs w:val="1"/>
          <w:color w:val="auto"/>
        </w:rPr>
        <w:t>Company</w:t>
      </w:r>
      <w:r>
        <w:rPr>
          <w:rFonts w:ascii="Arial" w:cs="Arial" w:eastAsia="Arial" w:hAnsi="Arial"/>
          <w:sz w:val="17"/>
          <w:szCs w:val="17"/>
          <w:color w:val="auto"/>
        </w:rPr>
        <w:t>”) announced today that Morgan Stanley &amp; Co. LLC and William Blair &amp; Company, L.L.C., as lead book-running</w:t>
      </w:r>
    </w:p>
    <w:p>
      <w:pPr>
        <w:spacing w:after="0" w:line="3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managers in the Company’s recent public sale of</w:t>
      </w:r>
      <w:r>
        <w:rPr>
          <w:sz w:val="20"/>
          <w:szCs w:val="20"/>
          <w:color w:val="auto"/>
        </w:rPr>
        <w:tab/>
      </w:r>
      <w:r>
        <w:rPr>
          <w:rFonts w:ascii="Arial" w:cs="Arial" w:eastAsia="Arial" w:hAnsi="Arial"/>
          <w:sz w:val="16"/>
          <w:szCs w:val="16"/>
          <w:color w:val="auto"/>
        </w:rPr>
        <w:t>shares of its common stock is [waiving][releasing] a lock-up restriction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-19050</wp:posOffset>
            </wp:positionV>
            <wp:extent cx="3429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-19050</wp:posOffset>
            </wp:positionV>
            <wp:extent cx="3429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shares of the Company’s common stock held by [certain officers or directors] [an officer or director] of the Company. The [waiver][release] will take</w:t>
      </w:r>
    </w:p>
    <w:p>
      <w:pPr>
        <w:spacing w:after="0" w:line="32" w:lineRule="exact"/>
        <w:rPr>
          <w:sz w:val="20"/>
          <w:szCs w:val="20"/>
          <w:color w:val="auto"/>
        </w:rPr>
      </w:pPr>
    </w:p>
    <w:p>
      <w:pPr>
        <w:spacing w:after="0"/>
        <w:tabs>
          <w:tab w:leader="none" w:pos="1200" w:val="left"/>
          <w:tab w:leader="none" w:pos="1640" w:val="left"/>
        </w:tabs>
        <w:rPr>
          <w:sz w:val="20"/>
          <w:szCs w:val="20"/>
          <w:color w:val="auto"/>
        </w:rPr>
      </w:pPr>
      <w:r>
        <w:rPr>
          <w:rFonts w:ascii="Arial" w:cs="Arial" w:eastAsia="Arial" w:hAnsi="Arial"/>
          <w:sz w:val="18"/>
          <w:szCs w:val="18"/>
          <w:color w:val="auto"/>
        </w:rPr>
        <w:t>effect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and the shares may be sold on or after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-19050</wp:posOffset>
            </wp:positionV>
            <wp:extent cx="3429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-19050</wp:posOffset>
            </wp:positionV>
            <wp:extent cx="1143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720"/>
          </w:cols>
          <w:pgMar w:left="440" w:top="270" w:right="7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CERTIFICATE OF AMENDMENT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FIFTEENTH AMENDED AND RESTATED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CERTIFICATE OF INCORPORATION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BIODESIX,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(Pursuant to Section 242 of the General Corporation Law of the State of Delaware)</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Biodesix,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135" w:lineRule="exact"/>
        <w:rPr>
          <w:sz w:val="20"/>
          <w:szCs w:val="20"/>
          <w:color w:val="auto"/>
        </w:rPr>
      </w:pPr>
    </w:p>
    <w:p>
      <w:pPr>
        <w:ind w:left="424" w:right="100" w:hanging="424"/>
        <w:spacing w:after="0" w:line="277"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the name of this corporation is Biodesix, Inc., and that this corporation was originally incorporated pursuant to the General Corporation Law on December 23, 2005, under the name Elston Technologies, Inc.</w:t>
      </w:r>
    </w:p>
    <w:p>
      <w:pPr>
        <w:spacing w:after="0" w:line="75"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proposing to amend the Fifteenth Amended and Restated Certificate of Incorporation of this corporation, declaring said amendment to be advisable and in the best interests of this corporation and its stockholders, and authorizing the appropriate officers of this corporation to solicit the consent of the stockholders therefor, which resolution setting forth the proposed amendment is as follows:</w:t>
      </w:r>
    </w:p>
    <w:p>
      <w:pPr>
        <w:spacing w:after="0" w:line="75" w:lineRule="exact"/>
        <w:rPr>
          <w:sz w:val="20"/>
          <w:szCs w:val="20"/>
          <w:color w:val="auto"/>
        </w:rPr>
      </w:pPr>
    </w:p>
    <w:p>
      <w:pPr>
        <w:ind w:left="444" w:right="34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Part C of Article IV of the Fifteenth Amended and Restated Certificate of Incorporation of this corporation is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to read in its entirety as follows:</w:t>
      </w:r>
    </w:p>
    <w:p>
      <w:pPr>
        <w:spacing w:after="0" w:line="58" w:lineRule="exact"/>
        <w:rPr>
          <w:sz w:val="20"/>
          <w:szCs w:val="20"/>
          <w:color w:val="auto"/>
        </w:rPr>
      </w:pPr>
    </w:p>
    <w:p>
      <w:pPr>
        <w:ind w:left="984" w:right="160"/>
        <w:spacing w:after="0" w:line="254" w:lineRule="auto"/>
        <w:rPr>
          <w:sz w:val="20"/>
          <w:szCs w:val="20"/>
          <w:color w:val="auto"/>
        </w:rPr>
      </w:pPr>
      <w:r>
        <w:rPr>
          <w:rFonts w:ascii="Arial" w:cs="Arial" w:eastAsia="Arial" w:hAnsi="Arial"/>
          <w:sz w:val="18"/>
          <w:szCs w:val="18"/>
          <w:color w:val="auto"/>
        </w:rPr>
        <w:t>700,000 shares of the authorized shares of Preferred Stock are hereby designated “</w:t>
      </w:r>
      <w:r>
        <w:rPr>
          <w:rFonts w:ascii="Arial" w:cs="Arial" w:eastAsia="Arial" w:hAnsi="Arial"/>
          <w:sz w:val="18"/>
          <w:szCs w:val="18"/>
          <w:b w:val="1"/>
          <w:bCs w:val="1"/>
          <w:i w:val="1"/>
          <w:iCs w:val="1"/>
          <w:color w:val="auto"/>
        </w:rPr>
        <w:t>Series A-1 Preferred Stock</w:t>
      </w:r>
      <w:r>
        <w:rPr>
          <w:rFonts w:ascii="Arial" w:cs="Arial" w:eastAsia="Arial" w:hAnsi="Arial"/>
          <w:sz w:val="18"/>
          <w:szCs w:val="18"/>
          <w:color w:val="auto"/>
        </w:rPr>
        <w:t>.” 266,668 shares of the authorized shares of Preferred Stock are hereby designated “</w:t>
      </w:r>
      <w:r>
        <w:rPr>
          <w:rFonts w:ascii="Arial" w:cs="Arial" w:eastAsia="Arial" w:hAnsi="Arial"/>
          <w:sz w:val="18"/>
          <w:szCs w:val="18"/>
          <w:b w:val="1"/>
          <w:bCs w:val="1"/>
          <w:i w:val="1"/>
          <w:iCs w:val="1"/>
          <w:color w:val="auto"/>
        </w:rPr>
        <w:t>Series A-2 Preferred Stock</w:t>
      </w:r>
      <w:r>
        <w:rPr>
          <w:rFonts w:ascii="Arial" w:cs="Arial" w:eastAsia="Arial" w:hAnsi="Arial"/>
          <w:sz w:val="18"/>
          <w:szCs w:val="18"/>
          <w:color w:val="auto"/>
        </w:rPr>
        <w:t>.” 750,000 shares of the authorized shares of Preferred Stock are hereby designated “</w:t>
      </w:r>
      <w:r>
        <w:rPr>
          <w:rFonts w:ascii="Arial" w:cs="Arial" w:eastAsia="Arial" w:hAnsi="Arial"/>
          <w:sz w:val="18"/>
          <w:szCs w:val="18"/>
          <w:b w:val="1"/>
          <w:bCs w:val="1"/>
          <w:i w:val="1"/>
          <w:iCs w:val="1"/>
          <w:color w:val="auto"/>
        </w:rPr>
        <w:t>Series A-3 Preferred Stock</w:t>
      </w:r>
      <w:r>
        <w:rPr>
          <w:rFonts w:ascii="Arial" w:cs="Arial" w:eastAsia="Arial" w:hAnsi="Arial"/>
          <w:sz w:val="18"/>
          <w:szCs w:val="18"/>
          <w:color w:val="auto"/>
        </w:rPr>
        <w:t>” (collectively, with the Series A-1 Preferred Stock and the Series A-2 Preferred Stock, the “</w:t>
      </w:r>
      <w:r>
        <w:rPr>
          <w:rFonts w:ascii="Arial" w:cs="Arial" w:eastAsia="Arial" w:hAnsi="Arial"/>
          <w:sz w:val="18"/>
          <w:szCs w:val="18"/>
          <w:b w:val="1"/>
          <w:bCs w:val="1"/>
          <w:i w:val="1"/>
          <w:iCs w:val="1"/>
          <w:color w:val="auto"/>
        </w:rPr>
        <w:t>Series A Preferred</w:t>
      </w:r>
      <w:r>
        <w:rPr>
          <w:rFonts w:ascii="Arial" w:cs="Arial" w:eastAsia="Arial" w:hAnsi="Arial"/>
          <w:sz w:val="18"/>
          <w:szCs w:val="18"/>
          <w:color w:val="auto"/>
        </w:rPr>
        <w:t>”). 3,641,817 shares of the authorized shares of Preferred Stock are hereby designated “</w:t>
      </w:r>
      <w:r>
        <w:rPr>
          <w:rFonts w:ascii="Arial" w:cs="Arial" w:eastAsia="Arial" w:hAnsi="Arial"/>
          <w:sz w:val="18"/>
          <w:szCs w:val="18"/>
          <w:b w:val="1"/>
          <w:bCs w:val="1"/>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2,998,852 shares of the authorized shares of Preferred Stock are hereby designated “</w:t>
      </w:r>
      <w:r>
        <w:rPr>
          <w:rFonts w:ascii="Arial" w:cs="Arial" w:eastAsia="Arial" w:hAnsi="Arial"/>
          <w:sz w:val="18"/>
          <w:szCs w:val="18"/>
          <w:b w:val="1"/>
          <w:bCs w:val="1"/>
          <w:i w:val="1"/>
          <w:iCs w:val="1"/>
          <w:color w:val="auto"/>
        </w:rPr>
        <w:t>Series B-1 Preferred Stock</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with the Series B Preferred Stock, the “</w:t>
      </w:r>
      <w:r>
        <w:rPr>
          <w:rFonts w:ascii="Arial" w:cs="Arial" w:eastAsia="Arial" w:hAnsi="Arial"/>
          <w:sz w:val="18"/>
          <w:szCs w:val="18"/>
          <w:b w:val="1"/>
          <w:bCs w:val="1"/>
          <w:i w:val="1"/>
          <w:iCs w:val="1"/>
          <w:color w:val="auto"/>
        </w:rPr>
        <w:t>Combined Series B Preferred</w:t>
      </w:r>
      <w:r>
        <w:rPr>
          <w:rFonts w:ascii="Arial" w:cs="Arial" w:eastAsia="Arial" w:hAnsi="Arial"/>
          <w:sz w:val="18"/>
          <w:szCs w:val="18"/>
          <w:color w:val="auto"/>
        </w:rPr>
        <w:t>”). 2,356,597 shares of the authorized shares of the Preferred Stock are hereby designated “</w:t>
      </w:r>
      <w:r>
        <w:rPr>
          <w:rFonts w:ascii="Arial" w:cs="Arial" w:eastAsia="Arial" w:hAnsi="Arial"/>
          <w:sz w:val="18"/>
          <w:szCs w:val="18"/>
          <w:b w:val="1"/>
          <w:bCs w:val="1"/>
          <w:i w:val="1"/>
          <w:iCs w:val="1"/>
          <w:color w:val="auto"/>
        </w:rPr>
        <w:t>Series C Preferred Stock</w:t>
      </w:r>
      <w:r>
        <w:rPr>
          <w:rFonts w:ascii="Arial" w:cs="Arial" w:eastAsia="Arial" w:hAnsi="Arial"/>
          <w:sz w:val="18"/>
          <w:szCs w:val="18"/>
          <w:color w:val="auto"/>
        </w:rPr>
        <w:t>.” 11,781,710 shares of the authorized shares of the Preferred Stock are hereby</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47" w:name="page348"/>
    <w:bookmarkEnd w:id="347"/>
    <w:p>
      <w:pPr>
        <w:ind w:left="984"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designated “</w:t>
      </w:r>
      <w:r>
        <w:rPr>
          <w:rFonts w:ascii="Arial" w:cs="Arial" w:eastAsia="Arial" w:hAnsi="Arial"/>
          <w:sz w:val="16"/>
          <w:szCs w:val="16"/>
          <w:b w:val="1"/>
          <w:bCs w:val="1"/>
          <w:i w:val="1"/>
          <w:iCs w:val="1"/>
          <w:color w:val="auto"/>
        </w:rPr>
        <w:t>Series D Preferred Stock</w:t>
      </w:r>
      <w:r>
        <w:rPr>
          <w:rFonts w:ascii="Arial" w:cs="Arial" w:eastAsia="Arial" w:hAnsi="Arial"/>
          <w:sz w:val="16"/>
          <w:szCs w:val="16"/>
          <w:color w:val="auto"/>
        </w:rPr>
        <w:t>.” 13,972,954 shares of the authorized shares of the Preferred Stock are hereby designated “</w:t>
      </w:r>
      <w:r>
        <w:rPr>
          <w:rFonts w:ascii="Arial" w:cs="Arial" w:eastAsia="Arial" w:hAnsi="Arial"/>
          <w:sz w:val="16"/>
          <w:szCs w:val="16"/>
          <w:b w:val="1"/>
          <w:bCs w:val="1"/>
          <w:i w:val="1"/>
          <w:iCs w:val="1"/>
          <w:color w:val="auto"/>
        </w:rPr>
        <w:t>Series 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19,468,203 shares of the authorized shares of the Preferred Stock are hereby designated “</w:t>
      </w:r>
      <w:r>
        <w:rPr>
          <w:rFonts w:ascii="Arial" w:cs="Arial" w:eastAsia="Arial" w:hAnsi="Arial"/>
          <w:sz w:val="16"/>
          <w:szCs w:val="16"/>
          <w:b w:val="1"/>
          <w:bCs w:val="1"/>
          <w:i w:val="1"/>
          <w:iCs w:val="1"/>
          <w:color w:val="auto"/>
        </w:rPr>
        <w:t>Series F Preferred Stock</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76,464,035 shares of the authorized shares of the Preferred Stock are hereby designated “</w:t>
      </w:r>
      <w:r>
        <w:rPr>
          <w:rFonts w:ascii="Arial" w:cs="Arial" w:eastAsia="Arial" w:hAnsi="Arial"/>
          <w:sz w:val="16"/>
          <w:szCs w:val="16"/>
          <w:b w:val="1"/>
          <w:bCs w:val="1"/>
          <w:i w:val="1"/>
          <w:iCs w:val="1"/>
          <w:color w:val="auto"/>
        </w:rPr>
        <w:t>Series G Preferred Stock</w:t>
      </w:r>
      <w:r>
        <w:rPr>
          <w:rFonts w:ascii="Arial" w:cs="Arial" w:eastAsia="Arial" w:hAnsi="Arial"/>
          <w:sz w:val="16"/>
          <w:szCs w:val="16"/>
          <w:color w:val="auto"/>
        </w:rPr>
        <w:t>.” 23,950,000 shares of the authorized shares of the Preferred Stock are hereby designated “</w:t>
      </w:r>
      <w:r>
        <w:rPr>
          <w:rFonts w:ascii="Arial" w:cs="Arial" w:eastAsia="Arial" w:hAnsi="Arial"/>
          <w:sz w:val="16"/>
          <w:szCs w:val="16"/>
          <w:b w:val="1"/>
          <w:bCs w:val="1"/>
          <w:i w:val="1"/>
          <w:iCs w:val="1"/>
          <w:color w:val="auto"/>
        </w:rPr>
        <w:t>Series H Preferred Stock</w:t>
      </w:r>
      <w:r>
        <w:rPr>
          <w:rFonts w:ascii="Arial" w:cs="Arial" w:eastAsia="Arial" w:hAnsi="Arial"/>
          <w:sz w:val="16"/>
          <w:szCs w:val="16"/>
          <w:color w:val="auto"/>
        </w:rPr>
        <w:t>.” The Series A Preferred, the Combined Series B Preferred, the Series C Preferred Stock, the Series D Preferred Stock, the Series E Preferred Stock, the Series F Preferred Stock, the Series G Preferred Stock and the Series H Preferred Stock are herein together referred to as the “</w:t>
      </w:r>
      <w:r>
        <w:rPr>
          <w:rFonts w:ascii="Arial" w:cs="Arial" w:eastAsia="Arial" w:hAnsi="Arial"/>
          <w:sz w:val="16"/>
          <w:szCs w:val="16"/>
          <w:b w:val="1"/>
          <w:bCs w:val="1"/>
          <w:i w:val="1"/>
          <w:iCs w:val="1"/>
          <w:color w:val="auto"/>
        </w:rPr>
        <w:t>Series Preferred</w:t>
      </w:r>
      <w:r>
        <w:rPr>
          <w:rFonts w:ascii="Arial" w:cs="Arial" w:eastAsia="Arial" w:hAnsi="Arial"/>
          <w:sz w:val="16"/>
          <w:szCs w:val="16"/>
          <w:color w:val="auto"/>
        </w:rPr>
        <w:t>.”</w:t>
      </w:r>
    </w:p>
    <w:p>
      <w:pPr>
        <w:spacing w:after="0" w:line="56" w:lineRule="exact"/>
        <w:rPr>
          <w:sz w:val="20"/>
          <w:szCs w:val="20"/>
          <w:color w:val="auto"/>
        </w:rPr>
      </w:pPr>
    </w:p>
    <w:p>
      <w:pPr>
        <w:ind w:left="984"/>
        <w:spacing w:after="0" w:line="269" w:lineRule="auto"/>
        <w:rPr>
          <w:sz w:val="20"/>
          <w:szCs w:val="20"/>
          <w:color w:val="auto"/>
        </w:rPr>
      </w:pPr>
      <w:r>
        <w:rPr>
          <w:rFonts w:ascii="Arial" w:cs="Arial" w:eastAsia="Arial" w:hAnsi="Arial"/>
          <w:sz w:val="17"/>
          <w:szCs w:val="17"/>
          <w:b w:val="1"/>
          <w:bCs w:val="1"/>
          <w:i w:val="1"/>
          <w:iCs w:val="1"/>
          <w:u w:val="single" w:color="auto"/>
          <w:color w:val="auto"/>
        </w:rPr>
        <w:t>Reverse Stock Split</w:t>
      </w:r>
      <w:r>
        <w:rPr>
          <w:rFonts w:ascii="Arial" w:cs="Arial" w:eastAsia="Arial" w:hAnsi="Arial"/>
          <w:sz w:val="17"/>
          <w:szCs w:val="17"/>
          <w:color w:val="auto"/>
        </w:rPr>
        <w:t>. Upon the filing and effectiveness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pursuant to the General Corporation Law of the Certificate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to this Certificate of Incorporation, each share of Common Stock issued and outstanding immediately prior to the Effective Time shall, automatically and without any action on the part of the respective holders thereof, be converted into 0.1684664 shares of Common Stock (the “</w:t>
      </w:r>
      <w:r>
        <w:rPr>
          <w:rFonts w:ascii="Arial" w:cs="Arial" w:eastAsia="Arial" w:hAnsi="Arial"/>
          <w:sz w:val="17"/>
          <w:szCs w:val="17"/>
          <w:b w:val="1"/>
          <w:bCs w:val="1"/>
          <w:i w:val="1"/>
          <w:iCs w:val="1"/>
          <w:color w:val="auto"/>
        </w:rPr>
        <w:t>Reverse Stock Split</w:t>
      </w:r>
      <w:r>
        <w:rPr>
          <w:rFonts w:ascii="Arial" w:cs="Arial" w:eastAsia="Arial" w:hAnsi="Arial"/>
          <w:sz w:val="17"/>
          <w:szCs w:val="17"/>
          <w:color w:val="auto"/>
        </w:rPr>
        <w:t>”). The conversion prices of each series of Preferred Stock of the Corporation shall be accordingly adjusted as provided in Article IV, Part D, Subsection 5(e) of the Fifteenth Amended and Restated Certificate of Incorporation. No fractional shares shall be issued in connection with the Reverse Stock Split. In lieu of any fractional shares to which the respective holders would otherwise be entitled as a result of the Reverse Stock Split, the Corporation shall pay cash equal to such fraction multiplied by the fair market value of a share of Common Stock as determined in good faith by the Board. Whether or not fractional shares would be issuable upon such Reverse Stock Split shall be determined on the basis of the aggregate number of shares of Common Stock held by such holder.</w:t>
      </w:r>
    </w:p>
    <w:p>
      <w:pPr>
        <w:spacing w:after="0" w:line="91" w:lineRule="exact"/>
        <w:rPr>
          <w:sz w:val="20"/>
          <w:szCs w:val="20"/>
          <w:color w:val="auto"/>
        </w:rPr>
      </w:pPr>
    </w:p>
    <w:p>
      <w:pPr>
        <w:ind w:left="424" w:right="140" w:hanging="424"/>
        <w:spacing w:after="0" w:line="277" w:lineRule="auto"/>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That the foregoing amendment was approved by the holders of the requisite number of shares of this Corporation in accordance with Section 228 of the General Corporation Law.</w:t>
      </w:r>
    </w:p>
    <w:p>
      <w:pPr>
        <w:spacing w:after="0" w:line="75"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That this Certificate of Amendment of Fifteenth Amended and Restated Certificate of Incorporation has been duly adopted in accordance with Sections 242 of the General Corporation Law.</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348" w:name="page349"/>
    <w:bookmarkEnd w:id="348"/>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this Certificate of Amendment of Fifteenth Amended and Restated Certificate of Incorporation has been executed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officer of this corporation on this 19th day of October, 2020.</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Robin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128587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Robin Cowie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440" w:top="270" w:right="79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Biodesix, Inc., a corporation organized and existing under the laws of the State of Delaware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hereby certifies as follows:</w:t>
      </w:r>
    </w:p>
    <w:p>
      <w:pPr>
        <w:spacing w:after="0" w:line="129" w:lineRule="exact"/>
        <w:rPr>
          <w:sz w:val="20"/>
          <w:szCs w:val="20"/>
          <w:color w:val="auto"/>
        </w:rPr>
      </w:pPr>
    </w:p>
    <w:p>
      <w:pPr>
        <w:ind w:right="480" w:firstLine="457"/>
        <w:spacing w:after="0" w:line="342" w:lineRule="auto"/>
        <w:tabs>
          <w:tab w:leader="none" w:pos="84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name of the Corporation is Biodesix, Inc. The Corporation was originally incorporated under the name Elston Technologies, Inc. The Corporation’s original certificate of incorporation was filed with the office of the Secretary of State of the State of Delaware on December 23, 2005.</w:t>
      </w:r>
    </w:p>
    <w:p>
      <w:pPr>
        <w:spacing w:after="0" w:line="123" w:lineRule="exact"/>
        <w:rPr>
          <w:rFonts w:ascii="Arial" w:cs="Arial" w:eastAsia="Arial" w:hAnsi="Arial"/>
          <w:sz w:val="16"/>
          <w:szCs w:val="16"/>
          <w:color w:val="auto"/>
        </w:rPr>
      </w:pPr>
    </w:p>
    <w:p>
      <w:pPr>
        <w:ind w:right="80" w:firstLine="457"/>
        <w:spacing w:after="0" w:line="311" w:lineRule="auto"/>
        <w:tabs>
          <w:tab w:leader="none" w:pos="83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was duly adopted in accordance with Sections 242 and 245 of the General Corporation Law of the State of Delaware, as amended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restates and amends the provisions of the Corporation’s certificate of incorporation and has been duly approved by the written consent of the stockholders of the Corporation in accordance with Section 228 of the DGCL.</w:t>
      </w:r>
    </w:p>
    <w:p>
      <w:pPr>
        <w:spacing w:after="0" w:line="148" w:lineRule="exact"/>
        <w:rPr>
          <w:rFonts w:ascii="Arial" w:cs="Arial" w:eastAsia="Arial" w:hAnsi="Arial"/>
          <w:sz w:val="16"/>
          <w:szCs w:val="16"/>
          <w:color w:val="auto"/>
        </w:rPr>
      </w:pPr>
    </w:p>
    <w:p>
      <w:pPr>
        <w:ind w:left="840" w:hanging="383"/>
        <w:spacing w:after="0"/>
        <w:tabs>
          <w:tab w:leader="none" w:pos="8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this Corporation is hereby amended and restated to read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address of the Corporation’s registered office in the State of Delaware is 1209 Orange Street, City of Wilmington, County of New Castle, 19801.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The Corporation Trust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ectPr>
          <w:pgSz w:w="11900" w:h="16838" w:orient="portrait"/>
          <w:cols w:equalWidth="0" w:num="1">
            <w:col w:w="11240"/>
          </w:cols>
          <w:pgMar w:left="320" w:top="121" w:right="339" w:bottom="1440" w:gutter="0" w:footer="0" w:header="0"/>
        </w:sectPr>
      </w:pPr>
    </w:p>
    <w:bookmarkStart w:id="350" w:name="page351"/>
    <w:bookmarkEnd w:id="3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03"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that the Corporation is authorized to issue is 205,000,000 shares, consisting of 200,000,000 shares of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5,000,000 shares of preferred stock, par value $0.001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4"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Increase or Decrease in Authorized Capital Stock</w:t>
      </w:r>
      <w:r>
        <w:rPr>
          <w:rFonts w:ascii="Arial" w:cs="Arial" w:eastAsia="Arial" w:hAnsi="Arial"/>
          <w:sz w:val="17"/>
          <w:szCs w:val="17"/>
          <w:color w:val="auto"/>
        </w:rPr>
        <w:t xml:space="preserve">. The number of authorized shares of Common Stock or Preferred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this amended and restated certificate of incorporation of the Corporation (as further amended from time to time in accordance with the provisions hereof and including, without limitation, the terms of any certificate of designation with respect to any series of Preferred Stock, this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w:t>
      </w:r>
    </w:p>
    <w:p>
      <w:pPr>
        <w:spacing w:after="0" w:line="17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firstLine="457"/>
        <w:spacing w:after="0" w:line="269" w:lineRule="auto"/>
        <w:tabs>
          <w:tab w:leader="none" w:pos="87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The holders of shares of Common Stock shall be entitled to one vote for each such share on each matter properly submitted to the stockholders of the Corporation on which the holders of shares of Common Stock are entitled to vote. The holders of shares of Common Stock shall not have cumulative voting rights. Except as otherwise required by law or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of the Corporation and on all other matters properly submitted to a vote of the stockholders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w:t>
      </w:r>
    </w:p>
    <w:p>
      <w:pPr>
        <w:spacing w:after="0" w:line="185" w:lineRule="exact"/>
        <w:rPr>
          <w:rFonts w:ascii="Arial" w:cs="Arial" w:eastAsia="Arial" w:hAnsi="Arial"/>
          <w:sz w:val="17"/>
          <w:szCs w:val="17"/>
          <w:color w:val="auto"/>
        </w:rPr>
      </w:pPr>
    </w:p>
    <w:p>
      <w:pPr>
        <w:ind w:right="120" w:firstLine="457"/>
        <w:spacing w:after="0" w:line="259" w:lineRule="auto"/>
        <w:tabs>
          <w:tab w:leader="none" w:pos="88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Subject to the rights of the holders of shares of Preferred Stock, the holders of shares of Common Stock shall be entitled to receive such dividends and other distributions (payable in cash, property or capital stock of the Corporation) when, as and if declared thereon by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from time to time out of any assets or funds of the Corporation legally available therefor and shall share equally on a per share basis in such dividends and distributions.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0" w:right="359" w:bottom="1440" w:gutter="0" w:footer="0" w:header="0"/>
        </w:sectPr>
      </w:pPr>
    </w:p>
    <w:bookmarkStart w:id="351" w:name="page352"/>
    <w:bookmarkEnd w:id="351"/>
    <w:p>
      <w:pPr>
        <w:ind w:right="140" w:firstLine="457"/>
        <w:spacing w:after="0" w:line="259" w:lineRule="auto"/>
        <w:tabs>
          <w:tab w:leader="none" w:pos="874"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any voluntary or involuntary liquidation, dissolution or winding-up of the Corporation, after payment or provision for payment of the debts and other liabilities of the Corporation, and subject to the rights of the holders of shares of Preferred Stock in respect thereof, the holders of shares of Common Stock shall be entitled to receive all of the remaining assets of the Corporation available for distribution to its stockholders, ratably in proportion to the number of shares of Common Stock held by them.</w:t>
      </w:r>
    </w:p>
    <w:p>
      <w:pPr>
        <w:spacing w:after="0" w:line="18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225" w:lineRule="exact"/>
        <w:rPr>
          <w:sz w:val="20"/>
          <w:szCs w:val="20"/>
          <w:color w:val="auto"/>
        </w:rPr>
      </w:pPr>
    </w:p>
    <w:p>
      <w:pPr>
        <w:ind w:right="260" w:firstLine="457"/>
        <w:spacing w:after="0" w:line="272" w:lineRule="auto"/>
        <w:tabs>
          <w:tab w:leader="none" w:pos="87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Board is expressly authorized to issue from time to time shares of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w:t>
      </w:r>
    </w:p>
    <w:p>
      <w:pPr>
        <w:spacing w:after="0" w:line="177" w:lineRule="exact"/>
        <w:rPr>
          <w:rFonts w:ascii="Arial" w:cs="Arial" w:eastAsia="Arial" w:hAnsi="Arial"/>
          <w:sz w:val="17"/>
          <w:szCs w:val="17"/>
          <w:color w:val="auto"/>
        </w:rPr>
      </w:pPr>
    </w:p>
    <w:p>
      <w:pPr>
        <w:ind w:right="240" w:firstLine="457"/>
        <w:spacing w:after="0" w:line="273" w:lineRule="auto"/>
        <w:tabs>
          <w:tab w:leader="none" w:pos="88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1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the Board.</w:t>
      </w:r>
    </w:p>
    <w:p>
      <w:pPr>
        <w:spacing w:after="0" w:line="22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Number of Directors; Election; Term</w:t>
      </w:r>
      <w:r>
        <w:rPr>
          <w:rFonts w:ascii="Arial" w:cs="Arial" w:eastAsia="Arial" w:hAnsi="Arial"/>
          <w:sz w:val="16"/>
          <w:szCs w:val="16"/>
          <w:color w:val="auto"/>
        </w:rPr>
        <w:t>.</w:t>
      </w:r>
    </w:p>
    <w:p>
      <w:pPr>
        <w:spacing w:after="0" w:line="225" w:lineRule="exact"/>
        <w:rPr>
          <w:sz w:val="20"/>
          <w:szCs w:val="20"/>
          <w:color w:val="auto"/>
        </w:rPr>
      </w:pPr>
    </w:p>
    <w:p>
      <w:pPr>
        <w:jc w:val="both"/>
        <w:ind w:right="200" w:firstLine="457"/>
        <w:spacing w:after="0" w:line="263" w:lineRule="auto"/>
        <w:tabs>
          <w:tab w:leader="none" w:pos="87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number of directors that shall be fixed, from time to time, exclusively by the Board in accordance with the bylaws of the Corporation (as amended from time to time in accordance with the provisions hereof and thereof,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subject to the rights of holders of any series of Preferred Stock with respect to the election of directors, if any.</w:t>
      </w:r>
    </w:p>
    <w:p>
      <w:pPr>
        <w:spacing w:after="0" w:line="183" w:lineRule="exact"/>
        <w:rPr>
          <w:rFonts w:ascii="Arial" w:cs="Arial" w:eastAsia="Arial" w:hAnsi="Arial"/>
          <w:sz w:val="18"/>
          <w:szCs w:val="18"/>
          <w:color w:val="auto"/>
        </w:rPr>
      </w:pPr>
    </w:p>
    <w:p>
      <w:pPr>
        <w:ind w:firstLine="457"/>
        <w:spacing w:after="0" w:line="263" w:lineRule="auto"/>
        <w:tabs>
          <w:tab w:leader="none" w:pos="88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the rights of holders of any series of Preferred Stock with respect to the election of directors, the directors of the Corporation shall be divided into three classes as nearly equal in number as is practicable, hereby designated Class I, Class II and Class III. The Board is authorized to assign members of the Board already in office to such classes. The term of office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352" w:name="page353"/>
    <w:bookmarkEnd w:id="352"/>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initial Class I directors shall expire upon the election of directors at the first annual meeting of stockholders following the effectiveness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the term of office of the initial Class II directors shall expire upon the election of directors at the second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the term of office of the initial Class III directors shall expire upon the election of directors at the third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At each annual meeting of stockholders, commencing with the first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Subject to the rights of holders of any series of Preferred Stock with respect to the election of directors, if the number of directors that constitutes the Board is changed, any newly created directorships or decrease in directorships shall be so apportioned by the Board among the classes as to make all classes as nearly equal in number as is practicable, provided that no decrease in the number of directors constituting the Board shall shorten the term of any incumbent director.</w:t>
      </w:r>
    </w:p>
    <w:p>
      <w:pPr>
        <w:spacing w:after="0" w:line="185" w:lineRule="exact"/>
        <w:rPr>
          <w:sz w:val="20"/>
          <w:szCs w:val="20"/>
          <w:color w:val="auto"/>
        </w:rPr>
      </w:pPr>
    </w:p>
    <w:p>
      <w:pPr>
        <w:ind w:right="180" w:firstLine="457"/>
        <w:spacing w:after="0" w:line="263" w:lineRule="auto"/>
        <w:tabs>
          <w:tab w:leader="none" w:pos="87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and subject to the rights of holders of any series of Preferred Stock with respect to the election of directors, each director shall serve until such director’s successor is duly elected and qualified or until such director’s earlier death, resignation or removal.</w:t>
      </w:r>
    </w:p>
    <w:p>
      <w:pPr>
        <w:spacing w:after="0" w:line="183" w:lineRule="exact"/>
        <w:rPr>
          <w:rFonts w:ascii="Arial" w:cs="Arial" w:eastAsia="Arial" w:hAnsi="Arial"/>
          <w:sz w:val="18"/>
          <w:szCs w:val="18"/>
          <w:color w:val="auto"/>
        </w:rPr>
      </w:pPr>
    </w:p>
    <w:p>
      <w:pPr>
        <w:ind w:left="900" w:hanging="443"/>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shall so provide.</w:t>
      </w:r>
    </w:p>
    <w:p>
      <w:pPr>
        <w:spacing w:after="0" w:line="225" w:lineRule="exact"/>
        <w:rPr>
          <w:rFonts w:ascii="Arial" w:cs="Arial" w:eastAsia="Arial" w:hAnsi="Arial"/>
          <w:sz w:val="18"/>
          <w:szCs w:val="18"/>
          <w:color w:val="auto"/>
        </w:rPr>
      </w:pPr>
    </w:p>
    <w:p>
      <w:pPr>
        <w:ind w:firstLine="457"/>
        <w:spacing w:after="0" w:line="268" w:lineRule="auto"/>
        <w:tabs>
          <w:tab w:leader="none" w:pos="87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Notwithstanding any of the other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and such directors so elected shall not be divided into classes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unless expressly provided by such terms. During any period when the holders of any series of Preferred Stock have the right to elect additional directors as provided for or fixed pursuant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353" w:name="page354"/>
    <w:bookmarkEnd w:id="353"/>
    <w:p>
      <w:pPr>
        <w:jc w:val="both"/>
        <w:ind w:right="120" w:firstLine="44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of holders of any series of Preferred Stock with respect to the election of directors, a director may be removed from office by the stockholders of the Corporation only for cause and only by the affirmative vote of the holders of at least a majority of the voting power of all then outstanding shares of capital stock of the Corporation entitled to vote generally in the election of directors, voting together as a single class.</w:t>
      </w:r>
    </w:p>
    <w:p>
      <w:pPr>
        <w:spacing w:after="0" w:line="14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the rights of holders of any series of Preferred Stock with respect to the election of directors, vacancies occurring on the Board for any reason and newly created directorships resulting from an increase in the number of directors shall be filled only by vote of a majority of the remaining members of the Board, although less than a quorum, or by a sole remaining director, and not by the stockholders.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1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 xml:space="preserve">In furtherance and not in limitation of the powers conferred by statute, the Board is expressly authorized to adopt, amend, alter or repeal the Bylaws. The Bylaws may also be adopted, amended, altered or repealed by the stockholders of the Corporation by the affirmative vote of the holders of at least a majority of the voting power of all then outstanding shares of capital stock of the Corporation entitled to vote generally in the election of directors, voting together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 1.7(b), 1.16, 1.17, or 2.14 or Article VI of the Bylaws.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1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Action by Written Consent of Stockholders</w:t>
      </w:r>
      <w:r>
        <w:rPr>
          <w:rFonts w:ascii="Arial" w:cs="Arial" w:eastAsia="Arial" w:hAnsi="Arial"/>
          <w:sz w:val="18"/>
          <w:szCs w:val="18"/>
          <w:color w:val="auto"/>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expressly provided by the terms of any series of Preferred Stock permitting the holders of such series of Preferred Stock to call a special meeting of the holders of such series, special meetings of the stockholders of the Corporation may be called only by the chairperson of the Board, the chief executive officer of the Corporation or the Board, and the ability of the stockholders to call a special meeting of the stockholders is hereby specifically denied.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274" w:right="379" w:bottom="1440" w:gutter="0" w:footer="0" w:header="0"/>
        </w:sectPr>
      </w:pPr>
    </w:p>
    <w:bookmarkStart w:id="354" w:name="page355"/>
    <w:bookmarkEnd w:id="354"/>
    <w:p>
      <w:pPr>
        <w:ind w:right="12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7.3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 AND INDEMNIFICATION</w:t>
      </w:r>
    </w:p>
    <w:p>
      <w:pPr>
        <w:spacing w:after="0" w:line="21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Limitation of Personal Liability</w:t>
      </w:r>
      <w:r>
        <w:rPr>
          <w:rFonts w:ascii="Arial" w:cs="Arial" w:eastAsia="Arial" w:hAnsi="Arial"/>
          <w:sz w:val="18"/>
          <w:szCs w:val="18"/>
          <w:color w:val="auto"/>
        </w:rPr>
        <w:t>. No director of the Corporation shall be personally liable to the Corporation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8"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or officer’s right to indemnification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include the right to be paid by the Corporation the expenses incurred in defending or otherwise participating in any proceeding in advance of its final disposition, provided that such director or officer presents to the Corporation a written undertaking to repay such amount if it shall ultimately be determined that such director or officer is not entitled to be indemnified by the Corporation under this</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Notwithstanding the foregoing, except for proceedings to enforce any director’s or officer’s rights to indemnification or rights to advancement of expenses, the Corporation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93" w:lineRule="exact"/>
        <w:rPr>
          <w:sz w:val="20"/>
          <w:szCs w:val="20"/>
          <w:color w:val="auto"/>
        </w:rPr>
      </w:pPr>
    </w:p>
    <w:p>
      <w:pPr>
        <w:jc w:val="both"/>
        <w:ind w:right="700" w:firstLine="449"/>
        <w:spacing w:after="0" w:line="31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xml:space="preserve">. The rights to indemnification and advancement of expenses conferred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w:t>
      </w:r>
    </w:p>
    <w:p>
      <w:pPr>
        <w:spacing w:after="0" w:line="149"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355" w:name="page356"/>
    <w:bookmarkEnd w:id="355"/>
    <w:p>
      <w:pPr>
        <w:jc w:val="cente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8.5   </w:t>
      </w:r>
      <w:r>
        <w:rPr>
          <w:rFonts w:ascii="Arial" w:cs="Arial" w:eastAsia="Arial" w:hAnsi="Arial"/>
          <w:sz w:val="16"/>
          <w:szCs w:val="16"/>
          <w:u w:val="single" w:color="auto"/>
          <w:color w:val="auto"/>
        </w:rPr>
        <w:t>Persons Other Than Directors and Officers</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not limit the right of the Corporation, to the extent and in the manner permitted by law, to indemnify and to advance expenses to, or to purchase and maintain insurance on behalf of, persons other than those persons described in the first sentence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Certificate of Incorporation or to advance expenses to persons other than directors or officers of the Corporation.</w:t>
      </w:r>
    </w:p>
    <w:p>
      <w:pPr>
        <w:spacing w:after="0" w:line="14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Effect of Modifications</w:t>
      </w:r>
      <w:r>
        <w:rPr>
          <w:rFonts w:ascii="Arial" w:cs="Arial" w:eastAsia="Arial" w:hAnsi="Arial"/>
          <w:sz w:val="17"/>
          <w:szCs w:val="17"/>
          <w:color w:val="auto"/>
        </w:rPr>
        <w:t xml:space="preserve">. Any amendment, repeal or modification of any provision contained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Corporate Opportunities</w:t>
      </w:r>
      <w:r>
        <w:rPr>
          <w:rFonts w:ascii="Arial" w:cs="Arial" w:eastAsia="Arial" w:hAnsi="Arial"/>
          <w:sz w:val="16"/>
          <w:szCs w:val="16"/>
          <w:color w:val="auto"/>
        </w:rPr>
        <w:t>.</w:t>
      </w:r>
    </w:p>
    <w:p>
      <w:pPr>
        <w:spacing w:after="0" w:line="225" w:lineRule="exact"/>
        <w:rPr>
          <w:sz w:val="20"/>
          <w:szCs w:val="20"/>
          <w:color w:val="auto"/>
        </w:rPr>
      </w:pPr>
    </w:p>
    <w:p>
      <w:pPr>
        <w:ind w:left="1400" w:hanging="381"/>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9.1</w:t>
      </w:r>
      <w:r>
        <w:rPr>
          <w:rFonts w:ascii="Arial" w:cs="Arial" w:eastAsia="Arial" w:hAnsi="Arial"/>
          <w:sz w:val="18"/>
          <w:szCs w:val="18"/>
          <w:color w:val="auto"/>
        </w:rPr>
        <w:t>, the following terms shall have the following meanings:</w:t>
      </w:r>
    </w:p>
    <w:p>
      <w:pPr>
        <w:spacing w:after="0" w:line="225" w:lineRule="exact"/>
        <w:rPr>
          <w:rFonts w:ascii="Arial" w:cs="Arial" w:eastAsia="Arial" w:hAnsi="Arial"/>
          <w:sz w:val="18"/>
          <w:szCs w:val="18"/>
          <w:color w:val="auto"/>
        </w:rPr>
      </w:pPr>
    </w:p>
    <w:p>
      <w:pPr>
        <w:ind w:left="1820" w:hanging="352"/>
        <w:spacing w:after="0"/>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has the meaning given to such term in Rule 12b-2 under the Securities Exchange Act of 1934, as amended.</w:t>
      </w:r>
    </w:p>
    <w:p>
      <w:pPr>
        <w:spacing w:after="0" w:line="225" w:lineRule="exact"/>
        <w:rPr>
          <w:rFonts w:ascii="Arial" w:cs="Arial" w:eastAsia="Arial" w:hAnsi="Arial"/>
          <w:sz w:val="18"/>
          <w:szCs w:val="18"/>
          <w:color w:val="auto"/>
        </w:rPr>
      </w:pPr>
    </w:p>
    <w:p>
      <w:pPr>
        <w:ind w:right="20" w:firstLine="1468"/>
        <w:spacing w:after="0" w:line="277" w:lineRule="auto"/>
        <w:tabs>
          <w:tab w:leader="none" w:pos="172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means (A) any director of the Corporation who is also an officer, director, employee or managing director of any IPO Investor and (B) any IPO Investor.</w:t>
      </w:r>
    </w:p>
    <w:p>
      <w:pPr>
        <w:spacing w:after="0" w:line="170" w:lineRule="exact"/>
        <w:rPr>
          <w:rFonts w:ascii="Arial" w:cs="Arial" w:eastAsia="Arial" w:hAnsi="Arial"/>
          <w:sz w:val="18"/>
          <w:szCs w:val="18"/>
          <w:color w:val="auto"/>
        </w:rPr>
      </w:pPr>
    </w:p>
    <w:p>
      <w:pPr>
        <w:ind w:right="120" w:firstLine="1468"/>
        <w:spacing w:after="0" w:line="263" w:lineRule="auto"/>
        <w:tabs>
          <w:tab w:leader="none" w:pos="177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Investor</w:t>
      </w:r>
      <w:r>
        <w:rPr>
          <w:rFonts w:ascii="Arial" w:cs="Arial" w:eastAsia="Arial" w:hAnsi="Arial"/>
          <w:sz w:val="18"/>
          <w:szCs w:val="18"/>
          <w:color w:val="auto"/>
        </w:rPr>
        <w:t>” means (A) any stockholder of the Corporation that, together with its Affiliates, held at least one percent (1%) of the Corporation’s common stock outstanding as of immediately prior to the closing of the Corporation’s initial public offering, and (B) any Affiliate of the foregoing (in each case, other than the Corporation and its subsidiaries).</w:t>
      </w:r>
    </w:p>
    <w:p>
      <w:pPr>
        <w:spacing w:after="0" w:line="184" w:lineRule="exact"/>
        <w:rPr>
          <w:sz w:val="20"/>
          <w:szCs w:val="20"/>
          <w:color w:val="auto"/>
        </w:rPr>
      </w:pPr>
    </w:p>
    <w:p>
      <w:pPr>
        <w:ind w:right="80" w:firstLine="1468"/>
        <w:spacing w:after="0" w:line="286" w:lineRule="auto"/>
        <w:tabs>
          <w:tab w:leader="none" w:pos="1715" w:val="left"/>
        </w:tabs>
        <w:numPr>
          <w:ilvl w:val="1"/>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Specified Corporate Opportunity</w:t>
      </w:r>
      <w:r>
        <w:rPr>
          <w:rFonts w:ascii="Arial" w:cs="Arial" w:eastAsia="Arial" w:hAnsi="Arial"/>
          <w:sz w:val="17"/>
          <w:szCs w:val="17"/>
          <w:color w:val="auto"/>
        </w:rPr>
        <w:t>” means any business opportunity, potential transaction, interest or other matter that is offered or presented to any Covered Person other than any business opportunity, potential transaction, interest or other matter that is offered or presented to such Covered Person solely in such Covered Person’s capacity as an officer, director or stockholder of the Corporation.</w:t>
      </w:r>
    </w:p>
    <w:p>
      <w:pPr>
        <w:spacing w:after="0" w:line="165" w:lineRule="exact"/>
        <w:rPr>
          <w:rFonts w:ascii="Arial" w:cs="Arial" w:eastAsia="Arial" w:hAnsi="Arial"/>
          <w:sz w:val="17"/>
          <w:szCs w:val="17"/>
          <w:color w:val="auto"/>
        </w:rPr>
      </w:pPr>
    </w:p>
    <w:p>
      <w:pPr>
        <w:ind w:right="40" w:firstLine="1019"/>
        <w:spacing w:after="0" w:line="257" w:lineRule="auto"/>
        <w:tabs>
          <w:tab w:leader="none" w:pos="126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(including, without limitation, Section 122(17) of the DGCL), the Corporation, on behalf of itself and its subsidiaries, hereby renounces any interest or expectancy of the Corporation or any of its subsidiaries in, or being offered any opportunity to participate in, any Specified Corporate Opportunity, even if such Specified Corporate Opportunity is one that the Corporation or any of its subsidiaries might reasonably be deemed to have pursued or had the ability or desire to pursue if offered or presented the opportunity to do so. No Covered Person shall have any duty to offer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356" w:name="page357"/>
    <w:bookmarkEnd w:id="35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communicate information regarding any Specified Corporate Opportunity to the Corporation or any of its subsidiaries and, to the fullest extent permitted by applicable law, shall not be liable to the Corporation or any of its subsidiaries for breach of any fiduciary duty, as a director, officer, controlling stockholder or otherwise, solely by reason of the fact that such Covered Person (i) pursues or acquires such Specified Corporate Opportunity for its own account or the account of any of the IPO Investors, (ii) directs such Specified Corporate Opportunity to another person or entity or (iii) fails to present such Specified Corporate Opportunity, or information regarding such Specified Corporate Opportunity, to the Corporation or any of its subsidiaries. For the avoidance of doubt, the foregoing provisions of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apply to any business opportunity, potential transaction, interest or other matter that is offered or presented to any Covered Person solely in such Covered Person’s capacity as an officer, director or stockholder of the Corporation.</w:t>
      </w:r>
    </w:p>
    <w:p>
      <w:pPr>
        <w:spacing w:after="0" w:line="166" w:lineRule="exact"/>
        <w:rPr>
          <w:sz w:val="20"/>
          <w:szCs w:val="20"/>
          <w:color w:val="auto"/>
        </w:rPr>
      </w:pPr>
    </w:p>
    <w:p>
      <w:pPr>
        <w:ind w:right="120" w:firstLine="1019"/>
        <w:spacing w:after="0" w:line="277" w:lineRule="auto"/>
        <w:tabs>
          <w:tab w:leader="none" w:pos="12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Any person or entity purchasing or otherwise acquiring any interest in shares of capital stock of the Corporation shall be deemed to have notice of and to have consented to the provisions of this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1019"/>
        <w:spacing w:after="0" w:line="311" w:lineRule="auto"/>
        <w:tabs>
          <w:tab w:leader="none" w:pos="126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have no further force or effect at such time as no IPO Investor continues to beneficially own, in the aggregate, at least one percent (1%) of the Corporation’s then outstanding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termination shall not terminate the effect of the foregoing provisions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with respect to any Specified Corporate Opportunity that first arose prior to such termination.</w:t>
      </w:r>
    </w:p>
    <w:p>
      <w:pPr>
        <w:spacing w:after="0" w:line="14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Forum for Certain Actions</w:t>
      </w:r>
      <w:r>
        <w:rPr>
          <w:rFonts w:ascii="Arial" w:cs="Arial" w:eastAsia="Arial" w:hAnsi="Arial"/>
          <w:sz w:val="16"/>
          <w:szCs w:val="16"/>
          <w:color w:val="auto"/>
        </w:rPr>
        <w:t>.</w:t>
      </w:r>
    </w:p>
    <w:p>
      <w:pPr>
        <w:spacing w:after="0" w:line="225" w:lineRule="exact"/>
        <w:rPr>
          <w:sz w:val="20"/>
          <w:szCs w:val="20"/>
          <w:color w:val="auto"/>
        </w:rPr>
      </w:pPr>
    </w:p>
    <w:p>
      <w:pPr>
        <w:ind w:firstLine="1019"/>
        <w:spacing w:after="0" w:line="286" w:lineRule="auto"/>
        <w:tabs>
          <w:tab w:leader="none" w:pos="139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Forum</w:t>
      </w:r>
      <w:r>
        <w:rPr>
          <w:rFonts w:ascii="Arial" w:cs="Arial" w:eastAsia="Arial" w:hAnsi="Arial"/>
          <w:sz w:val="16"/>
          <w:szCs w:val="16"/>
          <w:color w:val="auto"/>
        </w:rPr>
        <w:t>.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this Certificate of Incorporation or the Bylaws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Unless a majority of the Board, acting on behalf of the Corporation, consents in writing to the selection of an alternative forum (which consent may be given at any time, including during the pendency of litigation), the federal district courts of the United States of America, to the fullest extent permitted by law, shall be the sole and exclusive forum for any action asserting a cause of action arising under the Securities Act of 1933, as amended.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357" w:name="page358"/>
    <w:bookmarkEnd w:id="357"/>
    <w:p>
      <w:pPr>
        <w:ind w:right="20" w:firstLine="1019"/>
        <w:spacing w:after="0" w:line="296" w:lineRule="auto"/>
        <w:tabs>
          <w:tab w:leader="none" w:pos="140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Personal Jurisdiction</w:t>
      </w:r>
      <w:r>
        <w:rPr>
          <w:rFonts w:ascii="Arial" w:cs="Arial" w:eastAsia="Arial" w:hAnsi="Arial"/>
          <w:sz w:val="16"/>
          <w:szCs w:val="16"/>
          <w:color w:val="auto"/>
        </w:rPr>
        <w:t xml:space="preserve">. If any action the subject matter of which is within the scope of subparagraph (a)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subparagraph (a)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 “</w:t>
      </w:r>
      <w:r>
        <w:rPr>
          <w:rFonts w:ascii="Arial" w:cs="Arial" w:eastAsia="Arial" w:hAnsi="Arial"/>
          <w:sz w:val="16"/>
          <w:szCs w:val="16"/>
          <w:b w:val="1"/>
          <w:bCs w:val="1"/>
          <w:i w:val="1"/>
          <w:iCs w:val="1"/>
          <w:color w:val="auto"/>
        </w:rPr>
        <w:t>Enforcement Action</w:t>
      </w:r>
      <w:r>
        <w:rPr>
          <w:rFonts w:ascii="Arial" w:cs="Arial" w:eastAsia="Arial" w:hAnsi="Arial"/>
          <w:sz w:val="16"/>
          <w:szCs w:val="16"/>
          <w:color w:val="auto"/>
        </w:rPr>
        <w:t>”) and (ii) having service of process made upon such stockholder in any such Enforcement Action by service upon such stockholder’s counsel in the Foreign Action as agent for such stockholder.</w:t>
      </w:r>
    </w:p>
    <w:p>
      <w:pPr>
        <w:spacing w:after="0" w:line="161" w:lineRule="exact"/>
        <w:rPr>
          <w:rFonts w:ascii="Arial" w:cs="Arial" w:eastAsia="Arial" w:hAnsi="Arial"/>
          <w:sz w:val="16"/>
          <w:szCs w:val="16"/>
          <w:color w:val="auto"/>
        </w:rPr>
      </w:pPr>
    </w:p>
    <w:p>
      <w:pPr>
        <w:ind w:right="20" w:firstLine="1019"/>
        <w:spacing w:after="0" w:line="259" w:lineRule="auto"/>
        <w:tabs>
          <w:tab w:leader="none" w:pos="139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xml:space="preserve">. If any provision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w:t>
      </w:r>
      <w:r>
        <w:rPr>
          <w:rFonts w:ascii="Arial" w:cs="Arial" w:eastAsia="Arial" w:hAnsi="Arial"/>
          <w:sz w:val="18"/>
          <w:szCs w:val="18"/>
          <w:u w:val="single" w:color="auto"/>
          <w:color w:val="auto"/>
        </w:rPr>
        <w:t>Section 9.2</w:t>
      </w:r>
      <w:r>
        <w:rPr>
          <w:rFonts w:ascii="Arial" w:cs="Arial" w:eastAsia="Arial" w:hAnsi="Arial"/>
          <w:sz w:val="18"/>
          <w:szCs w:val="18"/>
          <w:color w:val="auto"/>
        </w:rPr>
        <w:t>, and the application of such provision to other persons or entities and circumstances shall not in any way be affected or impaired thereby.</w:t>
      </w:r>
    </w:p>
    <w:p>
      <w:pPr>
        <w:spacing w:after="0" w:line="186" w:lineRule="exact"/>
        <w:rPr>
          <w:rFonts w:ascii="Arial" w:cs="Arial" w:eastAsia="Arial" w:hAnsi="Arial"/>
          <w:sz w:val="18"/>
          <w:szCs w:val="18"/>
          <w:color w:val="auto"/>
        </w:rPr>
      </w:pPr>
    </w:p>
    <w:p>
      <w:pPr>
        <w:ind w:right="500" w:firstLine="1019"/>
        <w:spacing w:after="0" w:line="308" w:lineRule="auto"/>
        <w:tabs>
          <w:tab w:leader="none" w:pos="140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Notice and Consent. To the fullest extent permitted by law, any person or entity purchasing or otherwise acquiring or holding any interest in any security of the Corporation shall be deemed to have notice of and consented to the provisions of this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4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alter, repeal or adopt any provision of this Certificate of Incorporation. Notwithstanding any other provision of this Certificate of Incorporation, and in addition to any other vote that may be required by law, applicable stock exchange rule or the terms of any series of Preferred Stock, the affirmative vote of the holders of at least sixty six and two-thirds percent (66 2/3%) of the voting power of all then outstanding shares of capital stock of the Corporation entitled to vote generally in the election of directors, voting together as a single class, shall be required to amend, alter, repeal or adopt any provision of this Certificate of Incorporation inconsistent with the purpose and intent of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(including, without limitation, any such Article as renumbered as a result of any amendment, alternation, repeal or adoption of any other Article).</w:t>
      </w:r>
    </w:p>
    <w:p>
      <w:pPr>
        <w:spacing w:after="0" w:line="179"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358" w:name="page359"/>
    <w:bookmarkEnd w:id="358"/>
    <w:p>
      <w:pPr>
        <w:ind w:firstLine="101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Corporation has caused this Amended and Restated Certificate of Incorporation to be signed by a duly authorized officer of the Corporation on this ____ day of 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271780</wp:posOffset>
            </wp:positionV>
            <wp:extent cx="27343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40"/>
          </w:cols>
          <w:pgMar w:left="320" w:top="274" w:right="9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b w:val="1"/>
          <w:bCs w:val="1"/>
          <w:i w:val="1"/>
          <w:iCs w:val="1"/>
          <w:color w:val="auto"/>
        </w:rPr>
        <w:t>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11"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Place of Meetings</w:t>
      </w:r>
      <w:r>
        <w:rPr>
          <w:rFonts w:ascii="Arial" w:cs="Arial" w:eastAsia="Arial" w:hAnsi="Arial"/>
          <w:sz w:val="16"/>
          <w:szCs w:val="16"/>
          <w:color w:val="auto"/>
        </w:rPr>
        <w:t>. Meetings of the stockholders of the Corporation for the election of directors or for any other purpose shall be held at such time and place, if any, either within or without the State of Delaware, as shall be designated from time to time by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The Board may, in its sole discretion, determine that a meeting shall not be held at any place, but may instead be held solely by means of remote communication in accordance with Section 211(a) of the General Corporation Law of the State of Delaware, as amended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157" w:lineRule="exact"/>
        <w:rPr>
          <w:sz w:val="20"/>
          <w:szCs w:val="20"/>
          <w:color w:val="auto"/>
        </w:rPr>
      </w:pPr>
    </w:p>
    <w:p>
      <w:pPr>
        <w:jc w:val="both"/>
        <w:ind w:right="100" w:firstLine="449"/>
        <w:spacing w:after="0" w:line="30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annual meeting of stockholders of the Corporation for the election of directors and for the transaction of such other business as may properly be brought before the meeting in accordance with these amended and restated bylaws of the Corporation (as amended from time to time in accordance with the provisions hereof, these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shall be held on such date and at such time as may be designated from time to time by the Board. The Board may postpone, reschedule or cancel any annual meeting of stockholders previously scheduled by the Board.</w:t>
      </w:r>
    </w:p>
    <w:p>
      <w:pPr>
        <w:spacing w:after="0" w:line="15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Special Meetings</w:t>
      </w:r>
      <w:r>
        <w:rPr>
          <w:rFonts w:ascii="Arial" w:cs="Arial" w:eastAsia="Arial" w:hAnsi="Arial"/>
          <w:sz w:val="18"/>
          <w:szCs w:val="18"/>
          <w:color w:val="auto"/>
        </w:rPr>
        <w:t>. Unless otherwise required by law or by the certificate of incorporation of the Corporation (including, without limitation, the terms of any certificate of designation with respect to any series of preferred stock), as amended and restated from time to time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special meetings of the stockholders of the Corporation, for any purpose or purposes, may be called only by the Chairperson of the Board, the Chief Executive Officer or the Board. The ability of the stockholders of the Corporation to call a special meeting of stockholders is hereby specifically denied. At a special meeting of stockholders, only such business shall be conducted as shall be specified in the notice of meeting. The Chairperson of the Board, the Chief Executive Officer or the Board may postpone, reschedule or cancel any special meeting of stockholders previously called by any of them.</w:t>
      </w:r>
    </w:p>
    <w:p>
      <w:pPr>
        <w:spacing w:after="0" w:line="195"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Notice</w:t>
      </w:r>
      <w:r>
        <w:rPr>
          <w:rFonts w:ascii="Arial" w:cs="Arial" w:eastAsia="Arial" w:hAnsi="Arial"/>
          <w:sz w:val="16"/>
          <w:szCs w:val="16"/>
          <w:color w:val="auto"/>
        </w:rPr>
        <w:t>. Whenever stockholders of the Corporation are required or permitted to take any action at a meeting, a written notice of the meeting shall be given which shall state the place, if any, date and time of the meeting, the record date for determining the stockholders entitled to vote at the meeting, if such date is different from the record date for determining stockholders entitled to notice of meeting, and, in the case of a special meeting, the purpose or purposes for which the meeting is called and the means of remote communications, if any, by which stockholders and proxy holders may be deemed present in person and vote at such meeting. Unless otherwise required by law or the Certificate of Incorporation, written notice of</w:t>
      </w:r>
    </w:p>
    <w:p>
      <w:pPr>
        <w:sectPr>
          <w:pgSz w:w="11900" w:h="16838" w:orient="portrait"/>
          <w:cols w:equalWidth="0" w:num="1">
            <w:col w:w="11240"/>
          </w:cols>
          <w:pgMar w:left="320" w:top="121" w:right="339" w:bottom="1440" w:gutter="0" w:footer="0" w:header="0"/>
        </w:sectPr>
      </w:pPr>
    </w:p>
    <w:bookmarkStart w:id="360" w:name="page361"/>
    <w:bookmarkEnd w:id="360"/>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meeting shall be given either personally, by mail or by electronic transmission (as defined below) (if permitted under the circumstances by the DGCL) not less than ten (10) nor more than sixty (60) days before the date of the meeting, by or at the direction of the Chairperson of the Board, the Chief Executive Officer or the Board, to each stockholder entitled to vote at such meeting as of the record date for determining stockholders entitled to notice of the meeting. If mailed, such notice shall be deemed to be given when deposited in the United States mail with postage thereon prepaid, addressed to the stockholder at the stockholder’s address as it appears on the stock transfer books of the Corporation. If notice is given by means of electronic transmission, such notice shall be deemed to be given at the times provided in the DGCL. Any stockholder may waive notice of any meeting before or after the meeting. The attendance of a stockholder at any meeting shall constitute a waiver of notice at such meeting, except where the stockholder attends the meeting for the express purpose of objecting, and does so object, at the beginning of the meeting to the transaction of any business because the meeting is not lawfully called or convened. For the purposes of these Bylaws, “</w:t>
      </w:r>
      <w:r>
        <w:rPr>
          <w:rFonts w:ascii="Arial" w:cs="Arial" w:eastAsia="Arial" w:hAnsi="Arial"/>
          <w:sz w:val="17"/>
          <w:szCs w:val="17"/>
          <w:b w:val="1"/>
          <w:bCs w:val="1"/>
          <w:i w:val="1"/>
          <w:iCs w:val="1"/>
          <w:color w:val="auto"/>
        </w:rPr>
        <w:t>electronic transmission</w:t>
      </w:r>
      <w:r>
        <w:rPr>
          <w:rFonts w:ascii="Arial" w:cs="Arial" w:eastAsia="Arial" w:hAnsi="Arial"/>
          <w:sz w:val="17"/>
          <w:szCs w:val="17"/>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Adjournments</w:t>
      </w:r>
      <w:r>
        <w:rPr>
          <w:rFonts w:ascii="Arial" w:cs="Arial" w:eastAsia="Arial" w:hAnsi="Arial"/>
          <w:sz w:val="16"/>
          <w:szCs w:val="16"/>
          <w:color w:val="auto"/>
        </w:rPr>
        <w:t xml:space="preserve">. Any meeting of stockholders of the Corporation may be adjourned or recessed from time to time to reconvene at the same or some other place, if any, by holders of a majority of the voting power of the Corporation’s capital stock issued and outstanding and entitled to vote thereat, present in person or represented by proxy, though less than a quorum, or by any officer entitled to preside at or to act as secretary of such meeting, and notice need not be given of any such adjourned or recessed meeting if the time and place, if any, thereof, and the means of remote communication, if any, by which stockholders and proxy holders may be deemed to be present in person and vote at such adjourned or recessed meeting, are announced at the meeting at which the adjournment or recess is taken. At the adjourned or recessed meeting, the Corporation may transact any business that might have been transacted at the original meeting. If the adjournment is for more than thirty (30) days, notice of the adjourned meeting in accordance with the requirements of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these Bylaws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Quorum</w:t>
      </w:r>
      <w:r>
        <w:rPr>
          <w:rFonts w:ascii="Arial" w:cs="Arial" w:eastAsia="Arial" w:hAnsi="Arial"/>
          <w:sz w:val="17"/>
          <w:szCs w:val="17"/>
          <w:color w:val="auto"/>
        </w:rPr>
        <w:t>. Unless otherwise required by applicable law or the Certificate of Incorporation, the holders of a majority of the voting power of the Corporation’s capital stock issued and outstanding and entitled to vote thereat, present in person, present by means of remote communication, if any, or represented by proxy, shall constitute a quorum at a meeting of stockholders. Where a separate vote by a class or classes or series is required, a majority of the voting power of the shares of such class or classes or series present in person, present by means of remote communication, if any, or represented by proxy shall constitute a quorum entitled to take action with respect to such vote. If a quorum shall not be present or represented at any meeting of stockholders, either the chairperson of the meeting or the stockholders entitled to vote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20"/>
          </w:cols>
          <w:pgMar w:left="320" w:top="274" w:right="359" w:bottom="1440" w:gutter="0" w:footer="0" w:header="0"/>
        </w:sectPr>
      </w:pPr>
    </w:p>
    <w:bookmarkStart w:id="361" w:name="page362"/>
    <w:bookmarkEnd w:id="361"/>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thereat, present in person or represented by proxy, shall have power to adjourn the meeting from time to time, in the manner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these Bylaws, until a quorum shall be present or represented. A quorum, once established, shall not be broken by the withdrawal of enough votes to leave less than a quorum.</w:t>
      </w:r>
    </w:p>
    <w:p>
      <w:pPr>
        <w:spacing w:after="0" w:line="184"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225" w:lineRule="exact"/>
        <w:rPr>
          <w:sz w:val="20"/>
          <w:szCs w:val="20"/>
          <w:color w:val="auto"/>
        </w:rPr>
      </w:pPr>
    </w:p>
    <w:p>
      <w:pPr>
        <w:ind w:firstLine="457"/>
        <w:spacing w:after="0" w:line="271" w:lineRule="auto"/>
        <w:tabs>
          <w:tab w:leader="none" w:pos="873"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Matters Other Than Election of Directors</w:t>
      </w:r>
      <w:r>
        <w:rPr>
          <w:rFonts w:ascii="Arial" w:cs="Arial" w:eastAsia="Arial" w:hAnsi="Arial"/>
          <w:sz w:val="17"/>
          <w:szCs w:val="17"/>
          <w:color w:val="auto"/>
        </w:rPr>
        <w:t xml:space="preserve">. Any matter brought before any meeting of stockholders of the Corporation, other than the election of directors, shall be decided by the affirmative vote of the holders of a majority of the voting power of the Corporation’s capital stock present in person or represented by proxy at the meeting and entitled to vote on such matter, voting as a single class, unless the matter is one upon which, by express provision of law, the Certificate of Incorporation or these Bylaws, a different vote is required, in which case such express provision shall govern and control the decision of such matter. Except as provided in the Certificate of Incorporation, every stockholder having the right to vote shall have one vote for each share of stock having voting power registered in such stockholder’s name on the books of the Corporation. Such votes may be cast in person or by proxy as provided in </w:t>
      </w:r>
      <w:r>
        <w:rPr>
          <w:rFonts w:ascii="Arial" w:cs="Arial" w:eastAsia="Arial" w:hAnsi="Arial"/>
          <w:sz w:val="17"/>
          <w:szCs w:val="17"/>
          <w:u w:val="single" w:color="auto"/>
          <w:color w:val="auto"/>
        </w:rPr>
        <w:t>Section 1.10</w:t>
      </w:r>
      <w:r>
        <w:rPr>
          <w:rFonts w:ascii="Arial" w:cs="Arial" w:eastAsia="Arial" w:hAnsi="Arial"/>
          <w:sz w:val="17"/>
          <w:szCs w:val="17"/>
          <w:color w:val="auto"/>
        </w:rPr>
        <w:t xml:space="preserve"> of these Bylaws. The Board, in its discretion, or the officer of the Corporation presiding at a meeting of stockholders, in such officer’s discretion, may require that any votes cast at such meeting shall be cast by written ballot.</w:t>
      </w:r>
    </w:p>
    <w:p>
      <w:pPr>
        <w:spacing w:after="0" w:line="178" w:lineRule="exact"/>
        <w:rPr>
          <w:rFonts w:ascii="Arial" w:cs="Arial" w:eastAsia="Arial" w:hAnsi="Arial"/>
          <w:sz w:val="17"/>
          <w:szCs w:val="17"/>
          <w:color w:val="auto"/>
        </w:rPr>
      </w:pPr>
    </w:p>
    <w:p>
      <w:pPr>
        <w:ind w:right="260" w:firstLine="457"/>
        <w:spacing w:after="0" w:line="263" w:lineRule="auto"/>
        <w:tabs>
          <w:tab w:leader="none" w:pos="839"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Subject to the rights of the holders of any series of preferred stock to elect directors under specified circumstances, election of directors at all meetings of the stockholders at which directors are to be elected shall be by a plurality of the votes cast at any meeting for the election of directors at which a quorum is present.</w:t>
      </w:r>
    </w:p>
    <w:p>
      <w:pPr>
        <w:spacing w:after="0" w:line="18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Voting of Stock of Certain Holders</w:t>
      </w:r>
      <w:r>
        <w:rPr>
          <w:rFonts w:ascii="Arial" w:cs="Arial" w:eastAsia="Arial" w:hAnsi="Arial"/>
          <w:sz w:val="16"/>
          <w:szCs w:val="16"/>
          <w:color w:val="auto"/>
        </w:rPr>
        <w:t>. Shares of stock of the Corporation standing in the name of another corporation or entity, domestic or foreign, and entitled to vote may be voted by such officer, agent or proxy as the bylaws or other internal regulations of such corporation or entity may prescribe or, in the absence of such provision, as the board of directors or comparable body of such corporation or entity may determine. Shares of stock of the Corporation standing in the name of a deceased person, a minor, an incompetent or a debtor in a case under Title 11, United States Code, and entitled to vote may be voted by an administrator, executor, guardian, conservator, debtor-in-possession or trustee, as the case may be, either in person or by proxy, without transfer of such shares into the name of the official or other person so voting. A stockholder whose shares of stock of the Corporation are pledged shall be entitled to vote such shares, unless on the transfer records of the Corporation such stockholder has expressly empowered the pledgee to vote such shares, in which case only the pledgee, or the pledgee’s proxy, may vote such shares.</w:t>
      </w:r>
    </w:p>
    <w:p>
      <w:pPr>
        <w:spacing w:after="0" w:line="16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Treasury Stock</w:t>
      </w:r>
      <w:r>
        <w:rPr>
          <w:rFonts w:ascii="Arial" w:cs="Arial" w:eastAsia="Arial" w:hAnsi="Arial"/>
          <w:sz w:val="18"/>
          <w:szCs w:val="18"/>
          <w:color w:val="auto"/>
        </w:rPr>
        <w:t xml:space="preserve">. Shares of stock of the Corporation belonging to the Corporation, or to another corporation a majority of the shares entitled to vote in the election of directors of which are held by the Corporation, shall not be voted at any meeting of stockholders of the Corporation and shall not be counted in the total number of outstanding shares for the purpose of determining whether a quorum is present. Nothing in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shall limit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00"/>
          </w:cols>
          <w:pgMar w:left="320" w:top="274" w:right="37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of the Corporation to vote shares of stock of the Corporation held by it in a fiduciary capacity.</w:t>
      </w:r>
    </w:p>
    <w:p>
      <w:pPr>
        <w:spacing w:after="0" w:line="22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of the Corporation may authorize another person or persons to act for such stockholder by proxy filed with the secretary of the Corporation (the “</w:t>
      </w:r>
      <w:r>
        <w:rPr>
          <w:rFonts w:ascii="Arial" w:cs="Arial" w:eastAsia="Arial" w:hAnsi="Arial"/>
          <w:sz w:val="18"/>
          <w:szCs w:val="18"/>
          <w:b w:val="1"/>
          <w:bCs w:val="1"/>
          <w:i w:val="1"/>
          <w:iCs w:val="1"/>
          <w:color w:val="auto"/>
        </w:rPr>
        <w:t>Secretary</w:t>
      </w:r>
      <w:r>
        <w:rPr>
          <w:rFonts w:ascii="Arial" w:cs="Arial" w:eastAsia="Arial" w:hAnsi="Arial"/>
          <w:sz w:val="18"/>
          <w:szCs w:val="18"/>
          <w:color w:val="auto"/>
        </w:rPr>
        <w:t>”) before or at the time of the meeting.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with the Secretary an instrument in writing revoking the proxy or another duly executed proxy bearing a later date.</w:t>
      </w:r>
    </w:p>
    <w:p>
      <w:pPr>
        <w:spacing w:after="0" w:line="192"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No Consent of Stockholders in Lieu of Meeting</w:t>
      </w:r>
      <w:r>
        <w:rPr>
          <w:rFonts w:ascii="Arial" w:cs="Arial" w:eastAsia="Arial" w:hAnsi="Arial"/>
          <w:sz w:val="17"/>
          <w:szCs w:val="17"/>
          <w:color w:val="auto"/>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stockholders of the Corporation, and, as specified by the Certificate of Incorporation, the ability of the stockholders to consent in writing to the taking of any action is specifically denied.</w:t>
      </w:r>
    </w:p>
    <w:p>
      <w:pPr>
        <w:spacing w:after="0" w:line="171" w:lineRule="exact"/>
        <w:rPr>
          <w:sz w:val="20"/>
          <w:szCs w:val="20"/>
          <w:color w:val="auto"/>
        </w:rPr>
      </w:pPr>
    </w:p>
    <w:p>
      <w:pPr>
        <w:ind w:right="400" w:firstLine="449"/>
        <w:spacing w:after="0" w:line="287"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officer of the Corporation who has charge of the stock ledger of the Corporation shall prepare and make or have prepared and made, at least ten (10) days before every meeting of stockholders of the Corporation,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record date for determining the stockholders entitled to vote is less than ten</w:t>
      </w:r>
    </w:p>
    <w:p>
      <w:pPr>
        <w:spacing w:after="0" w:line="1" w:lineRule="exact"/>
        <w:rPr>
          <w:sz w:val="20"/>
          <w:szCs w:val="20"/>
          <w:color w:val="auto"/>
        </w:rPr>
      </w:pPr>
    </w:p>
    <w:p>
      <w:pPr>
        <w:ind w:firstLine="8"/>
        <w:spacing w:after="0" w:line="267" w:lineRule="auto"/>
        <w:tabs>
          <w:tab w:leader="none" w:pos="34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days before the meeting date, the list shall reflect the stockholders entitled to vote as of the tenth (10</w:t>
      </w:r>
      <w:r>
        <w:rPr>
          <w:rFonts w:ascii="Arial" w:cs="Arial" w:eastAsia="Arial" w:hAnsi="Arial"/>
          <w:sz w:val="14"/>
          <w:szCs w:val="14"/>
          <w:color w:val="auto"/>
        </w:rPr>
        <w:t>th</w:t>
      </w:r>
      <w:r>
        <w:rPr>
          <w:rFonts w:ascii="Arial" w:cs="Arial" w:eastAsia="Arial" w:hAnsi="Arial"/>
          <w:sz w:val="17"/>
          <w:szCs w:val="17"/>
          <w:color w:val="auto"/>
        </w:rPr>
        <w:t xml:space="preserve">) day before the meeting date), arranged in alphabetical order, and showing the address of each stockholder and the number of shares registered in the name of each stockholder. Nothing in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examined by any stockholder who is present. In the event that the Corporation determines to make the list available on an electronic network, the Corporation may take reasonable steps to ensure that such information is available only to stockholders of the Corporation.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notice of any meeting of stockholders of the Corporation or any adjournment thereof, the Board may fix a record date, which record date shall not precede the date upon which the resolution fixing the record date is adopted by the Board, and which record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20"/>
          </w:cols>
          <w:pgMar w:left="320" w:top="274" w:right="359" w:bottom="1440" w:gutter="0" w:footer="0" w:header="0"/>
        </w:sectPr>
      </w:pPr>
    </w:p>
    <w:bookmarkStart w:id="363" w:name="page364"/>
    <w:bookmarkEnd w:id="363"/>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but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at the adjourned meeting.</w:t>
      </w:r>
    </w:p>
    <w:p>
      <w:pPr>
        <w:spacing w:after="0" w:line="181"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Organization and Conduct of Meetings</w:t>
      </w:r>
      <w:r>
        <w:rPr>
          <w:rFonts w:ascii="Arial" w:cs="Arial" w:eastAsia="Arial" w:hAnsi="Arial"/>
          <w:sz w:val="16"/>
          <w:szCs w:val="16"/>
          <w:color w:val="auto"/>
        </w:rPr>
        <w:t>. The Chairperson of the Board shall act as chairperson of meetings of stockholders of the Corporation. The Board may designate any other director or officer of the Corporation to act as chairperson of any meeting in the absence of the Chairperson of the Board, and the Board may further provide for determining who shall act as chairperson of any meeting of stockholders in the absence of the Chairperson of the Board and such designee. The Board may adopt by resolution such rules and regulations for the conduct of any meeting of stockholders as it shall deem appropriate. Except to the extent inconsistent with such rules and regulations as adopted by the Board, the chairperson of any meeting of stockholders shall have the right and authority to convene and (for any or no reason) to recess 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(d) limitations on attendance at or participation in the meeting to stockholders of record of the Corporation, their duly authorized proxies or such other persons as the chairperson of the meeting shall determine; (e) restrictions on entry to the meeting after the time fixed for the commencement of the meeting; (f) limitations on the time allotted to questions or comments by participants; (g) removal of any stockholder or any other individual who refuses to comply with meeting procedures, rules or guidelines; (h) conclusion, recess or adjournment of the meeting, regardless of whether a quorum is present, to a later date and time and at a place, if any, announced at the meeting; (i) restrictions on the use of audio and video recording devices, cell phones and other electronic devices;</w:t>
      </w:r>
    </w:p>
    <w:p>
      <w:pPr>
        <w:ind w:right="60" w:firstLine="8"/>
        <w:spacing w:after="0" w:line="253" w:lineRule="auto"/>
        <w:tabs>
          <w:tab w:leader="none" w:pos="21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rules, regulations or procedures for compliance with any state and local laws and regulations concerning safety, health and security; (k) procedures (if any) requiring attendees to provide the Corporation advance notice of their intent to attend the meeting and (l) any guidelines and procedures as the chairperson may deem appropriate regarding the participation by means of remote communication of stockholders and proxyholders not physically present at a meeting, whether such meeting is to be held at a designated place or solely by means of remote communication. The chairperson of a stockholder meeting, in addition to making any other</w:t>
      </w:r>
    </w:p>
    <w:p>
      <w:pPr>
        <w:spacing w:after="0" w:line="123" w:lineRule="exact"/>
        <w:rPr>
          <w:rFonts w:ascii="Arial" w:cs="Arial" w:eastAsia="Arial" w:hAnsi="Arial"/>
          <w:sz w:val="18"/>
          <w:szCs w:val="18"/>
          <w:color w:val="auto"/>
        </w:rPr>
      </w:pPr>
    </w:p>
    <w:p>
      <w:pPr>
        <w:ind w:left="5580" w:hanging="106"/>
        <w:spacing w:after="0"/>
        <w:tabs>
          <w:tab w:leader="none" w:pos="558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220"/>
          </w:cols>
          <w:pgMar w:left="320" w:top="274" w:right="359" w:bottom="1440" w:gutter="0" w:footer="0" w:header="0"/>
        </w:sectPr>
      </w:pPr>
    </w:p>
    <w:bookmarkStart w:id="364" w:name="page365"/>
    <w:bookmarkEnd w:id="36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determinations that may be appropriate to the conduct of the meeting, shall determine and declare to the meeting that a matter or business was not properly brought before the meeting, and, if the chairperson should so determine, the chairperson shall so declare to the meeting and any such matter of business not properly brought before the meeting shall not be transacted or considered. Except to the extent determined by the Board or the person presiding over the meeting, meetings of stockholders shall not be required to be held in accordance with the rules of parliamentary procedure.</w:t>
      </w:r>
    </w:p>
    <w:p>
      <w:pPr>
        <w:spacing w:after="0" w:line="15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In advance of any meeting of stockholders of the Corporation, the Chairperson of the Board, the Chief Executive Officer or the Board, by resolution, shall appoint one or more inspectors to act at the meeting and make a written report thereof. One or more other persons may be designated as alternate inspectors to replace any inspector who fails to act. If no inspector or alternate is able to act at a meeting of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78"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Notice of Stockholder Proposals and Director Nominations</w:t>
      </w:r>
      <w:r>
        <w:rPr>
          <w:rFonts w:ascii="Arial" w:cs="Arial" w:eastAsia="Arial" w:hAnsi="Arial"/>
          <w:sz w:val="16"/>
          <w:szCs w:val="16"/>
          <w:color w:val="auto"/>
        </w:rPr>
        <w:t>.</w:t>
      </w:r>
    </w:p>
    <w:p>
      <w:pPr>
        <w:spacing w:after="0" w:line="225" w:lineRule="exact"/>
        <w:rPr>
          <w:sz w:val="20"/>
          <w:szCs w:val="20"/>
          <w:color w:val="auto"/>
        </w:rPr>
      </w:pPr>
    </w:p>
    <w:p>
      <w:pPr>
        <w:ind w:firstLine="457"/>
        <w:spacing w:after="0" w:line="289" w:lineRule="auto"/>
        <w:tabs>
          <w:tab w:leader="none" w:pos="829"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xml:space="preserve">. Nominations of persons for election to the Board and the proposal of business other than nominations to be considered by the stockholders may be made at an annual meeting of stockholders only: (i) pursuant to the Corporation’s notice of meeting (or any supplement thereto) with respect to such annual meeting given by or at the direction of the Board (or any duly authorized committee thereof), (ii) otherwise properly brought before such annual meeting by or at the direction of the Board (or any duly authorized committee thereof) or (iii) by any stockholder of the Corporation who (A) is a stockholder of record on the date of the giving of the notice provided for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through the date of such annual meeting, (B) is entitled to vote at such annual meeting and (C) complies with the notice procedures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For the avoidance of doubt, compliance with the foregoing clause (iii) shall be the exclusive means for a stockholder to make nominations, or to propose any other business (other than a proposal included in the Corporation’s proxy materials pursuant to and in compliance with Rule 14a-8 under the Securities Exchange Act of 1934, as amended (such act, and the rules and regulations promulgated thereunder,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at an annual meeting of stockholders.</w:t>
      </w:r>
    </w:p>
    <w:p>
      <w:pPr>
        <w:spacing w:after="0" w:line="166" w:lineRule="exact"/>
        <w:rPr>
          <w:rFonts w:ascii="Arial" w:cs="Arial" w:eastAsia="Arial" w:hAnsi="Arial"/>
          <w:sz w:val="16"/>
          <w:szCs w:val="16"/>
          <w:color w:val="auto"/>
        </w:rPr>
      </w:pPr>
    </w:p>
    <w:p>
      <w:pPr>
        <w:ind w:right="120" w:firstLine="457"/>
        <w:spacing w:after="0" w:line="301" w:lineRule="auto"/>
        <w:tabs>
          <w:tab w:leader="none" w:pos="884"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Timing of Notice for Annual Meetings</w:t>
      </w:r>
      <w:r>
        <w:rPr>
          <w:rFonts w:ascii="Arial" w:cs="Arial" w:eastAsia="Arial" w:hAnsi="Arial"/>
          <w:sz w:val="16"/>
          <w:szCs w:val="16"/>
          <w:color w:val="auto"/>
        </w:rPr>
        <w:t xml:space="preserve">. In addition to any other applicable requirements, for nominations or other business to be properly brought before an annual meeting by a stockholder pursuant to </w:t>
      </w:r>
      <w:r>
        <w:rPr>
          <w:rFonts w:ascii="Arial" w:cs="Arial" w:eastAsia="Arial" w:hAnsi="Arial"/>
          <w:sz w:val="16"/>
          <w:szCs w:val="16"/>
          <w:u w:val="single" w:color="auto"/>
          <w:color w:val="auto"/>
        </w:rPr>
        <w:t>Section 1.16(a)(iii</w:t>
      </w:r>
      <w:r>
        <w:rPr>
          <w:rFonts w:ascii="Arial" w:cs="Arial" w:eastAsia="Arial" w:hAnsi="Arial"/>
          <w:sz w:val="16"/>
          <w:szCs w:val="16"/>
          <w:color w:val="auto"/>
        </w:rPr>
        <w:t>) above, the stockholder must have given timely notice thereof in proper written form to the Secretary, and, in the case of business other than nominations, such business must be a proper matter for stockholder action. To be timely, such notice must be received by the Secretary at the principal executive offices of the Corporation not later than the Close of Business</w:t>
      </w:r>
    </w:p>
    <w:p>
      <w:pPr>
        <w:spacing w:after="0" w:line="89" w:lineRule="exact"/>
        <w:rPr>
          <w:rFonts w:ascii="Arial" w:cs="Arial" w:eastAsia="Arial" w:hAnsi="Arial"/>
          <w:sz w:val="16"/>
          <w:szCs w:val="16"/>
          <w:color w:val="auto"/>
        </w:rPr>
      </w:pPr>
    </w:p>
    <w:p>
      <w:pPr>
        <w:ind w:left="5580" w:hanging="106"/>
        <w:spacing w:after="0"/>
        <w:tabs>
          <w:tab w:leader="none" w:pos="55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200"/>
          </w:cols>
          <w:pgMar w:left="320" w:top="274" w:right="379" w:bottom="1440" w:gutter="0" w:footer="0" w:header="0"/>
        </w:sectPr>
      </w:pPr>
    </w:p>
    <w:bookmarkStart w:id="365" w:name="page366"/>
    <w:bookmarkEnd w:id="365"/>
    <w:p>
      <w:pPr>
        <w:ind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the ninetieth (90th) day, or earlier than the Close of Business on the one hundred twentieth (120th) day, prior to the first anniversary of the date of the preceding year’s annual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the first annual meeting after October 14, 2020, if the date of the annual meeting of stockholders is more than thirty (30) days prior to, or more than sixty (60) days after, the first anniversary of the date of the preceding year’s annual meeting or if no annual meeting was held in the preceding year, to be timely, a stockholder’s notice must be so received not later than the Close of Business on the later of (i) the ninetieth (90th) day prior to such annual meeting and (ii) the tenth (10th) day following the day on which public disclosure (as defined below) of the date of the meeting is first made by the Corporation. In no event shall the adjournment, recess, postponement or rescheduling of an annual meeting (or the public disclosure thereof) commence a new time period (or extend any time period) for the giving of notice as described above.</w:t>
      </w:r>
    </w:p>
    <w:p>
      <w:pPr>
        <w:spacing w:after="0" w:line="192" w:lineRule="exact"/>
        <w:rPr>
          <w:sz w:val="20"/>
          <w:szCs w:val="20"/>
          <w:color w:val="auto"/>
        </w:rPr>
      </w:pPr>
    </w:p>
    <w:p>
      <w:pPr>
        <w:ind w:right="260" w:firstLine="457"/>
        <w:spacing w:after="0" w:line="277" w:lineRule="auto"/>
        <w:tabs>
          <w:tab w:leader="none" w:pos="873"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Form of Notice</w:t>
      </w:r>
      <w:r>
        <w:rPr>
          <w:rFonts w:ascii="Arial" w:cs="Arial" w:eastAsia="Arial" w:hAnsi="Arial"/>
          <w:sz w:val="18"/>
          <w:szCs w:val="18"/>
          <w:color w:val="auto"/>
        </w:rPr>
        <w:t xml:space="preserve">. To be in proper written form, the notice of any stockholder giving notice under this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(each, a “</w:t>
      </w:r>
      <w:r>
        <w:rPr>
          <w:rFonts w:ascii="Arial" w:cs="Arial" w:eastAsia="Arial" w:hAnsi="Arial"/>
          <w:sz w:val="18"/>
          <w:szCs w:val="18"/>
          <w:b w:val="1"/>
          <w:bCs w:val="1"/>
          <w:i w:val="1"/>
          <w:iCs w:val="1"/>
          <w:color w:val="auto"/>
        </w:rPr>
        <w:t>Noticing Party</w:t>
      </w:r>
      <w:r>
        <w:rPr>
          <w:rFonts w:ascii="Arial" w:cs="Arial" w:eastAsia="Arial" w:hAnsi="Arial"/>
          <w:sz w:val="18"/>
          <w:szCs w:val="18"/>
          <w:color w:val="auto"/>
        </w:rPr>
        <w:t>”) must set forth:</w:t>
      </w:r>
    </w:p>
    <w:p>
      <w:pPr>
        <w:spacing w:after="0" w:line="170" w:lineRule="exact"/>
        <w:rPr>
          <w:rFonts w:ascii="Arial" w:cs="Arial" w:eastAsia="Arial" w:hAnsi="Arial"/>
          <w:sz w:val="18"/>
          <w:szCs w:val="18"/>
          <w:color w:val="auto"/>
        </w:rPr>
      </w:pPr>
    </w:p>
    <w:p>
      <w:pPr>
        <w:ind w:left="460" w:right="540" w:firstLine="428"/>
        <w:spacing w:after="0" w:line="277" w:lineRule="auto"/>
        <w:tabs>
          <w:tab w:leader="none" w:pos="124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as to each person whom such Noticing Stockholder proposes to nominate for election or reelection as a director (each, a “</w:t>
      </w:r>
      <w:r>
        <w:rPr>
          <w:rFonts w:ascii="Arial" w:cs="Arial" w:eastAsia="Arial" w:hAnsi="Arial"/>
          <w:sz w:val="18"/>
          <w:szCs w:val="18"/>
          <w:b w:val="1"/>
          <w:bCs w:val="1"/>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if any:</w:t>
      </w:r>
    </w:p>
    <w:p>
      <w:pPr>
        <w:spacing w:after="0" w:line="170" w:lineRule="exact"/>
        <w:rPr>
          <w:rFonts w:ascii="Arial" w:cs="Arial" w:eastAsia="Arial" w:hAnsi="Arial"/>
          <w:sz w:val="18"/>
          <w:szCs w:val="18"/>
          <w:color w:val="auto"/>
        </w:rPr>
      </w:pPr>
    </w:p>
    <w:p>
      <w:pPr>
        <w:ind w:left="1720" w:hanging="292"/>
        <w:spacing w:after="0"/>
        <w:tabs>
          <w:tab w:leader="none" w:pos="17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Proposed Nominee;</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principal occupation and employment of such Proposed Nominee;</w:t>
      </w:r>
    </w:p>
    <w:p>
      <w:pPr>
        <w:spacing w:after="0" w:line="225" w:lineRule="exact"/>
        <w:rPr>
          <w:sz w:val="20"/>
          <w:szCs w:val="20"/>
          <w:color w:val="auto"/>
        </w:rPr>
      </w:pPr>
    </w:p>
    <w:p>
      <w:pPr>
        <w:ind w:left="1020" w:right="80" w:firstLine="408"/>
        <w:spacing w:after="0" w:line="311" w:lineRule="auto"/>
        <w:tabs>
          <w:tab w:leader="none" w:pos="171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 written questionnaire with respect to the background and qualification of such Proposed Nominee, completed by such Proposed Nominee in the form required by the Corporation (which form such Noticing Stockholder shall request in writing from the Secretary prior to submitting notice and which the Secretary shall provide to such Noticing Stockholder within ten (10) days after receiving such request);</w:t>
      </w:r>
    </w:p>
    <w:p>
      <w:pPr>
        <w:spacing w:after="0" w:line="148" w:lineRule="exact"/>
        <w:rPr>
          <w:rFonts w:ascii="Arial" w:cs="Arial" w:eastAsia="Arial" w:hAnsi="Arial"/>
          <w:sz w:val="16"/>
          <w:szCs w:val="16"/>
          <w:color w:val="auto"/>
        </w:rPr>
      </w:pPr>
    </w:p>
    <w:p>
      <w:pPr>
        <w:ind w:left="1020" w:firstLine="408"/>
        <w:spacing w:after="0" w:line="254" w:lineRule="auto"/>
        <w:tabs>
          <w:tab w:leader="none" w:pos="171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written representation and agreement completed by such Proposed Nominee in the form required by the Corporation (which form such Noticing Stockholder shall request in writing from the Secretary prior to submitting notice and which the Secretary shall provide to such Noticing Stockholder within ten (10) days after receiving such request) providing that such Proposed Nominee: (I) is not and will not become a party to any agreement, arrangement or understanding with, and has not given any commitment or assurance to, any person or entity as to how such Proposed Nominee, if elected as a director of the Corporation, will act or vote on any issue or question (a “</w:t>
      </w:r>
      <w:r>
        <w:rPr>
          <w:rFonts w:ascii="Arial" w:cs="Arial" w:eastAsia="Arial" w:hAnsi="Arial"/>
          <w:sz w:val="18"/>
          <w:szCs w:val="18"/>
          <w:b w:val="1"/>
          <w:bCs w:val="1"/>
          <w:i w:val="1"/>
          <w:iCs w:val="1"/>
          <w:color w:val="auto"/>
        </w:rPr>
        <w:t>Voting Commitment</w:t>
      </w:r>
      <w:r>
        <w:rPr>
          <w:rFonts w:ascii="Arial" w:cs="Arial" w:eastAsia="Arial" w:hAnsi="Arial"/>
          <w:sz w:val="18"/>
          <w:szCs w:val="18"/>
          <w:color w:val="auto"/>
        </w:rPr>
        <w:t>”) that has not been disclosed to the Corporation or any Voting Commitment that could limit or interfere with such Proposed Nominee’s ability to comply, if</w:t>
      </w:r>
    </w:p>
    <w:p>
      <w:pPr>
        <w:spacing w:after="0" w:line="127" w:lineRule="exact"/>
        <w:rPr>
          <w:rFonts w:ascii="Arial" w:cs="Arial" w:eastAsia="Arial" w:hAnsi="Arial"/>
          <w:sz w:val="18"/>
          <w:szCs w:val="18"/>
          <w:color w:val="auto"/>
        </w:rPr>
      </w:pPr>
    </w:p>
    <w:p>
      <w:pPr>
        <w:ind w:left="5580" w:hanging="106"/>
        <w:spacing w:after="0"/>
        <w:tabs>
          <w:tab w:leader="none" w:pos="55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220"/>
          </w:cols>
          <w:pgMar w:left="320" w:top="274" w:right="359" w:bottom="1440" w:gutter="0" w:footer="0" w:header="0"/>
        </w:sectPr>
      </w:pPr>
    </w:p>
    <w:bookmarkStart w:id="366" w:name="page367"/>
    <w:bookmarkEnd w:id="36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(III) will, if elected as a director of the Corporation, comply with all applicable rules of any securities exchanges upon which the Corporation’s securities are listed, the Certificate of Incorporation, these Bylaws and all applicable publicly disclosed corporate governance, ethics, conflict of interest, confidentiality and stock ownership and trading policies and other guidelines and policies of the Corporation generally applicable to directors (which will be provided to such Proposed Nominee within five (5) business days after the Secretary receives any written request therefor from such Proposed Nominee), and all applicable fiduciary duties under state law; (IV) consents to being named as a nominee in the Corporation’s proxy statement and form of proxy for the meeting and to serving a full term as a director of the Corporation, if elected; and (V)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68" w:lineRule="exact"/>
        <w:rPr>
          <w:sz w:val="20"/>
          <w:szCs w:val="20"/>
          <w:color w:val="auto"/>
        </w:rPr>
      </w:pPr>
    </w:p>
    <w:p>
      <w:pPr>
        <w:ind w:right="60" w:firstLine="408"/>
        <w:spacing w:after="0" w:line="255" w:lineRule="auto"/>
        <w:tabs>
          <w:tab w:leader="none" w:pos="70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written or oral, during the past three (3) years, and any other material relationships, between or among such Proposed Nominee, on the one hand, and such Noticing Stockholder or any Stockholder Associated Person (as defined below), on the other hand, including, without limitation, all information that would be required to be disclosed pursuant to Item 404 promulgated under Regulation S-K as if such Noticing Stockholder and any Stockholder Associated Person were the “registrant” for purposes of such rule and the Proposed Nominee were a director or executive officer of such registrant; and</w:t>
      </w:r>
    </w:p>
    <w:p>
      <w:pPr>
        <w:spacing w:after="0" w:line="192" w:lineRule="exact"/>
        <w:rPr>
          <w:rFonts w:ascii="Arial" w:cs="Arial" w:eastAsia="Arial" w:hAnsi="Arial"/>
          <w:sz w:val="18"/>
          <w:szCs w:val="18"/>
          <w:color w:val="auto"/>
        </w:rPr>
      </w:pPr>
    </w:p>
    <w:p>
      <w:pPr>
        <w:ind w:right="20" w:firstLine="408"/>
        <w:spacing w:after="0" w:line="279" w:lineRule="auto"/>
        <w:tabs>
          <w:tab w:leader="none" w:pos="68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all other information relating to such Proposed Nominee or such Proposed Nominee’s associates that would be required to be disclosed in a proxy statement or other filing required to be made by such Noticing Party or any Stockholder Associated Person in connection with the solicitation of proxies for the election of directors in a contested election or otherwise required pursuant to Section 14 of the Exchange Act and the rules and regulations promulgated thereunder (collectively, the “</w:t>
      </w:r>
      <w:r>
        <w:rPr>
          <w:rFonts w:ascii="Arial" w:cs="Arial" w:eastAsia="Arial" w:hAnsi="Arial"/>
          <w:sz w:val="17"/>
          <w:szCs w:val="17"/>
          <w:b w:val="1"/>
          <w:bCs w:val="1"/>
          <w:i w:val="1"/>
          <w:iCs w:val="1"/>
          <w:color w:val="auto"/>
        </w:rPr>
        <w:t>Proxy Rules</w:t>
      </w:r>
      <w:r>
        <w:rPr>
          <w:rFonts w:ascii="Arial" w:cs="Arial" w:eastAsia="Arial" w:hAnsi="Arial"/>
          <w:sz w:val="17"/>
          <w:szCs w:val="17"/>
          <w:color w:val="auto"/>
        </w:rPr>
        <w:t>”);</w:t>
      </w:r>
    </w:p>
    <w:p>
      <w:pPr>
        <w:spacing w:after="0" w:line="103" w:lineRule="exact"/>
        <w:rPr>
          <w:rFonts w:ascii="Arial" w:cs="Arial" w:eastAsia="Arial" w:hAnsi="Arial"/>
          <w:sz w:val="17"/>
          <w:szCs w:val="17"/>
          <w:color w:val="auto"/>
        </w:rPr>
      </w:pPr>
    </w:p>
    <w:p>
      <w:pPr>
        <w:ind w:left="4560" w:hanging="106"/>
        <w:spacing w:after="0"/>
        <w:tabs>
          <w:tab w:leader="none" w:pos="45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220"/>
          </w:cols>
          <w:pgMar w:left="1340" w:top="274" w:right="339" w:bottom="1440" w:gutter="0" w:footer="0" w:header="0"/>
        </w:sectPr>
      </w:pPr>
    </w:p>
    <w:bookmarkStart w:id="367" w:name="page368"/>
    <w:bookmarkEnd w:id="367"/>
    <w:p>
      <w:pPr>
        <w:ind w:left="452" w:hanging="452"/>
        <w:spacing w:after="0"/>
        <w:tabs>
          <w:tab w:leader="none" w:pos="452"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to any other business that such Noticing Stockholder proposes to bring before the meeting:</w:t>
      </w:r>
    </w:p>
    <w:p>
      <w:pPr>
        <w:spacing w:after="0" w:line="225" w:lineRule="exact"/>
        <w:rPr>
          <w:rFonts w:ascii="Arial" w:cs="Arial" w:eastAsia="Arial" w:hAnsi="Arial"/>
          <w:sz w:val="18"/>
          <w:szCs w:val="18"/>
          <w:color w:val="auto"/>
        </w:rPr>
      </w:pPr>
    </w:p>
    <w:p>
      <w:pPr>
        <w:ind w:left="132" w:firstLine="408"/>
        <w:spacing w:after="0" w:line="277" w:lineRule="auto"/>
        <w:tabs>
          <w:tab w:leader="none" w:pos="83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reasonably brief description of the business desired to be brought before the meeting and the reasons for conducting such business at the meeting;</w:t>
      </w:r>
    </w:p>
    <w:p>
      <w:pPr>
        <w:spacing w:after="0" w:line="170" w:lineRule="exact"/>
        <w:rPr>
          <w:rFonts w:ascii="Arial" w:cs="Arial" w:eastAsia="Arial" w:hAnsi="Arial"/>
          <w:sz w:val="18"/>
          <w:szCs w:val="18"/>
          <w:color w:val="auto"/>
        </w:rPr>
      </w:pPr>
    </w:p>
    <w:p>
      <w:pPr>
        <w:jc w:val="both"/>
        <w:ind w:left="132" w:right="80" w:firstLine="408"/>
        <w:spacing w:after="0" w:line="342" w:lineRule="auto"/>
        <w:tabs>
          <w:tab w:leader="none" w:pos="825"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text of the proposal or business (including the complete text of any resolutions proposed for consideration and, in the event that such business includes a proposal to amend the Certificate of Incorporation or these Bylaws, the language of the proposed amendment); and</w:t>
      </w:r>
    </w:p>
    <w:p>
      <w:pPr>
        <w:spacing w:after="0" w:line="123" w:lineRule="exact"/>
        <w:rPr>
          <w:rFonts w:ascii="Arial" w:cs="Arial" w:eastAsia="Arial" w:hAnsi="Arial"/>
          <w:sz w:val="16"/>
          <w:szCs w:val="16"/>
          <w:color w:val="auto"/>
        </w:rPr>
      </w:pPr>
    </w:p>
    <w:p>
      <w:pPr>
        <w:jc w:val="both"/>
        <w:ind w:left="132" w:right="20" w:firstLine="408"/>
        <w:spacing w:after="0" w:line="286" w:lineRule="auto"/>
        <w:tabs>
          <w:tab w:leader="none" w:pos="82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all other information relating to such business that would be required to be disclosed in a proxy statement or other filing required to be made by such Noticing Stockholder or any Stockholder Associated Person in connection with the solicitation of proxies in support of such proposed business by such Noticing Party or any Stockholder Associated Person pursuant to the Proxy Rules; and</w:t>
      </w:r>
    </w:p>
    <w:p>
      <w:pPr>
        <w:spacing w:after="0" w:line="165" w:lineRule="exact"/>
        <w:rPr>
          <w:rFonts w:ascii="Arial" w:cs="Arial" w:eastAsia="Arial" w:hAnsi="Arial"/>
          <w:sz w:val="17"/>
          <w:szCs w:val="17"/>
          <w:color w:val="auto"/>
        </w:rPr>
      </w:pPr>
    </w:p>
    <w:p>
      <w:pPr>
        <w:ind w:left="452" w:hanging="452"/>
        <w:spacing w:after="0"/>
        <w:tabs>
          <w:tab w:leader="none" w:pos="45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 to such Noticing Party, each Proposed Nominee and each Stockholder Associated Person:</w:t>
      </w:r>
    </w:p>
    <w:p>
      <w:pPr>
        <w:spacing w:after="0" w:line="225" w:lineRule="exact"/>
        <w:rPr>
          <w:rFonts w:ascii="Arial" w:cs="Arial" w:eastAsia="Arial" w:hAnsi="Arial"/>
          <w:sz w:val="18"/>
          <w:szCs w:val="18"/>
          <w:color w:val="auto"/>
        </w:rPr>
      </w:pPr>
    </w:p>
    <w:p>
      <w:pPr>
        <w:ind w:left="132" w:right="480" w:firstLine="408"/>
        <w:spacing w:after="0" w:line="277" w:lineRule="auto"/>
        <w:tabs>
          <w:tab w:leader="none" w:pos="83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name and address of such Noticing Party, each Proposed Nominee and each Stockholder Associated Person (including, as applicable, as they appear on the Corporation’s books and records);</w:t>
      </w:r>
    </w:p>
    <w:p>
      <w:pPr>
        <w:spacing w:after="0" w:line="170" w:lineRule="exact"/>
        <w:rPr>
          <w:rFonts w:ascii="Arial" w:cs="Arial" w:eastAsia="Arial" w:hAnsi="Arial"/>
          <w:sz w:val="18"/>
          <w:szCs w:val="18"/>
          <w:color w:val="auto"/>
        </w:rPr>
      </w:pPr>
    </w:p>
    <w:p>
      <w:pPr>
        <w:ind w:left="132" w:right="40" w:firstLine="408"/>
        <w:spacing w:after="0" w:line="263" w:lineRule="auto"/>
        <w:tabs>
          <w:tab w:leader="none" w:pos="82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class, series and number of shares of each class or series of capital stock (if any) of the Corporation that are, directly or indirectly, owned beneficially and/or of record by such Noticing Party, any Proposed Nominee or any Stockholder Associated Person and the date or dates such shares were acquired and the investment intent of such acquisition;</w:t>
      </w:r>
    </w:p>
    <w:p>
      <w:pPr>
        <w:spacing w:after="0" w:line="183" w:lineRule="exact"/>
        <w:rPr>
          <w:rFonts w:ascii="Arial" w:cs="Arial" w:eastAsia="Arial" w:hAnsi="Arial"/>
          <w:sz w:val="18"/>
          <w:szCs w:val="18"/>
          <w:color w:val="auto"/>
        </w:rPr>
      </w:pPr>
    </w:p>
    <w:p>
      <w:pPr>
        <w:jc w:val="both"/>
        <w:ind w:left="132" w:right="20" w:firstLine="408"/>
        <w:spacing w:after="0" w:line="263" w:lineRule="auto"/>
        <w:tabs>
          <w:tab w:leader="none" w:pos="82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name of each nominee holder for, and number of, any securities of the Corporation owned beneficially but not of record by such Noticing Party, any Proposed Nominee or any Stockholder Associated Person and any pledge by such Noticing Party, any Proposed Nominee or any Stockholder Associated Person with respect to any of such securities;</w:t>
      </w:r>
    </w:p>
    <w:p>
      <w:pPr>
        <w:spacing w:after="0" w:line="183" w:lineRule="exact"/>
        <w:rPr>
          <w:rFonts w:ascii="Arial" w:cs="Arial" w:eastAsia="Arial" w:hAnsi="Arial"/>
          <w:sz w:val="18"/>
          <w:szCs w:val="18"/>
          <w:color w:val="auto"/>
        </w:rPr>
      </w:pPr>
    </w:p>
    <w:p>
      <w:pPr>
        <w:ind w:left="132" w:right="680" w:firstLine="408"/>
        <w:spacing w:after="0" w:line="277" w:lineRule="auto"/>
        <w:tabs>
          <w:tab w:leader="none" w:pos="83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Short Interest (as defined below) held by or involving such Noticing Party, any Proposed Nominee or any Stockholder Associated Person;</w:t>
      </w:r>
    </w:p>
    <w:p>
      <w:pPr>
        <w:spacing w:after="0" w:line="170" w:lineRule="exact"/>
        <w:rPr>
          <w:rFonts w:ascii="Arial" w:cs="Arial" w:eastAsia="Arial" w:hAnsi="Arial"/>
          <w:sz w:val="18"/>
          <w:szCs w:val="18"/>
          <w:color w:val="auto"/>
        </w:rPr>
      </w:pPr>
    </w:p>
    <w:p>
      <w:pPr>
        <w:ind w:left="132" w:right="60" w:firstLine="408"/>
        <w:spacing w:after="0" w:line="263" w:lineRule="auto"/>
        <w:tabs>
          <w:tab w:leader="none" w:pos="81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complete and accurate description of all agreements, arrangements or understandings, written or oral, (including any derivative or short positions, profit interests, hedging transactions, options, warrants, convertible securities, stock appreciation or similar rights and borrowed or loaned shares) that have been entered into by, or on behalf of, such</w:t>
      </w:r>
    </w:p>
    <w:p>
      <w:pPr>
        <w:spacing w:after="0" w:line="116" w:lineRule="exact"/>
        <w:rPr>
          <w:rFonts w:ascii="Arial" w:cs="Arial" w:eastAsia="Arial" w:hAnsi="Arial"/>
          <w:sz w:val="18"/>
          <w:szCs w:val="18"/>
          <w:color w:val="auto"/>
        </w:rPr>
      </w:pPr>
    </w:p>
    <w:p>
      <w:pPr>
        <w:ind w:left="4692" w:hanging="106"/>
        <w:spacing w:after="0"/>
        <w:tabs>
          <w:tab w:leader="none" w:pos="469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332"/>
          </w:cols>
          <w:pgMar w:left="1208" w:top="274" w:right="359" w:bottom="1440" w:gutter="0" w:footer="0" w:header="0"/>
        </w:sectPr>
      </w:pPr>
    </w:p>
    <w:bookmarkStart w:id="368" w:name="page369"/>
    <w:bookmarkEnd w:id="36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Noticing Party, any Proposed Nominee or any Stockholder Associated Person, the effect or intent of which is to mitigate loss, manage risk or benefit from changes in the price of any securities of the Corporation, or maintain, increase or decrease the voting power of such Noticing Party, any Proposed Nominee or any Stockholder Associated Person with respect to securities of the Corporation, whether or not such instrument or right shall be subject to settlement in underlying shares of capital stock of the Corporation (any of the foregoing, a “</w:t>
      </w:r>
      <w:r>
        <w:rPr>
          <w:rFonts w:ascii="Arial" w:cs="Arial" w:eastAsia="Arial" w:hAnsi="Arial"/>
          <w:sz w:val="18"/>
          <w:szCs w:val="18"/>
          <w:b w:val="1"/>
          <w:bCs w:val="1"/>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Instrument</w:t>
      </w:r>
      <w:r>
        <w:rPr>
          <w:rFonts w:ascii="Arial" w:cs="Arial" w:eastAsia="Arial" w:hAnsi="Arial"/>
          <w:sz w:val="18"/>
          <w:szCs w:val="18"/>
          <w:color w:val="auto"/>
        </w:rPr>
        <w:t>”);</w:t>
      </w:r>
    </w:p>
    <w:p>
      <w:pPr>
        <w:spacing w:after="0" w:line="188" w:lineRule="exact"/>
        <w:rPr>
          <w:sz w:val="20"/>
          <w:szCs w:val="20"/>
          <w:color w:val="auto"/>
        </w:rPr>
      </w:pPr>
    </w:p>
    <w:p>
      <w:pPr>
        <w:ind w:right="100" w:firstLine="408"/>
        <w:spacing w:after="0" w:line="257" w:lineRule="auto"/>
        <w:tabs>
          <w:tab w:leader="none" w:pos="67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any substantial interest, direct or indirect (including any existing or prospective commercial, business or contractual relationship with the Corporation), by security holdings or otherwise, of such Noticing Party, any Proposed Nominee or any Stockholder Associated Person in the Corporation or any affiliate thereof, other than an interest arising from the ownership of Corporation securities where such Noticing Party, such Proposed Nominee or such Stockholder Associated Person receives no extra or special benefit not shared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all other holders of the same class or series;</w:t>
      </w:r>
    </w:p>
    <w:p>
      <w:pPr>
        <w:spacing w:after="0" w:line="187" w:lineRule="exact"/>
        <w:rPr>
          <w:rFonts w:ascii="Arial" w:cs="Arial" w:eastAsia="Arial" w:hAnsi="Arial"/>
          <w:sz w:val="18"/>
          <w:szCs w:val="18"/>
          <w:color w:val="auto"/>
        </w:rPr>
      </w:pPr>
    </w:p>
    <w:p>
      <w:pPr>
        <w:ind w:firstLine="408"/>
        <w:spacing w:after="0" w:line="287" w:lineRule="auto"/>
        <w:tabs>
          <w:tab w:leader="none" w:pos="70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complete and accurate description of all agreements, arrangements or understandings, written or oral, (I) between or among such Noticing Party and any of the Stockholder Associated Persons or (II) between or among such Noticing Party or any Stockholder Associated Person and any other person or entity (naming each such person or entity) or any Proposed Nominee, including, without limitation, (x) any proxy, contract, arrangement, understanding or relationship pursuant to which such Noticing Party or any Stockholder Associated Person has a right to vote any security of the Corporation, (y) any understanding, written or oral, that such Noticing Party or any Stockholder Associated Person may have reached with any stockholder of the Corporation (including the name of such stockholder) with respect to how such stockholder will vote such stockholder’s shares in the Corporation at any meeting of the Corporation’s stockholders or take other action in support of any Proposed Nominee or other business, or other action to be taken, by such Noticing Party or any Stockholder Associated Person and (z) any other agreements that would be required to be disclosed by such Noticing Party, any Proposed Nominee, any Stockholder Associated Person or any other person or entity pursuant to Item 5 or Item 6 of a Schedule 13D pursuant to Section 13 of the Exchange Act and the rules and regulations promulgated thereunder (regardless of whether the requirement to file a Schedule 13D is applicable to such Noticing Party, any Proposed Nominee, any Stockholder Associated Person or any other person or entity);</w:t>
      </w:r>
    </w:p>
    <w:p>
      <w:pPr>
        <w:spacing w:after="0" w:line="167" w:lineRule="exact"/>
        <w:rPr>
          <w:rFonts w:ascii="Arial" w:cs="Arial" w:eastAsia="Arial" w:hAnsi="Arial"/>
          <w:sz w:val="16"/>
          <w:szCs w:val="16"/>
          <w:color w:val="auto"/>
        </w:rPr>
      </w:pPr>
    </w:p>
    <w:p>
      <w:pPr>
        <w:ind w:left="700" w:hanging="292"/>
        <w:spacing w:after="0"/>
        <w:tabs>
          <w:tab w:leader="none" w:pos="7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rights to dividends on the shares of the Corporation owned beneficially by such Noticing Party, any Proposed Nominee or any</w:t>
      </w:r>
    </w:p>
    <w:p>
      <w:pPr>
        <w:spacing w:after="0" w:line="180" w:lineRule="exact"/>
        <w:rPr>
          <w:rFonts w:ascii="Arial" w:cs="Arial" w:eastAsia="Arial" w:hAnsi="Arial"/>
          <w:sz w:val="16"/>
          <w:szCs w:val="16"/>
          <w:color w:val="auto"/>
        </w:rPr>
      </w:pPr>
    </w:p>
    <w:p>
      <w:pPr>
        <w:ind w:left="4520" w:hanging="111"/>
        <w:spacing w:after="0"/>
        <w:tabs>
          <w:tab w:leader="none" w:pos="45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160"/>
          </w:cols>
          <w:pgMar w:left="1340" w:top="274" w:right="39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Associated Person that are separated or separable from the underlying shares of the Corporation;</w:t>
      </w:r>
    </w:p>
    <w:p>
      <w:pPr>
        <w:spacing w:after="0" w:line="225" w:lineRule="exact"/>
        <w:rPr>
          <w:sz w:val="20"/>
          <w:szCs w:val="20"/>
          <w:color w:val="auto"/>
        </w:rPr>
      </w:pPr>
    </w:p>
    <w:p>
      <w:pPr>
        <w:ind w:firstLine="408"/>
        <w:spacing w:after="0" w:line="257" w:lineRule="auto"/>
        <w:tabs>
          <w:tab w:leader="none" w:pos="63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limited liability company or similar entity in which such Noticing Party, any Proposed Nominee or any Stockholder Associated Person is (I) a general partner or, directly or indirectly, beneficially owns an interest in a general partner of such general or limited partnership or (II) the manager, managing member or, directly or indirectly, beneficially owns an interest in the manager or managing member of such limited liability company or similar entity;</w:t>
      </w:r>
    </w:p>
    <w:p>
      <w:pPr>
        <w:spacing w:after="0" w:line="187" w:lineRule="exact"/>
        <w:rPr>
          <w:rFonts w:ascii="Arial" w:cs="Arial" w:eastAsia="Arial" w:hAnsi="Arial"/>
          <w:sz w:val="18"/>
          <w:szCs w:val="18"/>
          <w:color w:val="auto"/>
        </w:rPr>
      </w:pPr>
    </w:p>
    <w:p>
      <w:pPr>
        <w:ind w:right="160" w:firstLine="408"/>
        <w:spacing w:after="0" w:line="277"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principal competitor of the Corporation held by such Noticing Party, any Proposed Nominee or any Stockholder Associated Person;</w:t>
      </w:r>
    </w:p>
    <w:p>
      <w:pPr>
        <w:spacing w:after="0" w:line="170" w:lineRule="exact"/>
        <w:rPr>
          <w:rFonts w:ascii="Arial" w:cs="Arial" w:eastAsia="Arial" w:hAnsi="Arial"/>
          <w:sz w:val="18"/>
          <w:szCs w:val="18"/>
          <w:color w:val="auto"/>
        </w:rPr>
      </w:pPr>
    </w:p>
    <w:p>
      <w:pPr>
        <w:ind w:right="120" w:firstLine="408"/>
        <w:spacing w:after="0" w:line="263" w:lineRule="auto"/>
        <w:tabs>
          <w:tab w:leader="none" w:pos="7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direct or indirect interest of such Noticing Party, any Proposed Nominee or any Stockholder Associated Person in any contract with the Corporation, any affiliate of the Corporation or any principal competitor of the Corporation (including, without limitation, any employment agreement, collective bargaining agreement or consulting agreement);</w:t>
      </w:r>
    </w:p>
    <w:p>
      <w:pPr>
        <w:spacing w:after="0" w:line="183" w:lineRule="exact"/>
        <w:rPr>
          <w:rFonts w:ascii="Arial" w:cs="Arial" w:eastAsia="Arial" w:hAnsi="Arial"/>
          <w:sz w:val="18"/>
          <w:szCs w:val="18"/>
          <w:color w:val="auto"/>
        </w:rPr>
      </w:pPr>
    </w:p>
    <w:p>
      <w:pPr>
        <w:ind w:right="240" w:firstLine="408"/>
        <w:spacing w:after="0" w:line="277" w:lineRule="auto"/>
        <w:tabs>
          <w:tab w:leader="none" w:pos="68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description of any material interest of such Noticing Party, any Proposed Nominee or any Stockholder Associated Person in the business proposed by such Noticing Party, if any, or the election of any Proposed Nominee;</w:t>
      </w:r>
    </w:p>
    <w:p>
      <w:pPr>
        <w:spacing w:after="0" w:line="170" w:lineRule="exact"/>
        <w:rPr>
          <w:rFonts w:ascii="Arial" w:cs="Arial" w:eastAsia="Arial" w:hAnsi="Arial"/>
          <w:sz w:val="18"/>
          <w:szCs w:val="18"/>
          <w:color w:val="auto"/>
        </w:rPr>
      </w:pPr>
    </w:p>
    <w:p>
      <w:pPr>
        <w:ind w:right="260" w:firstLine="408"/>
        <w:spacing w:after="0" w:line="279" w:lineRule="auto"/>
        <w:tabs>
          <w:tab w:leader="none" w:pos="73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 complete an accurate description of any performance-related fees (other than an asset-based fee) to which such Noticing Party, any Proposed Nominee or any Stockholder Associated Person may be entitled as a result of any increase or decrease in the value of the Corporation’s securities or any Derivative Instruments, including, without limitation, any such interests held by members of any Proposed Nominee’s or Stockholder Associated Person’s immediate family sharing the same household;</w:t>
      </w:r>
    </w:p>
    <w:p>
      <w:pPr>
        <w:spacing w:after="0" w:line="171" w:lineRule="exact"/>
        <w:rPr>
          <w:rFonts w:ascii="Arial" w:cs="Arial" w:eastAsia="Arial" w:hAnsi="Arial"/>
          <w:sz w:val="17"/>
          <w:szCs w:val="17"/>
          <w:color w:val="auto"/>
        </w:rPr>
      </w:pPr>
    </w:p>
    <w:p>
      <w:pPr>
        <w:jc w:val="both"/>
        <w:ind w:right="200" w:firstLine="408"/>
        <w:spacing w:after="0" w:line="263" w:lineRule="auto"/>
        <w:tabs>
          <w:tab w:leader="none" w:pos="7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Noticing Party, any Proposed Nominee or any Stockholder Associated Person who is not an individual and a copy of the prospectus, offering memorandum or similar document, if any, provided to investors or potential investors in the Noticing Party or any Stockholder Associated Person; and</w:t>
      </w:r>
    </w:p>
    <w:p>
      <w:pPr>
        <w:spacing w:after="0" w:line="183" w:lineRule="exact"/>
        <w:rPr>
          <w:rFonts w:ascii="Arial" w:cs="Arial" w:eastAsia="Arial" w:hAnsi="Arial"/>
          <w:sz w:val="18"/>
          <w:szCs w:val="18"/>
          <w:color w:val="auto"/>
        </w:rPr>
      </w:pPr>
    </w:p>
    <w:p>
      <w:pPr>
        <w:ind w:right="660" w:firstLine="408"/>
        <w:spacing w:after="0" w:line="277" w:lineRule="auto"/>
        <w:tabs>
          <w:tab w:leader="none" w:pos="7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other information relating to such Noticing Party or any Stockholder Associated Person, or such Noticing Party’s or any Stockholder Associated Person’s associates, that would be required to be</w:t>
      </w:r>
    </w:p>
    <w:p>
      <w:pPr>
        <w:spacing w:after="0" w:line="102" w:lineRule="exact"/>
        <w:rPr>
          <w:rFonts w:ascii="Arial" w:cs="Arial" w:eastAsia="Arial" w:hAnsi="Arial"/>
          <w:sz w:val="18"/>
          <w:szCs w:val="18"/>
          <w:color w:val="auto"/>
        </w:rPr>
      </w:pPr>
    </w:p>
    <w:p>
      <w:pPr>
        <w:ind w:left="4520" w:hanging="108"/>
        <w:spacing w:after="0"/>
        <w:tabs>
          <w:tab w:leader="none" w:pos="45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220"/>
          </w:cols>
          <w:pgMar w:left="1340" w:top="274" w:right="339" w:bottom="1440" w:gutter="0" w:footer="0" w:header="0"/>
        </w:sectPr>
      </w:pPr>
    </w:p>
    <w:bookmarkStart w:id="370" w:name="page371"/>
    <w:bookmarkEnd w:id="370"/>
    <w:p>
      <w:pPr>
        <w:ind w:left="563" w:right="5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disclosed in a proxy statement or other filing in connection with the solicitation of proxies in support of the business proposed by such Noticing Party, if any, or for the election of any Proposed Nominee in a contested election or otherwise pursuant to the Proxy Rules.</w:t>
      </w:r>
    </w:p>
    <w:p>
      <w:pPr>
        <w:spacing w:after="0" w:line="124" w:lineRule="exact"/>
        <w:rPr>
          <w:sz w:val="20"/>
          <w:szCs w:val="20"/>
          <w:color w:val="auto"/>
        </w:rPr>
      </w:pPr>
    </w:p>
    <w:p>
      <w:pPr>
        <w:ind w:left="3" w:right="20" w:firstLine="428"/>
        <w:spacing w:after="0" w:line="257" w:lineRule="auto"/>
        <w:tabs>
          <w:tab w:leader="none" w:pos="87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representation that such Noticing Party intends to appear in person or by proxy at the meeting to bring such business before the meeting or nominate any Proposed Nominees, as applicable, and an acknowledgment that, if such Noticing Party (or a Qualified Representative (as defined below) of such Noticing Party)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w:t>
      </w:r>
    </w:p>
    <w:p>
      <w:pPr>
        <w:spacing w:after="0" w:line="187" w:lineRule="exact"/>
        <w:rPr>
          <w:rFonts w:ascii="Arial" w:cs="Arial" w:eastAsia="Arial" w:hAnsi="Arial"/>
          <w:sz w:val="18"/>
          <w:szCs w:val="18"/>
          <w:color w:val="auto"/>
        </w:rPr>
      </w:pPr>
    </w:p>
    <w:p>
      <w:pPr>
        <w:ind w:left="3" w:right="100" w:firstLine="428"/>
        <w:spacing w:after="0" w:line="263" w:lineRule="auto"/>
        <w:tabs>
          <w:tab w:leader="none" w:pos="68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complete and accurate description of any pending or, to such Noticing Party’s knowledge, threatened legal proceeding in which such Noticing Party, any Proposed Nominee or any Stockholder Associated Person is a party or participant involving the Corporation or, to such Noticing Party’s knowledge, any officer, affiliate or associate of the Corporation;</w:t>
      </w:r>
    </w:p>
    <w:p>
      <w:pPr>
        <w:spacing w:after="0" w:line="183" w:lineRule="exact"/>
        <w:rPr>
          <w:rFonts w:ascii="Arial" w:cs="Arial" w:eastAsia="Arial" w:hAnsi="Arial"/>
          <w:sz w:val="18"/>
          <w:szCs w:val="18"/>
          <w:color w:val="auto"/>
        </w:rPr>
      </w:pPr>
    </w:p>
    <w:p>
      <w:pPr>
        <w:ind w:left="3" w:firstLine="428"/>
        <w:spacing w:after="0" w:line="296" w:lineRule="auto"/>
        <w:tabs>
          <w:tab w:leader="none" w:pos="87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representation from such Noticing Party as to whether such Noticing Party or any Stockholder Associated Person intends or is part of a group that intends (I) to deliver a proxy statement and/or form of proxy to a number of holders of the Corporation’s voting shares reasonably believed by such Noticing Party to be sufficient to approve or adopt the business to be proposed or elect the Proposed Nominees, as applicable, or (II) engage in a solicitation (within the meaning of Exchange Act Rule 14a-1(l) with respect to the nomination or other business, as applicable, and if so, the name of each participant (as defined in Item 4 of Schedule 14A under the Exchange Act) in such solicitation; and</w:t>
      </w:r>
    </w:p>
    <w:p>
      <w:pPr>
        <w:spacing w:after="0" w:line="161" w:lineRule="exact"/>
        <w:rPr>
          <w:rFonts w:ascii="Arial" w:cs="Arial" w:eastAsia="Arial" w:hAnsi="Arial"/>
          <w:sz w:val="16"/>
          <w:szCs w:val="16"/>
          <w:color w:val="auto"/>
        </w:rPr>
      </w:pPr>
    </w:p>
    <w:p>
      <w:pPr>
        <w:ind w:left="3" w:right="40" w:firstLine="428"/>
        <w:spacing w:after="0" w:line="311" w:lineRule="auto"/>
        <w:tabs>
          <w:tab w:leader="none" w:pos="78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written or oral, the effect or intent of which is to increase or decrease the voting power of such Noticing Party or any Stockholder Associated Person with respect to any shares of the capital stock of the Corporation, without regard to whether such agreement, arrangement or understanding is required to be reported on a Schedule 13D in accordance with the Exchange Act.</w:t>
      </w:r>
    </w:p>
    <w:p>
      <w:pPr>
        <w:spacing w:after="0" w:line="148" w:lineRule="exact"/>
        <w:rPr>
          <w:rFonts w:ascii="Arial" w:cs="Arial" w:eastAsia="Arial" w:hAnsi="Arial"/>
          <w:sz w:val="16"/>
          <w:szCs w:val="16"/>
          <w:color w:val="auto"/>
        </w:rPr>
      </w:pPr>
    </w:p>
    <w:p>
      <w:pPr>
        <w:ind w:left="-457" w:right="200" w:firstLine="457"/>
        <w:spacing w:after="0" w:line="273" w:lineRule="auto"/>
        <w:tabs>
          <w:tab w:leader="none" w:pos="427"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Additional Information</w:t>
      </w:r>
      <w:r>
        <w:rPr>
          <w:rFonts w:ascii="Arial" w:cs="Arial" w:eastAsia="Arial" w:hAnsi="Arial"/>
          <w:sz w:val="17"/>
          <w:szCs w:val="17"/>
          <w:color w:val="auto"/>
        </w:rPr>
        <w:t>. In addition to the information required above, the Corporation may require any Noticing Party to furnish such other information as the Corporation may reasonably require to determine the eligibility or suitability of a Proposed Nominee to serve as a director of the Corporation or that could be material to a reasonable stockholder’s understanding of the independence, or lack thereof, of such Proposed Nominee, under the listing standards of each securities exchange upon which the Corporation’s securities are listed, any applicable rules of the Securities and Exchange Commission, any publicly disclosed standards used by the Board in selecting nominees for election as a director and for determining and disclosing the independence of the Corporation’s directors, including those applicable to a director’s service on any of</w:t>
      </w:r>
    </w:p>
    <w:p>
      <w:pPr>
        <w:spacing w:after="0" w:line="110" w:lineRule="exact"/>
        <w:rPr>
          <w:rFonts w:ascii="Arial" w:cs="Arial" w:eastAsia="Arial" w:hAnsi="Arial"/>
          <w:sz w:val="17"/>
          <w:szCs w:val="17"/>
          <w:color w:val="auto"/>
        </w:rPr>
      </w:pPr>
    </w:p>
    <w:p>
      <w:pPr>
        <w:ind w:left="5083" w:hanging="111"/>
        <w:spacing w:after="0"/>
        <w:tabs>
          <w:tab w:leader="none" w:pos="5083" w:val="left"/>
        </w:tabs>
        <w:numPr>
          <w:ilvl w:val="2"/>
          <w:numId w:val="201"/>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783"/>
          </w:cols>
          <w:pgMar w:left="777" w:top="274" w:right="339" w:bottom="1440" w:gutter="0" w:footer="0" w:header="0"/>
        </w:sectPr>
      </w:pPr>
    </w:p>
    <w:bookmarkStart w:id="371" w:name="page372"/>
    <w:bookmarkEnd w:id="371"/>
    <w:p>
      <w:pPr>
        <w:jc w:val="both"/>
        <w:ind w:right="5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committees of the Board, or the requirements of any other laws or regulations applicable to the Corporation. If requested by the Corporation, any supplemental information required under this paragraph shall be provided by a Noticing Party within ten (10) days after it has been requested by the Corporation.</w:t>
      </w:r>
    </w:p>
    <w:p>
      <w:pPr>
        <w:spacing w:after="0" w:line="184" w:lineRule="exact"/>
        <w:rPr>
          <w:sz w:val="20"/>
          <w:szCs w:val="20"/>
          <w:color w:val="auto"/>
        </w:rPr>
      </w:pPr>
    </w:p>
    <w:p>
      <w:pPr>
        <w:ind w:firstLine="457"/>
        <w:spacing w:after="0" w:line="286" w:lineRule="auto"/>
        <w:tabs>
          <w:tab w:leader="none" w:pos="873"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meeting (or any supplement thereto). Nominations of persons for election to the Board may be made at a special meeting of stockholders at which directors are to be elected pursuant to the Corporation’s notice of meeting (or any supplement thereto) (i) by or at the direction of the Board (or any duly authorized committee thereof) or (ii) provided that one or more directors are to be elected at such meeting pursuant to the Corporation’s notice of meeting, by any stockholder of the Corporation who (A) is a stockholder of record on the date of the giving of the notice provided for in this </w:t>
      </w:r>
      <w:r>
        <w:rPr>
          <w:rFonts w:ascii="Arial" w:cs="Arial" w:eastAsia="Arial" w:hAnsi="Arial"/>
          <w:sz w:val="16"/>
          <w:szCs w:val="16"/>
          <w:u w:val="single" w:color="auto"/>
          <w:color w:val="auto"/>
        </w:rPr>
        <w:t>Section 1.16(e)</w:t>
      </w:r>
      <w:r>
        <w:rPr>
          <w:rFonts w:ascii="Arial" w:cs="Arial" w:eastAsia="Arial" w:hAnsi="Arial"/>
          <w:sz w:val="16"/>
          <w:szCs w:val="16"/>
          <w:color w:val="auto"/>
        </w:rPr>
        <w:t xml:space="preserve"> through the date of such special meeting, (B) is entitled to vote at such special meeting and upon such election and (C) complies with the notice procedures set forth in this </w:t>
      </w:r>
      <w:r>
        <w:rPr>
          <w:rFonts w:ascii="Arial" w:cs="Arial" w:eastAsia="Arial" w:hAnsi="Arial"/>
          <w:sz w:val="16"/>
          <w:szCs w:val="16"/>
          <w:u w:val="single" w:color="auto"/>
          <w:color w:val="auto"/>
        </w:rPr>
        <w:t>Section 1.16(e)</w:t>
      </w:r>
      <w:r>
        <w:rPr>
          <w:rFonts w:ascii="Arial" w:cs="Arial" w:eastAsia="Arial" w:hAnsi="Arial"/>
          <w:sz w:val="16"/>
          <w:szCs w:val="16"/>
          <w:color w:val="auto"/>
        </w:rPr>
        <w:t xml:space="preserve">. In addition to any other applicable requirements, for director nominations to be properly brought before a special meeting by a stockholder pursuant to the foregoing clause (ii), such stockholder must have given timely notice thereof in proper written form to the Secretary. To be timely, such notice must be received by the Secretary at the principal executive offices of the Corporation not earlier than the Close of Business on the one hundred twentieth (120th) day prior to such special meeting and not later than the Close of Business on the later of (x) the ninetieth (90th) day prior to such special meeting and (y) the tenth (10th) day following the day on which public disclosure of the date of the meeting is first made by the Corporation. In no event shall an adjournment, recess, postponement or rescheduling of a special meeting (or the public disclosure thereof) commence a new time period (or extend any time period) for the giving of a stockholder’s notice as described above. To be in proper written form, such notice shall include all information required pursuant to </w:t>
      </w:r>
      <w:r>
        <w:rPr>
          <w:rFonts w:ascii="Arial" w:cs="Arial" w:eastAsia="Arial" w:hAnsi="Arial"/>
          <w:sz w:val="16"/>
          <w:szCs w:val="16"/>
          <w:u w:val="single" w:color="auto"/>
          <w:color w:val="auto"/>
        </w:rPr>
        <w:t>Section 1.16(c)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1.16(d)</w:t>
      </w:r>
      <w:r>
        <w:rPr>
          <w:rFonts w:ascii="Arial" w:cs="Arial" w:eastAsia="Arial" w:hAnsi="Arial"/>
          <w:sz w:val="16"/>
          <w:szCs w:val="16"/>
          <w:color w:val="auto"/>
        </w:rPr>
        <w:t xml:space="preserve"> above.</w:t>
      </w:r>
    </w:p>
    <w:p>
      <w:pPr>
        <w:spacing w:after="0" w:line="103" w:lineRule="exact"/>
        <w:rPr>
          <w:rFonts w:ascii="Arial" w:cs="Arial" w:eastAsia="Arial" w:hAnsi="Arial"/>
          <w:sz w:val="16"/>
          <w:szCs w:val="16"/>
          <w:color w:val="auto"/>
        </w:rPr>
      </w:pPr>
    </w:p>
    <w:p>
      <w:pPr>
        <w:ind w:left="5540" w:hanging="111"/>
        <w:spacing w:after="0"/>
        <w:tabs>
          <w:tab w:leader="none" w:pos="55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240"/>
          </w:cols>
          <w:pgMar w:left="320" w:top="274" w:right="339" w:bottom="1440" w:gutter="0" w:footer="0" w:header="0"/>
        </w:sectPr>
      </w:pPr>
    </w:p>
    <w:bookmarkStart w:id="372" w:name="page373"/>
    <w:bookmarkEnd w:id="372"/>
    <w:p>
      <w:pPr>
        <w:ind w:left="383" w:hanging="383"/>
        <w:spacing w:after="0"/>
        <w:tabs>
          <w:tab w:leader="none" w:pos="38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 w:firstLine="428"/>
        <w:spacing w:after="0" w:line="286" w:lineRule="auto"/>
        <w:tabs>
          <w:tab w:leader="none" w:pos="7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No person shall be eligible for election as a director of the Corporation unless the person is nominated by a stockholder in accordance with the procedures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or the person is nominated by the Board, and no business shall be conducted at a meeting of stockholders of the Corporation except business brought by a stockholder in accordance with the procedures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or by the Board. Except as otherwise provided by law, the chairperson of a meeting shall have the power and the duty to determine whether a nomination or any business proposed to be brought before the meeting has been made in accordance with the procedures set forth in these Bylaws, and, if the chairperson of the meeting determines that any proposed nomination or business was not properly brought before the meeting, the chairperson shall declare to the meeting that such nomination shall be disregarded or such business shall not be transacted, and no vote shall be taken with respect to such nomination or proposed business, in each case, notwithstanding that proxies with respect to such vote may have been received by the Corporation. Notwithstanding the foregoing provisions of this </w:t>
      </w:r>
      <w:r>
        <w:rPr>
          <w:rFonts w:ascii="Arial" w:cs="Arial" w:eastAsia="Arial" w:hAnsi="Arial"/>
          <w:sz w:val="16"/>
          <w:szCs w:val="16"/>
          <w:u w:val="single" w:color="auto"/>
          <w:color w:val="auto"/>
        </w:rPr>
        <w:t>Section 1.16</w:t>
      </w:r>
      <w:r>
        <w:rPr>
          <w:rFonts w:ascii="Arial" w:cs="Arial" w:eastAsia="Arial" w:hAnsi="Arial"/>
          <w:sz w:val="16"/>
          <w:szCs w:val="16"/>
          <w:color w:val="auto"/>
        </w:rPr>
        <w:t>, unless otherwise required by law, if the Noticing Party (or a Qualified Representative of the Noticing Party) proposing a nominee for director or business to be conducted at a meeting does not appear at the meeting of stockholders of the Corporation to present such nomination or propose such business, such proposed nomination shall be disregarded or such proposed business shall not be transacted, as applicable, and no vote shall be taken with respect to such nomination or proposed business, notwithstanding that proxies with respect to such vote may have been received by the Corporation.</w:t>
      </w:r>
    </w:p>
    <w:p>
      <w:pPr>
        <w:spacing w:after="0" w:line="173" w:lineRule="exact"/>
        <w:rPr>
          <w:rFonts w:ascii="Arial" w:cs="Arial" w:eastAsia="Arial" w:hAnsi="Arial"/>
          <w:sz w:val="16"/>
          <w:szCs w:val="16"/>
          <w:color w:val="auto"/>
        </w:rPr>
      </w:pPr>
    </w:p>
    <w:p>
      <w:pPr>
        <w:ind w:left="3" w:firstLine="428"/>
        <w:spacing w:after="0" w:line="269" w:lineRule="auto"/>
        <w:tabs>
          <w:tab w:leader="none" w:pos="824" w:val="left"/>
        </w:tabs>
        <w:numPr>
          <w:ilvl w:val="1"/>
          <w:numId w:val="203"/>
        </w:numPr>
        <w:rPr>
          <w:rFonts w:ascii="Arial" w:cs="Arial" w:eastAsia="Arial" w:hAnsi="Arial"/>
          <w:sz w:val="17"/>
          <w:szCs w:val="17"/>
          <w:color w:val="auto"/>
        </w:rPr>
      </w:pPr>
      <w:r>
        <w:rPr>
          <w:rFonts w:ascii="Arial" w:cs="Arial" w:eastAsia="Arial" w:hAnsi="Arial"/>
          <w:sz w:val="17"/>
          <w:szCs w:val="17"/>
          <w:color w:val="auto"/>
        </w:rPr>
        <w:t xml:space="preserve">A Noticing Party shall update such notice, if necessary, such that the information provided or required to be provided in such notice shall be true and correct (A) as of the record date for determining the stockholders entitled to receive notice of the meeting and (B) as of the date that is ten (10) business days prior to the meeting (or any postponement, rescheduling or adjournment thereof), and such update shall be received by the Secretary at the principal executive offices of the Corporation (x) not later than the Close of Business five (5) business days after the record date for determining the stockholders entitled to receive notice of such meeting (in the case of an update required to be made under clause (A)) and (y) not later than the Close of Business seven (7) business days prior to the date for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(B)). For the avoidance of doubt, any information provided pursuant to this </w:t>
      </w:r>
      <w:r>
        <w:rPr>
          <w:rFonts w:ascii="Arial" w:cs="Arial" w:eastAsia="Arial" w:hAnsi="Arial"/>
          <w:sz w:val="17"/>
          <w:szCs w:val="17"/>
          <w:u w:val="single" w:color="auto"/>
          <w:color w:val="auto"/>
        </w:rPr>
        <w:t>Section 1.16(e)(ii)</w:t>
      </w:r>
      <w:r>
        <w:rPr>
          <w:rFonts w:ascii="Arial" w:cs="Arial" w:eastAsia="Arial" w:hAnsi="Arial"/>
          <w:sz w:val="17"/>
          <w:szCs w:val="17"/>
          <w:color w:val="auto"/>
        </w:rPr>
        <w:t xml:space="preserve"> shall not be deemed to cure any deficiencies in a notice previously delivered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and shall not extend the time period for the delivery of notice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If a Noticing Party fails to provide such written update within such period, the information as to which written update</w:t>
      </w:r>
    </w:p>
    <w:p>
      <w:pPr>
        <w:spacing w:after="0" w:line="114" w:lineRule="exact"/>
        <w:rPr>
          <w:rFonts w:ascii="Arial" w:cs="Arial" w:eastAsia="Arial" w:hAnsi="Arial"/>
          <w:sz w:val="17"/>
          <w:szCs w:val="17"/>
          <w:color w:val="auto"/>
        </w:rPr>
      </w:pPr>
    </w:p>
    <w:p>
      <w:pPr>
        <w:ind w:left="5083" w:hanging="111"/>
        <w:spacing w:after="0"/>
        <w:tabs>
          <w:tab w:leader="none" w:pos="5083" w:val="left"/>
        </w:tabs>
        <w:numPr>
          <w:ilvl w:val="2"/>
          <w:numId w:val="20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763"/>
          </w:cols>
          <w:pgMar w:left="777" w:top="274" w:right="359" w:bottom="1440" w:gutter="0" w:footer="0" w:header="0"/>
        </w:sectPr>
      </w:pPr>
    </w:p>
    <w:bookmarkStart w:id="373" w:name="page374"/>
    <w:bookmarkEnd w:id="373"/>
    <w:p>
      <w:pPr>
        <w:ind w:lef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relates may be deemed to not have been provided in accordance with this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225" w:lineRule="exact"/>
        <w:rPr>
          <w:sz w:val="20"/>
          <w:szCs w:val="20"/>
          <w:color w:val="auto"/>
        </w:rPr>
      </w:pPr>
    </w:p>
    <w:p>
      <w:pPr>
        <w:ind w:left="3" w:firstLine="428"/>
        <w:spacing w:after="0" w:line="269" w:lineRule="auto"/>
        <w:tabs>
          <w:tab w:leader="none" w:pos="884" w:val="left"/>
        </w:tabs>
        <w:numPr>
          <w:ilvl w:val="1"/>
          <w:numId w:val="204"/>
        </w:numPr>
        <w:rPr>
          <w:rFonts w:ascii="Arial" w:cs="Arial" w:eastAsia="Arial" w:hAnsi="Arial"/>
          <w:sz w:val="17"/>
          <w:szCs w:val="17"/>
          <w:color w:val="auto"/>
        </w:rPr>
      </w:pPr>
      <w:r>
        <w:rPr>
          <w:rFonts w:ascii="Arial" w:cs="Arial" w:eastAsia="Arial" w:hAnsi="Arial"/>
          <w:sz w:val="17"/>
          <w:szCs w:val="17"/>
          <w:color w:val="auto"/>
        </w:rPr>
        <w:t xml:space="preserve">If any information submitted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by any Noticing Party proposing individuals to nominate for election or reelection as a director or business for consideration at a stockholder meeting shall be inaccurate in any respect, such information shall be deemed not to have been provided in accordance with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Any such Noticing Party shall notify the Secretary in writing at the principal executive offices of the Corporation of any inaccuracy or change in any information submitted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within two (2) business days after becoming aware of such inaccuracy or change. Upon written request of the Secretary on behalf of the Board (or a duly authorized committee thereof), any such Noticing Party shall provide, within seven (7) business days after delivery of such request (or such other period as may be specified in such request), (A) written verification, reasonably satisfactory to the Board, any committee thereof or any authorized officer of the Corporation, to demonstrate the accuracy of any information submitted by such Noticing Party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and (B) a written affirmation of any information submitted by such Noticing Party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as of an earlier date. If a Noticing Party fails to provide such written verification or affirmation within such period, the information as to which written verification or affirmation was requested may be deemed not to have been provided in accordance with this </w:t>
      </w:r>
      <w:r>
        <w:rPr>
          <w:rFonts w:ascii="Arial" w:cs="Arial" w:eastAsia="Arial" w:hAnsi="Arial"/>
          <w:sz w:val="17"/>
          <w:szCs w:val="17"/>
          <w:u w:val="single" w:color="auto"/>
          <w:color w:val="auto"/>
        </w:rPr>
        <w:t>Section 1.16</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3" w:right="160" w:firstLine="428"/>
        <w:spacing w:after="0" w:line="287" w:lineRule="auto"/>
        <w:tabs>
          <w:tab w:leader="none" w:pos="87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 stockholder shall also comply with all applicable requirements of state law and the Exchange Act with respect to the matters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shall be deemed to affect any rights of (A) stockholders to request inclusion of proposals in the Corporation’s proxy statement pursuant to Rule 14a-8 under the Exchange Act,</w:t>
      </w:r>
    </w:p>
    <w:p>
      <w:pPr>
        <w:spacing w:after="0" w:line="2" w:lineRule="exact"/>
        <w:rPr>
          <w:rFonts w:ascii="Arial" w:cs="Arial" w:eastAsia="Arial" w:hAnsi="Arial"/>
          <w:sz w:val="16"/>
          <w:szCs w:val="16"/>
          <w:color w:val="auto"/>
        </w:rPr>
      </w:pPr>
    </w:p>
    <w:p>
      <w:pPr>
        <w:ind w:left="3" w:hanging="3"/>
        <w:spacing w:after="0" w:line="260" w:lineRule="auto"/>
        <w:tabs>
          <w:tab w:leader="none" w:pos="28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stockholders to request inclusion of nominees in the Corporation’s proxy statement pursuant to the Proxy Rules or (C) the holders of any series of preferred stock to elect directors pursuant to any applicable provisions of the Certificate of Incorporation.</w:t>
      </w:r>
    </w:p>
    <w:p>
      <w:pPr>
        <w:spacing w:after="0" w:line="185" w:lineRule="exact"/>
        <w:rPr>
          <w:rFonts w:ascii="Arial" w:cs="Arial" w:eastAsia="Arial" w:hAnsi="Arial"/>
          <w:sz w:val="18"/>
          <w:szCs w:val="18"/>
          <w:color w:val="auto"/>
        </w:rPr>
      </w:pPr>
    </w:p>
    <w:p>
      <w:pPr>
        <w:ind w:left="3" w:right="20" w:firstLine="428"/>
        <w:spacing w:after="0" w:line="291" w:lineRule="auto"/>
        <w:tabs>
          <w:tab w:leader="none" w:pos="869" w:val="left"/>
        </w:tabs>
        <w:numPr>
          <w:ilvl w:val="1"/>
          <w:numId w:val="205"/>
        </w:numPr>
        <w:rPr>
          <w:rFonts w:ascii="Arial" w:cs="Arial" w:eastAsia="Arial" w:hAnsi="Arial"/>
          <w:sz w:val="16"/>
          <w:szCs w:val="16"/>
          <w:color w:val="auto"/>
        </w:rPr>
      </w:pPr>
      <w:r>
        <w:rPr>
          <w:rFonts w:ascii="Arial" w:cs="Arial" w:eastAsia="Arial" w:hAnsi="Arial"/>
          <w:sz w:val="16"/>
          <w:szCs w:val="16"/>
          <w:color w:val="auto"/>
        </w:rPr>
        <w:t>For purposes of these Bylaws, (A)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w:t>
      </w:r>
      <w:r>
        <w:rPr>
          <w:rFonts w:ascii="Arial" w:cs="Arial" w:eastAsia="Arial" w:hAnsi="Arial"/>
          <w:sz w:val="16"/>
          <w:szCs w:val="16"/>
          <w:color w:val="auto"/>
        </w:rPr>
        <w:t>” each shall have the respective meanings set forth in Rule 12b-2 under the Exchange Act; (B)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beneficially owned</w:t>
      </w:r>
      <w:r>
        <w:rPr>
          <w:rFonts w:ascii="Arial" w:cs="Arial" w:eastAsia="Arial" w:hAnsi="Arial"/>
          <w:sz w:val="16"/>
          <w:szCs w:val="16"/>
          <w:color w:val="auto"/>
        </w:rPr>
        <w:t>” shall have the meaning set forth for such terms in Section 13(d) of the Exchange Act;</w:t>
      </w:r>
    </w:p>
    <w:p>
      <w:pPr>
        <w:ind w:left="3" w:right="20" w:hanging="3"/>
        <w:spacing w:after="0" w:line="253" w:lineRule="auto"/>
        <w:tabs>
          <w:tab w:leader="none" w:pos="28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shall mean 5:00 p.m. Eastern Time on any calendar day, whether or not the day is a business day; (D) “</w:t>
      </w:r>
      <w:r>
        <w:rPr>
          <w:rFonts w:ascii="Arial" w:cs="Arial" w:eastAsia="Arial" w:hAnsi="Arial"/>
          <w:sz w:val="18"/>
          <w:szCs w:val="18"/>
          <w:b w:val="1"/>
          <w:bCs w:val="1"/>
          <w:i w:val="1"/>
          <w:iCs w:val="1"/>
          <w:color w:val="auto"/>
        </w:rPr>
        <w:t>public disclosure</w:t>
      </w:r>
      <w:r>
        <w:rPr>
          <w:rFonts w:ascii="Arial" w:cs="Arial" w:eastAsia="Arial" w:hAnsi="Arial"/>
          <w:sz w:val="18"/>
          <w:szCs w:val="18"/>
          <w:color w:val="auto"/>
        </w:rPr>
        <w:t>” shall mean disclosure in a press release reported by a national news service or in a document publicly filed by the Corporation with the Securities and Exchange Commission pursuant to Section 13, 14 or 15(d) of the Exchange Act; (E) a “</w:t>
      </w:r>
      <w:r>
        <w:rPr>
          <w:rFonts w:ascii="Arial" w:cs="Arial" w:eastAsia="Arial" w:hAnsi="Arial"/>
          <w:sz w:val="18"/>
          <w:szCs w:val="18"/>
          <w:b w:val="1"/>
          <w:bCs w:val="1"/>
          <w:i w:val="1"/>
          <w:iCs w:val="1"/>
          <w:color w:val="auto"/>
        </w:rPr>
        <w:t>Qualified Representative</w:t>
      </w:r>
      <w:r>
        <w:rPr>
          <w:rFonts w:ascii="Arial" w:cs="Arial" w:eastAsia="Arial" w:hAnsi="Arial"/>
          <w:sz w:val="18"/>
          <w:szCs w:val="18"/>
          <w:color w:val="auto"/>
        </w:rPr>
        <w:t>” of a Noticing Party means (I) a duly authorized officer, manager or partner of such Noticing Party or (II) a person authorized by a writing executed by such Noticing Party (or a reliable reproduction or electronic transmission of the writing)</w:t>
      </w:r>
    </w:p>
    <w:p>
      <w:pPr>
        <w:spacing w:after="0" w:line="123" w:lineRule="exact"/>
        <w:rPr>
          <w:rFonts w:ascii="Arial" w:cs="Arial" w:eastAsia="Arial" w:hAnsi="Arial"/>
          <w:sz w:val="18"/>
          <w:szCs w:val="18"/>
          <w:color w:val="auto"/>
        </w:rPr>
      </w:pPr>
    </w:p>
    <w:p>
      <w:pPr>
        <w:ind w:left="5083" w:hanging="111"/>
        <w:spacing w:after="0"/>
        <w:tabs>
          <w:tab w:leader="none" w:pos="5083" w:val="left"/>
        </w:tabs>
        <w:numPr>
          <w:ilvl w:val="2"/>
          <w:numId w:val="20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783"/>
          </w:cols>
          <w:pgMar w:left="777" w:top="274" w:right="339" w:bottom="1440" w:gutter="0" w:footer="0" w:header="0"/>
        </w:sectPr>
      </w:pPr>
    </w:p>
    <w:bookmarkStart w:id="374" w:name="page375"/>
    <w:bookmarkEnd w:id="374"/>
    <w:p>
      <w:pPr>
        <w:ind w:left="460"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delivered by such Noticing Party to the Corporation prior to the making of any nomination or proposal at a stockholder meeting stating that such person is authorized to act for such Noticing Party as proxy at the meeting of stockholders, which writing or electronic transmission, or a reliable reproduction of the writing or electronic transmission, must be produced at the meeting of stockholders; (F) “</w:t>
      </w:r>
      <w:r>
        <w:rPr>
          <w:rFonts w:ascii="Arial" w:cs="Arial" w:eastAsia="Arial" w:hAnsi="Arial"/>
          <w:sz w:val="16"/>
          <w:szCs w:val="16"/>
          <w:b w:val="1"/>
          <w:bCs w:val="1"/>
          <w:i w:val="1"/>
          <w:iCs w:val="1"/>
          <w:color w:val="auto"/>
        </w:rPr>
        <w:t>Short Interest</w:t>
      </w:r>
      <w:r>
        <w:rPr>
          <w:rFonts w:ascii="Arial" w:cs="Arial" w:eastAsia="Arial" w:hAnsi="Arial"/>
          <w:sz w:val="16"/>
          <w:szCs w:val="16"/>
          <w:color w:val="auto"/>
        </w:rPr>
        <w:t>” shall mean any agreement, arrangement, understanding, relationship or otherwise, including, without limitation, any repurchase or similar so-called “stock borrowing” agreement or arrangement, involving any Noticing Party or any Stockholder Associated Person of any Noticing Party directly or indirectly, the purpose or effect of which is to mitigate loss to, reduce the economic risk (of ownership or otherwise) of any class or series of shares of the Corporation by, manage the risk of share price changes for, or increase or decrease the voting power of, such Noticing Party or any Stockholder Associated Person of any Noticing Party with respect to any class or series of shares of the Corporation, or which provides, directly or indirectly, the opportunity to profit or share in any profit derived from any decrease in the price or value of any class or series of shares of the Corporation; and (G) “</w:t>
      </w:r>
      <w:r>
        <w:rPr>
          <w:rFonts w:ascii="Arial" w:cs="Arial" w:eastAsia="Arial" w:hAnsi="Arial"/>
          <w:sz w:val="16"/>
          <w:szCs w:val="16"/>
          <w:b w:val="1"/>
          <w:bCs w:val="1"/>
          <w:i w:val="1"/>
          <w:iCs w:val="1"/>
          <w:color w:val="auto"/>
        </w:rPr>
        <w:t>Stockholder Associated Person</w:t>
      </w:r>
      <w:r>
        <w:rPr>
          <w:rFonts w:ascii="Arial" w:cs="Arial" w:eastAsia="Arial" w:hAnsi="Arial"/>
          <w:sz w:val="16"/>
          <w:szCs w:val="16"/>
          <w:color w:val="auto"/>
        </w:rPr>
        <w:t>” shall mean, with respect to any Noticing Party, (I) any person directly or indirectly controlling, controlled by, under common control with such Noticing Party, (II) any member of the immediate family of such Noticing Party sharing the same household, (III) any person who is a member of a “group” (as such term is used in Rule 13d-5 under the Exchange Act (or any successor provision at law)) with or otherwise acting in concert with such Noticing Party or Stockholder Associated Person with respect to the stock of the Corporation, (IV) any beneficial owner of shares of stock of the Corporation owned of record by such Noticing Party or Stockholder Associated Person (other than a stockholder that is a depositary), (V) any affiliate or associate of such Noticing Party or any Stockholder Associated Person, (VI) any participant (as defined in paragraphs (a)(ii)-(vi) of Instruction 3 to Item 4 of Schedule 14A) with such Noticing Party or Stockholder Associated Person with respect to any proposed business or nominations, as applicable, and (VII) any Proposed Nominee.</w:t>
      </w:r>
    </w:p>
    <w:p>
      <w:pPr>
        <w:spacing w:after="0" w:line="1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Number</w:t>
      </w:r>
      <w:r>
        <w:rPr>
          <w:rFonts w:ascii="Arial" w:cs="Arial" w:eastAsia="Arial" w:hAnsi="Arial"/>
          <w:sz w:val="18"/>
          <w:szCs w:val="18"/>
          <w:color w:val="auto"/>
        </w:rPr>
        <w:t>. Within the limit set forth in the Certificate of Incorporation, the number of directors that shall constitute the entire Board shall be fixed, from time to time, exclusively by the Board, subject to the rights of the holders of any series of preferred stock with respect to the election of directors, if any.</w:t>
      </w:r>
    </w:p>
    <w:p>
      <w:pPr>
        <w:spacing w:after="0" w:line="184"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and affairs of the Corporation shall be managed by or under the direction of the Board, which may exercise all such powers of the Corporation and do all such lawful acts and things as are not by law or by the Certificate of Incorporation required to be exercised or done by the stockholders.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4" w:right="359" w:bottom="1440" w:gutter="0" w:footer="0" w:header="0"/>
        </w:sectPr>
      </w:pPr>
    </w:p>
    <w:bookmarkStart w:id="375" w:name="page376"/>
    <w:bookmarkEnd w:id="375"/>
    <w:p>
      <w:pPr>
        <w:ind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2.3. </w:t>
      </w:r>
      <w:r>
        <w:rPr>
          <w:rFonts w:ascii="Arial" w:cs="Arial" w:eastAsia="Arial" w:hAnsi="Arial"/>
          <w:sz w:val="18"/>
          <w:szCs w:val="18"/>
          <w:u w:val="single" w:color="auto"/>
          <w:color w:val="auto"/>
        </w:rPr>
        <w:t>Meetings</w:t>
      </w:r>
      <w:r>
        <w:rPr>
          <w:rFonts w:ascii="Arial" w:cs="Arial" w:eastAsia="Arial" w:hAnsi="Arial"/>
          <w:sz w:val="18"/>
          <w:szCs w:val="18"/>
          <w:color w:val="auto"/>
        </w:rPr>
        <w:t>. The Board may hold meetings, both regular and special, either within or without the State of Delaware. Regular meetings of the Board may be held at such time and at such place as may from time to time be determined by the Board. Special meetings of the Board may be called by the Chairperson of the Board (if there be one), the Chief Executive Officer or the Board and shall be held at such place, on such date and at such time as he, she or it shall specify.</w:t>
      </w:r>
    </w:p>
    <w:p>
      <w:pPr>
        <w:spacing w:after="0" w:line="18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Notice of any meeting of the Board stating the place, date and time of the meeting shall be given to each director by mail posted not less than five (5) days before the date of the meeting, by nationally recognized overnight courier deposited not less than two (2) days before the date of the meeting or by email, facsimile or other means of electronic transmission delivered or sent not less than twenty-four (24) hours before the date and time of the meeting, or on such shorter notice as the person or persons calling such meeting may deem necessary or appropriate in the circumstances. If mailed or sent by overnight courier, such notice shall be deemed to be given at the time when it is deposited in the United States mail with first class postage prepaid or deposited with the overnight courier. Notice by facsimile or other electronic transmission shall be deemed given when the notice is transmitted. Any director may waive notice of any meeting before or after the meeting. The attendance of a director at any meeting shall constitute a waiver of notice of such meeting, except where the director attends the meeting for the express purpose of objecting, and does so object, at the beginning of the meeting to the transaction of any business because the meeting is not lawfully called or convened. Neither the business to be transacted at, nor the purpose of, any regular or special meeting of the Board need be specified in any notice of such meeting unless so required by law. A meeting may be held at any time without notice if all of the directors are present or if those not present waive notice of the meeting in accordance with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of these Bylaws.</w:t>
      </w:r>
    </w:p>
    <w:p>
      <w:pPr>
        <w:spacing w:after="0" w:line="172"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xml:space="preserve">. The Chairperson of the Board shall be chosen from among the directors and may be the Chief Executive Officer. Except as otherwise provided by law, the Certificate of Incorporation or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of these Bylaws, the Chairperson of the Board shall preside at all meetings of stockholders and of the Board. The Chairperson of the Board shall have such other powers and duties as may from time to time be assigned by the Board.</w:t>
      </w:r>
    </w:p>
    <w:p>
      <w:pPr>
        <w:spacing w:after="0" w:line="187"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Lead Director</w:t>
      </w:r>
      <w:r>
        <w:rPr>
          <w:rFonts w:ascii="Arial" w:cs="Arial" w:eastAsia="Arial" w:hAnsi="Arial"/>
          <w:sz w:val="17"/>
          <w:szCs w:val="17"/>
          <w:color w:val="auto"/>
        </w:rPr>
        <w:t>. The Board may include a Lead Director. The Lead Director shall be one of the directors who has been determined by the Board to be an “independent director” (any such director, an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The Lead Director shall preside at all meetings of the Board at which the Chairperson of the Board is not present, preside over the executive sessions of the Independent Directors, serve as a liaison between the Chairperson of the Board and the Board and have such other responsibilities, and perform such duties, as may from time to time be assigned to him or her by the Board. The Lead Director shall be elected by a majority of the Independent Directors.</w:t>
      </w:r>
    </w:p>
    <w:p>
      <w:pPr>
        <w:spacing w:after="0" w:line="17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the Chairperson of the Board, or, in the Chairperson’s absence, the Lead Director, or, in the Lead Director’s absence, a director chosen by a majority of the directors present, shall act as chairperson. The Secretary shall act as secretary at each meeting of the Board. In case the Secretary shall be absent from any meeting of the Board, an assistant secretary shall perform the duties of secretary at such meeting, and in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274" w:right="359" w:bottom="1440" w:gutter="0" w:footer="0" w:header="0"/>
        </w:sectPr>
      </w:pPr>
    </w:p>
    <w:bookmarkStart w:id="376" w:name="page377"/>
    <w:bookmarkEnd w:id="376"/>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absence from any such meeting of the Secretary and all assistant secretaries, the chairperson of the meeting may appoint any person to act as secretary of the meeting.</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Resignations and Removals of Directors</w:t>
      </w:r>
      <w:r>
        <w:rPr>
          <w:rFonts w:ascii="Arial" w:cs="Arial" w:eastAsia="Arial" w:hAnsi="Arial"/>
          <w:sz w:val="18"/>
          <w:szCs w:val="18"/>
          <w:color w:val="auto"/>
        </w:rPr>
        <w:t>. Any director of the Corporation may resign at any time, by giving notice in writing or by electronic transmission to the Chairperson of the Board, the Chief Executive Officer or the Secretary. Such resignation shall be effective upon receipt unless it is specified to be effective at some other time or upon the occurrence of some other event, and, unless otherwise specified in such notice, the acceptance of such resignation shall not be necessary to make it effective. Subject to the rights of holders of any series of preferred stock with respect to the election of directors, a director may be removed from office by the stockholders of the Corporation only for cause and only by the affirmative vote of the holders of at least a majority of the voting power of all then outstanding shares of capital stock of the Corporation entitled to vote generally in the election of directors, voting together as a single class.</w:t>
      </w:r>
    </w:p>
    <w:p>
      <w:pPr>
        <w:spacing w:after="0" w:line="19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Quorum</w:t>
      </w:r>
      <w:r>
        <w:rPr>
          <w:rFonts w:ascii="Arial" w:cs="Arial" w:eastAsia="Arial" w:hAnsi="Arial"/>
          <w:sz w:val="18"/>
          <w:szCs w:val="18"/>
          <w:color w:val="auto"/>
        </w:rPr>
        <w:t>. At all meetings of the Board, a majority of directors constituting the Board shall constitute a quorum for the transaction of business, and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of the time and place of the adjourned meeting, until a quorum shall be present.</w:t>
      </w:r>
    </w:p>
    <w:p>
      <w:pPr>
        <w:spacing w:after="0" w:line="187" w:lineRule="exact"/>
        <w:rPr>
          <w:sz w:val="20"/>
          <w:szCs w:val="20"/>
          <w:color w:val="auto"/>
        </w:rPr>
      </w:pPr>
    </w:p>
    <w:p>
      <w:pPr>
        <w:ind w:right="440" w:firstLine="449"/>
        <w:spacing w:after="0" w:line="31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Actions of the Board by Written Consent</w:t>
      </w:r>
      <w:r>
        <w:rPr>
          <w:rFonts w:ascii="Arial" w:cs="Arial" w:eastAsia="Arial" w:hAnsi="Arial"/>
          <w:sz w:val="16"/>
          <w:szCs w:val="16"/>
          <w:color w:val="auto"/>
        </w:rPr>
        <w:t>. Any action required or permitted to be taken at any meeting of the Board or of any committee thereof may be taken without a meeting, if all the members of the Board or committee, as the case may be, consent thereto in writing or by electronic transmission, and the writing or writings or electronic transmission are filed with the minutes of proceedings of the Board or committee.</w:t>
      </w:r>
    </w:p>
    <w:p>
      <w:pPr>
        <w:spacing w:after="0" w:line="149"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Telephonic Meetings</w:t>
      </w:r>
      <w:r>
        <w:rPr>
          <w:rFonts w:ascii="Arial" w:cs="Arial" w:eastAsia="Arial" w:hAnsi="Arial"/>
          <w:sz w:val="17"/>
          <w:szCs w:val="17"/>
          <w:color w:val="auto"/>
        </w:rPr>
        <w:t xml:space="preserve">. Members of the Board, or any committee thereof, may participate in a meeting of the Board or such committee by means of a conference telephone or other communications equipment by means of which all persons participating in the meeting can hear and speak with each other, and participation in a meeting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constitute presence in person at such meeting.</w:t>
      </w:r>
    </w:p>
    <w:p>
      <w:pPr>
        <w:spacing w:after="0" w:line="165"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may designate one or more committees, each committee to consist of one or more of the directors of the Corporation and, to the extent permitted by law, to have and exercise such authority as may be provided for in the resolutions creating such committee, as such resolutions may be amended from time to time. The Board may designate one or more directors as alternate members of any committee, who may replace any absent or disqualified member at any meeting of any such committee.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member of the Board to act at the meeting in the place of any absent or disqualified member. Each committee shall keep regular minutes and report to the Board when required. A majority of any committee may determine its action and fix the time and place of its meetings, unless the Board shall otherwise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 The Board shall have the power at any time to fill vacancies in, to change the membership of or to dissolve any such committee.</w:t>
      </w:r>
    </w:p>
    <w:p>
      <w:pPr>
        <w:spacing w:after="0" w:line="22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shall have the authority to fix the compensation of directors. The directors shall be paid their reasonable expenses, if any, of attendance at each meeting of the Board or any committee thereof and may be paid a fixed sum for attendance at each such meeting and an annual retainer or salary for service as director or committee member, payable in cash or securities. No such payment shall preclude any director from serving the Corporation in any other capacity and receiving compensation therefor. Directors who are full-time employees of the Corporation shall not receive any compensation for their service as director.</w:t>
      </w:r>
    </w:p>
    <w:p>
      <w:pPr>
        <w:spacing w:after="0" w:line="18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or the committee and the Board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Interested directors may be counted in determining the presence of a quorum at a meeting of the Board or of a committee that authorizes the contract or transaction.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w:t>
      </w:r>
      <w:r>
        <w:rPr>
          <w:rFonts w:ascii="Arial" w:cs="Arial" w:eastAsia="Arial" w:hAnsi="Arial"/>
          <w:sz w:val="18"/>
          <w:szCs w:val="18"/>
          <w:color w:val="auto"/>
        </w:rPr>
        <w:t>. The officers of the Corporation shall be chosen by the Board (or, in the case of any officer other than the Chief Executive Officer, by either the Board or the Chief Executive Officer) and shall be a Chief Executive Officer, a Chief Financial Officer, a President, a Secretary and a Treasurer. The Board or the Chief Executive Officer, in their discretion, may also choose one or more Executive Vice Presidents, Senior Vice Presidents, Vice Presidents, Assistant Secretaries, Assistant Treasurers and such other officers as either the Board or the Chief Executive Officer, as applicable, from time to time may deem appropriate. Any two or more offices may be held by the same person. The officers of the Corporation need not be stockholders of the Corporation.</w:t>
      </w:r>
    </w:p>
    <w:p>
      <w:pPr>
        <w:spacing w:after="0" w:line="192"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Election; Term</w:t>
      </w:r>
      <w:r>
        <w:rPr>
          <w:rFonts w:ascii="Arial" w:cs="Arial" w:eastAsia="Arial" w:hAnsi="Arial"/>
          <w:sz w:val="18"/>
          <w:szCs w:val="18"/>
          <w:color w:val="auto"/>
        </w:rPr>
        <w:t>. The Board (or, in the case of any officer other than the Chief Executive Officer, either the Board or the Chief Executive Officer) shall elect the officers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274" w:right="359" w:bottom="1440" w:gutter="0" w:footer="0" w:header="0"/>
        </w:sectPr>
      </w:pPr>
    </w:p>
    <w:bookmarkStart w:id="378" w:name="page379"/>
    <w:bookmarkEnd w:id="37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Corporation who shall hold their offices for such terms and shall exercise such powers and perform such duties as shall be determined from time to time by the Board or the Chief Executive Officer, as applicable, and each officer of the Corporation shall hold office until such officer’s successor is elected and qualified, or until such officer’s earlier death, resignation or removal. Any officer may be removed at any time by the Board or the Chief Executive Officer. Any officer may resign upon notice given in writing or electronic transmission to the Chief Executive Officer or the Secretary. Such resignation shall be effective upon receipt unless it is specified to be effective at some other time or upon the occurrence of some other event. Any vacancy occurring in any office of the Corporation shall be filled in the manner prescribed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for the regular election to such office.</w:t>
      </w:r>
    </w:p>
    <w:p>
      <w:pPr>
        <w:spacing w:after="0" w:line="164"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Voting Securities Owned by the Corporation</w:t>
      </w:r>
      <w:r>
        <w:rPr>
          <w:rFonts w:ascii="Arial" w:cs="Arial" w:eastAsia="Arial" w:hAnsi="Arial"/>
          <w:sz w:val="18"/>
          <w:szCs w:val="18"/>
          <w:color w:val="auto"/>
        </w:rPr>
        <w:t>. Powers of attorney, proxies, waivers of notice of meeting, consents and other instruments relating to securities owned by the Corporation may be executed in the name of and on behalf of the Corporation by the Chief Executive Officer, the Secretary or any other officer authorized to 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spacing w:after="0" w:line="195"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subject to the control of the Board, have general supervision over the business of the Corporation and shall direct the affairs and policies of the Corporation. The Chief Executive Officer may also serve as Chairperson of the Board and may also serve as President, if so elected by the Board. The Chief Executive Officer shall also perform such other duties and may exercise such other powers as may from time to time be assigned to such officer by these Bylaws or by the Board.</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act in a general executive capacity and shall assist the Chief Executive Officer in the administration and operation of the Corporation’s business and general supervision of its policies and affairs. The President shall, in the absence of or because of the inability to act of the Chief Executive Officer, perform all duties of the Chief Executive Officer. The President shall also perform such other duties and may exercise such other powers as may from time to time be assigned to such officer by these Bylaws, the Board or the Chief Executive Officer.</w:t>
      </w:r>
    </w:p>
    <w:p>
      <w:pPr>
        <w:spacing w:after="0" w:line="17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The Chief Financial Officer shall also perform such other duties and may exercise such other powers as may from time to time be assigned to such officer by these Bylaws, the Board or the Chief Executive Officer.</w:t>
      </w:r>
    </w:p>
    <w:p>
      <w:pPr>
        <w:spacing w:after="0" w:line="184"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Executive Vice Presidents, Senior Vice Presidents and Vice Presidents</w:t>
      </w:r>
      <w:r>
        <w:rPr>
          <w:rFonts w:ascii="Arial" w:cs="Arial" w:eastAsia="Arial" w:hAnsi="Arial"/>
          <w:sz w:val="18"/>
          <w:szCs w:val="18"/>
          <w:color w:val="auto"/>
        </w:rPr>
        <w:t>. The Executive Vice Presidents (if any), Senior Vice Presidents (if any) and such other Vice Presidents as shall have been chosen by the Board shall have such powers and shall perform such duties as shall be assigned to them by the Board or the Chief Executive Officer.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4" w:right="339" w:bottom="1440" w:gutter="0" w:footer="0" w:header="0"/>
        </w:sectPr>
      </w:pPr>
    </w:p>
    <w:bookmarkStart w:id="379" w:name="page380"/>
    <w:bookmarkEnd w:id="379"/>
    <w:p>
      <w:pPr>
        <w:ind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3.8.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give the requisite notice of meetings of stockholders and directors and shall record the proceedings of such meetings, shall have custody of the seal of the Corporation and shall affix it or cause it to be affixed to such instruments as require the seal and attest it and, besides the Secretary’s powers and duties prescribed by law, shall have such other powers and perform such other duties as shall at any time be assigned to such officer by the Board or the Chief Executive Officer.</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The Treasurer shall have such other powers and perform such other duties as shall at any time be assigned to such officer by the Board or the Chief Executive Officer.</w:t>
      </w:r>
    </w:p>
    <w:p>
      <w:pPr>
        <w:spacing w:after="0" w:line="187"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Assistant Secretaries</w:t>
      </w:r>
      <w:r>
        <w:rPr>
          <w:rFonts w:ascii="Arial" w:cs="Arial" w:eastAsia="Arial" w:hAnsi="Arial"/>
          <w:sz w:val="17"/>
          <w:szCs w:val="17"/>
          <w:color w:val="auto"/>
        </w:rPr>
        <w:t>. Assistant Secretaries, if there be any, shall assist the Secretary in the discharge of the Secretary’s duties, shall have such powers and perform such other duties as shall at any time be assigned to them by the Board and, in the absence or disability of the Secretary, shall perform the duties of the Secretary’s office, subject to the control of the Board or the Chief Executive Officer.</w:t>
      </w:r>
    </w:p>
    <w:p>
      <w:pPr>
        <w:spacing w:after="0" w:line="165" w:lineRule="exact"/>
        <w:rPr>
          <w:sz w:val="20"/>
          <w:szCs w:val="20"/>
          <w:color w:val="auto"/>
        </w:rPr>
      </w:pPr>
    </w:p>
    <w:p>
      <w:pPr>
        <w:ind w:right="220" w:firstLine="449"/>
        <w:spacing w:after="0" w:line="286"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Assistant Treasurers</w:t>
      </w:r>
      <w:r>
        <w:rPr>
          <w:rFonts w:ascii="Arial" w:cs="Arial" w:eastAsia="Arial" w:hAnsi="Arial"/>
          <w:sz w:val="17"/>
          <w:szCs w:val="17"/>
          <w:color w:val="auto"/>
        </w:rPr>
        <w:t>. Assistant Treasurers, if there be any, shall assist the Treasurer in the discharge of the Treasurer’s duties, shall have such powers and perform such other duties as shall at any time be assigned to them by the Board and, in the absence or disability of the Treasurer, shall perform the duties of the Treasurer’s office, subject to the control of the Board or the Chief Executive Officer.</w:t>
      </w:r>
    </w:p>
    <w:p>
      <w:pPr>
        <w:spacing w:after="0" w:line="16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or the Chief Executive Officer may choose shall perform such duties and have such powers as from time to time may be assigned to them by the Board or the Chief Executive Officer. The Board may delegate to any other officer of the Corporation the power to choose such other officers and to prescribe their respective duties and powers.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w:t>
      </w:r>
    </w:p>
    <w:p>
      <w:pPr>
        <w:spacing w:after="0" w:line="211"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Uncertificated Shares</w:t>
      </w:r>
      <w:r>
        <w:rPr>
          <w:rFonts w:ascii="Arial" w:cs="Arial" w:eastAsia="Arial" w:hAnsi="Arial"/>
          <w:sz w:val="17"/>
          <w:szCs w:val="17"/>
          <w:color w:val="auto"/>
        </w:rPr>
        <w:t>. Unless otherwise provided by resolution of the Board, each class or series of shares of the Corporation’s capital stock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71"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274" w:right="359" w:bottom="1440" w:gutter="0" w:footer="0" w:header="0"/>
        </w:sectPr>
      </w:pPr>
    </w:p>
    <w:bookmarkStart w:id="380" w:name="page381"/>
    <w:bookmarkEnd w:id="3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record date shall not precede the date upon which the resolution fixing the record date is adopted and which record date shall be not more than sixty</w:t>
      </w:r>
    </w:p>
    <w:p>
      <w:pPr>
        <w:spacing w:after="0" w:line="46" w:lineRule="exact"/>
        <w:rPr>
          <w:sz w:val="20"/>
          <w:szCs w:val="20"/>
          <w:color w:val="auto"/>
        </w:rPr>
      </w:pPr>
    </w:p>
    <w:p>
      <w:pPr>
        <w:ind w:right="60" w:firstLine="8"/>
        <w:spacing w:after="0" w:line="260" w:lineRule="auto"/>
        <w:tabs>
          <w:tab w:leader="none" w:pos="34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days prior to such action. If no record date is fixed, the record date for determining stockholders for any such purpose shall be the close of business on the day on which the Board adopts the resolution relating thereto.</w:t>
      </w:r>
    </w:p>
    <w:p>
      <w:pPr>
        <w:spacing w:after="0" w:line="185"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Record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agencies and registry offices or agencies at such place or places as may be determined from time to time by the Board.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Contracts</w:t>
      </w:r>
      <w:r>
        <w:rPr>
          <w:rFonts w:ascii="Arial" w:cs="Arial" w:eastAsia="Arial" w:hAnsi="Arial"/>
          <w:sz w:val="16"/>
          <w:szCs w:val="16"/>
          <w:color w:val="auto"/>
        </w:rPr>
        <w:t>. The Board may authorize any officer or officers or any agent or agents to enter into any contract or execute and deliver any instrument or other document in the name of and on behalf of the Corporation, and such authority may be general or confined to specific instances.</w:t>
      </w:r>
    </w:p>
    <w:p>
      <w:pPr>
        <w:spacing w:after="0" w:line="12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may from time to time designate.</w:t>
      </w:r>
    </w:p>
    <w:p>
      <w:pPr>
        <w:spacing w:after="0" w:line="170"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the 31</w:t>
      </w:r>
      <w:r>
        <w:rPr>
          <w:rFonts w:ascii="Arial" w:cs="Arial" w:eastAsia="Arial" w:hAnsi="Arial"/>
          <w:sz w:val="15"/>
          <w:szCs w:val="15"/>
          <w:color w:val="auto"/>
        </w:rPr>
        <w:t>st</w:t>
      </w:r>
      <w:r>
        <w:rPr>
          <w:rFonts w:ascii="Arial" w:cs="Arial" w:eastAsia="Arial" w:hAnsi="Arial"/>
          <w:sz w:val="18"/>
          <w:szCs w:val="18"/>
          <w:color w:val="auto"/>
        </w:rPr>
        <w:t xml:space="preserve"> day of December in each year or on such other day as may be fixed from time to time by resolution of the Board.</w:t>
      </w:r>
    </w:p>
    <w:p>
      <w:pPr>
        <w:spacing w:after="0" w:line="170"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Corporate 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otherwise reproduced.</w:t>
      </w:r>
    </w:p>
    <w:p>
      <w:pPr>
        <w:spacing w:after="0" w:line="146" w:lineRule="exact"/>
        <w:rPr>
          <w:sz w:val="20"/>
          <w:szCs w:val="20"/>
          <w:color w:val="auto"/>
        </w:rPr>
      </w:pPr>
    </w:p>
    <w:p>
      <w:pPr>
        <w:ind w:right="340" w:firstLine="449"/>
        <w:spacing w:after="0" w:line="286"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Offices</w:t>
      </w:r>
      <w:r>
        <w:rPr>
          <w:rFonts w:ascii="Arial" w:cs="Arial" w:eastAsia="Arial" w:hAnsi="Arial"/>
          <w:sz w:val="17"/>
          <w:szCs w:val="17"/>
          <w:color w:val="auto"/>
        </w:rPr>
        <w:t>. The Corporation shall maintain a registered office inside the State of Delaware and may also have other offices outside or inside the State of Delaware. The books of the Corporation may be kept (subject to any applicable law) outside the State of Delaware at the principal executive offices of the Corporation or at such other place or places as may be designated from time to time by the Board.</w:t>
      </w:r>
    </w:p>
    <w:p>
      <w:pPr>
        <w:spacing w:after="0" w:line="16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is required to be given to any stockholder or director of the Corporation under the provisions of the DGCL or these Bylaws, a waiver thereof in writing, signed by the person or persons entitled to such notice, or a waiver by electronic transmission by the person or persons entitled to such notice, whether before or after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74" w:right="339" w:bottom="1440" w:gutter="0" w:footer="0" w:header="0"/>
        </w:sectPr>
      </w:pPr>
    </w:p>
    <w:bookmarkStart w:id="381" w:name="page382"/>
    <w:bookmarkEnd w:id="381"/>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time stated therein, shall be deemed equivalent to the giving of such notice. Neither the business to be transacted at, nor the purpose of, any annual or special meeting of the stockholders or any regular or special meeting of the Board or committee thereof need be specified in any waiver of notice of such meeting unless so required by law.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below, these Bylaws may be adopted, amended, altered or repealed by the Board or by the stockholders of the Corporation by the affirmative vote of the holders of at least a majority of the voting power of all then outstanding shares of capital stock of the Corporation entitled to vote generally in the election of directors, voting together as a single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any adoption, amendment, alteration or repeal of these Bylaws by the stockholders of the Corporation, notwithstanding any other provision of these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w:t>
      </w:r>
      <w:r>
        <w:rPr>
          <w:rFonts w:ascii="Arial" w:cs="Arial" w:eastAsia="Arial" w:hAnsi="Arial"/>
          <w:sz w:val="18"/>
          <w:szCs w:val="18"/>
          <w:u w:val="single" w:color="auto"/>
          <w:color w:val="auto"/>
        </w:rPr>
        <w:t>Section 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1.16</w:t>
      </w:r>
      <w:r>
        <w:rPr>
          <w:rFonts w:ascii="Arial" w:cs="Arial" w:eastAsia="Arial" w:hAnsi="Arial"/>
          <w:sz w:val="18"/>
          <w:szCs w:val="18"/>
          <w:color w:val="auto"/>
        </w:rPr>
        <w:t xml:space="preserve">, </w:t>
      </w:r>
      <w:r>
        <w:rPr>
          <w:rFonts w:ascii="Arial" w:cs="Arial" w:eastAsia="Arial" w:hAnsi="Arial"/>
          <w:sz w:val="18"/>
          <w:szCs w:val="18"/>
          <w:u w:val="single" w:color="auto"/>
          <w:color w:val="auto"/>
        </w:rPr>
        <w:t>1.17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these Bylaws.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EMERGENCY BYLAWS</w:t>
      </w:r>
    </w:p>
    <w:p>
      <w:pPr>
        <w:spacing w:after="0" w:line="211"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Emergency Bylaws</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operative during any emergency, disaster or catastrophe, as referred to in Section 110 of the DGCL, or other similar emergency condition (including, without limitation, a pandemic), as a result of which a quorum of the Board or a committee thereof cannot readily be convened for action (each, an “</w:t>
      </w:r>
      <w:r>
        <w:rPr>
          <w:rFonts w:ascii="Arial" w:cs="Arial" w:eastAsia="Arial" w:hAnsi="Arial"/>
          <w:sz w:val="17"/>
          <w:szCs w:val="17"/>
          <w:b w:val="1"/>
          <w:bCs w:val="1"/>
          <w:i w:val="1"/>
          <w:iCs w:val="1"/>
          <w:color w:val="auto"/>
        </w:rPr>
        <w:t>Emergency</w:t>
      </w:r>
      <w:r>
        <w:rPr>
          <w:rFonts w:ascii="Arial" w:cs="Arial" w:eastAsia="Arial" w:hAnsi="Arial"/>
          <w:sz w:val="17"/>
          <w:szCs w:val="17"/>
          <w:color w:val="auto"/>
        </w:rPr>
        <w:t xml:space="preserve">”), notwithstanding any different or conflicting provision of the preceding Sections of these Bylaws or in the Certificate of Incorporation. To the extent not inconsistent with the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the preceding Sections of these Bylaws and the provisions of the Certificate of Incorporation shall remain in effect during such Emergency, and upon termination of such Emergency, the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cease to be operative unless and until another Emergency shall occur.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74" w:right="339" w:bottom="1440" w:gutter="0" w:footer="0" w:header="0"/>
        </w:sectPr>
      </w:pPr>
    </w:p>
    <w:bookmarkStart w:id="382" w:name="page383"/>
    <w:bookmarkEnd w:id="382"/>
    <w:p>
      <w:pPr>
        <w:ind w:right="20" w:firstLine="449"/>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7.2 </w:t>
      </w:r>
      <w:r>
        <w:rPr>
          <w:rFonts w:ascii="Arial" w:cs="Arial" w:eastAsia="Arial" w:hAnsi="Arial"/>
          <w:sz w:val="16"/>
          <w:szCs w:val="16"/>
          <w:u w:val="single" w:color="auto"/>
          <w:color w:val="auto"/>
        </w:rPr>
        <w:t>Meetings; Notice</w:t>
      </w:r>
      <w:r>
        <w:rPr>
          <w:rFonts w:ascii="Arial" w:cs="Arial" w:eastAsia="Arial" w:hAnsi="Arial"/>
          <w:sz w:val="16"/>
          <w:szCs w:val="16"/>
          <w:color w:val="auto"/>
        </w:rPr>
        <w:t>. During any Emergency, a meeting of the Board or any committee thereof may be called by any member of the Board or such committee or the Chair of the Board, the Chief Executive Officer, the President or the Secretary of the Corporation. Notice of the place, date and time of the meeting shall be given by any available means of communication by the person calling the meeting to such of the directors or committee members and Designated Officers (as defined below) as, in the judgment of the person calling the meeting, it may be feasible to reach. Such notice shall be given at such time in advance of the meeting as, in the judgment of the person calling the meeting, circumstances permit.</w:t>
      </w:r>
    </w:p>
    <w:p>
      <w:pPr>
        <w:spacing w:after="0" w:line="16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u w:val="single" w:color="auto"/>
          <w:color w:val="auto"/>
        </w:rPr>
        <w:t>Section 7.3 Quorum</w:t>
      </w:r>
      <w:r>
        <w:rPr>
          <w:rFonts w:ascii="Arial" w:cs="Arial" w:eastAsia="Arial" w:hAnsi="Arial"/>
          <w:sz w:val="18"/>
          <w:szCs w:val="18"/>
          <w:color w:val="auto"/>
        </w:rPr>
        <w:t xml:space="preserve">. At any meeting of the Board called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above, the presence or participation of one director shall constitute a quorum for the transaction of business, and at any meeting of any committee of the Board called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above, the presence or participation of one committee member shall constitute a quorum for the transaction of business. In the event that no directors are able to attend a meeting of the Board, or any committee thereof, then the Designated Officers in attendance shall serve as directors, or committee members, as the case may be, for the meeting, without any additional quorum requirement and will have full powers to act as directors, or committee members, as the case may be, of the Corporation.</w:t>
      </w:r>
    </w:p>
    <w:p>
      <w:pPr>
        <w:spacing w:after="0" w:line="19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No officer, director or employee of the Corporation acting in accordance with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liable except for willful misconduct.</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At any meeting called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above, the Board, or any committee thereof, as the case may be, may modify, amend or add to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as it deems it to be in the best interests of the Corporation so as to make any provision that may be practical or necessary for the circumstances of the Emergency.</w:t>
      </w:r>
    </w:p>
    <w:p>
      <w:pPr>
        <w:spacing w:after="0" w:line="184"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Repeal or Change</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subject to repeal or change by further action of the Board or by action of the stockholders, but no such repeal or change shall modify the provisions of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above with regard to action taken prior to the time of such repeal or change.</w:t>
      </w:r>
    </w:p>
    <w:p>
      <w:pPr>
        <w:spacing w:after="0" w:line="18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Designated Officer</w:t>
      </w:r>
      <w:r>
        <w:rPr>
          <w:rFonts w:ascii="Arial" w:cs="Arial" w:eastAsia="Arial" w:hAnsi="Arial"/>
          <w:sz w:val="18"/>
          <w:szCs w:val="18"/>
          <w:color w:val="auto"/>
        </w:rPr>
        <w:t>”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officers have been designated by the Board from time to time but in any event prior to such time or times as an Emergency may have occurred.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Adopted as of: October 14, 2020, subject to and effective upon the closing of the Corporation’s initial public offering on its Registration Statement on Form S-1.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274" w:right="359" w:bottom="1440" w:gutter="0" w:footer="0" w:header="0"/>
        </w:sectPr>
      </w:pPr>
    </w:p>
    <w:bookmarkStart w:id="383" w:name="page384"/>
    <w:bookmarkEnd w:id="383"/>
    <w:p>
      <w:pPr>
        <w:ind w:left="91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186055</wp:posOffset>
            </wp:positionV>
            <wp:extent cx="5829300" cy="35401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1">
                      <a:extLst>
                        <a:ext uri="{28A0092B-C50C-407E-A947-70E740481C1C}"/>
                      </a:extLst>
                    </a:blip>
                    <a:srcRect/>
                    <a:stretch>
                      <a:fillRect/>
                    </a:stretch>
                  </pic:blipFill>
                  <pic:spPr bwMode="auto">
                    <a:xfrm>
                      <a:off x="0" y="0"/>
                      <a:ext cx="5829300" cy="354012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0383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2">
                      <a:extLst>
                        <a:ext uri="{28A0092B-C50C-407E-A947-70E740481C1C}"/>
                      </a:extLst>
                    </a:blip>
                    <a:srcRect/>
                    <a:stretch>
                      <a:fillRect/>
                    </a:stretch>
                  </pic:blipFill>
                  <pic:spPr bwMode="auto">
                    <a:xfrm>
                      <a:off x="0" y="0"/>
                      <a:ext cx="7149465" cy="703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2970 Wilderness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 80301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4,791,667 Shares of Common Stock, $0.001 par value per share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We refer to the Registration Statement on Form S-1, File No. 333-249260, filed by Biodesix,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October 2, 2020, under the Securities Act of 1933, as amended (the “</w:t>
      </w:r>
      <w:r>
        <w:rPr>
          <w:rFonts w:ascii="Arial" w:cs="Arial" w:eastAsia="Arial" w:hAnsi="Arial"/>
          <w:sz w:val="18"/>
          <w:szCs w:val="18"/>
          <w:u w:val="single" w:color="auto"/>
          <w:color w:val="auto"/>
        </w:rPr>
        <w:t>Securities Ac</w:t>
      </w:r>
      <w:r>
        <w:rPr>
          <w:rFonts w:ascii="Arial" w:cs="Arial" w:eastAsia="Arial" w:hAnsi="Arial"/>
          <w:sz w:val="18"/>
          <w:szCs w:val="18"/>
          <w:color w:val="auto"/>
        </w:rPr>
        <w:t>t”), as amended by Amendment No. 1, filed with the SEC on October 9, 2020, Amendment No.2, filed with the SEC on October 13, 2020, and Amendment No.3, filed as of the date hereof, (as so amended, the “</w:t>
      </w:r>
      <w:r>
        <w:rPr>
          <w:rFonts w:ascii="Arial" w:cs="Arial" w:eastAsia="Arial" w:hAnsi="Arial"/>
          <w:sz w:val="18"/>
          <w:szCs w:val="18"/>
          <w:u w:val="single" w:color="auto"/>
          <w:color w:val="auto"/>
        </w:rPr>
        <w:t>Registration Statemen</w:t>
      </w:r>
      <w:r>
        <w:rPr>
          <w:rFonts w:ascii="Arial" w:cs="Arial" w:eastAsia="Arial" w:hAnsi="Arial"/>
          <w:sz w:val="18"/>
          <w:szCs w:val="18"/>
          <w:color w:val="auto"/>
        </w:rPr>
        <w:t>t”). The Registration Statement relates to the registration under the Securities Act of 4,791,667 shares (including an aggregate of 625,000 shares that may be sold by the Company pursuant to the exercise of the underwriters’ option to purchase shares to cover overallotments under the Underwriting Agreement (as defined below) of Common Stock, $0.001 par value per share (the “</w:t>
      </w:r>
      <w:r>
        <w:rPr>
          <w:rFonts w:ascii="Arial" w:cs="Arial" w:eastAsia="Arial" w:hAnsi="Arial"/>
          <w:sz w:val="18"/>
          <w:szCs w:val="18"/>
          <w:u w:val="single" w:color="auto"/>
          <w:color w:val="auto"/>
        </w:rPr>
        <w:t>New Shares</w:t>
      </w:r>
      <w:r>
        <w:rPr>
          <w:rFonts w:ascii="Arial" w:cs="Arial" w:eastAsia="Arial" w:hAnsi="Arial"/>
          <w:sz w:val="18"/>
          <w:szCs w:val="18"/>
          <w:color w:val="auto"/>
        </w:rPr>
        <w:t>”), of the Company. The New Shares are to be sold by the Company pursuant to an underwriting agreement among the Company and the Underwriters named therein, the form of which has been filed as Exhibit 1.1 to the Registration Statement (the “</w:t>
      </w:r>
      <w:r>
        <w:rPr>
          <w:rFonts w:ascii="Arial" w:cs="Arial" w:eastAsia="Arial" w:hAnsi="Arial"/>
          <w:sz w:val="18"/>
          <w:szCs w:val="18"/>
          <w:u w:val="single" w:color="auto"/>
          <w:color w:val="auto"/>
        </w:rPr>
        <w:t>Underwriting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w:t>
      </w:r>
      <w:r>
        <w:rPr>
          <w:rFonts w:ascii="Arial" w:cs="Arial" w:eastAsia="Arial" w:hAnsi="Arial"/>
          <w:sz w:val="18"/>
          <w:szCs w:val="18"/>
          <w:color w:val="auto"/>
        </w:rPr>
        <w:t>t”).</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opinion letter is being delivered in accordance with the requirements of Item 601(b)(5) of Regulation S-K under the Securities Act.</w:t>
      </w:r>
    </w:p>
    <w:p>
      <w:pPr>
        <w:spacing w:after="0" w:line="237"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We have examined: (i) the Registration Statement; (ii) the form of the Amended and Restated Certificate of Incorporation (the “</w:t>
      </w:r>
      <w:r>
        <w:rPr>
          <w:rFonts w:ascii="Arial" w:cs="Arial" w:eastAsia="Arial" w:hAnsi="Arial"/>
          <w:sz w:val="17"/>
          <w:szCs w:val="17"/>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Incorporation</w:t>
      </w:r>
      <w:r>
        <w:rPr>
          <w:rFonts w:ascii="Arial" w:cs="Arial" w:eastAsia="Arial" w:hAnsi="Arial"/>
          <w:sz w:val="17"/>
          <w:szCs w:val="17"/>
          <w:color w:val="auto"/>
        </w:rPr>
        <w:t>”) of the Company to be filed with the Secretary of State of the State of Delaware prior to the closing of the sale of the New Shares contemplated by the Registration Statement, filed as Exhibit 3.2 to the Registration Statement; (iii) the form of the Amended and Restated Bylaws of the Company to be effective prior to the closing of the sale of the New Shares contemplated by the Registration Statement, filed as Exhibit 3.4 to the Registration Statement; (iv) the form of the Underwriting Agreement; and (v) the resolutions adopted by the board of directors of the Company relating to the Registration Statement and the issuance of the New Shares by the Company.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 We have also assumed that the Certificate of Incorporation will be approved by all requisite action of the stockholders of the Company and will be duly filed with the Secretary of State of the State of Delaware prior to the sale of the New Shares.</w:t>
      </w:r>
    </w:p>
    <w:p>
      <w:pPr>
        <w:sectPr>
          <w:pgSz w:w="11900" w:h="16838" w:orient="portrait"/>
          <w:cols w:equalWidth="0" w:num="1">
            <w:col w:w="11020"/>
          </w:cols>
          <w:pgMar w:left="440" w:top="121" w:right="43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Biodesix,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pacing w:after="0" w:line="143"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Based on the foregoing, we are of the opinion that the New Shares will be validly issued, fully paid and non-assessable when: (i) the Registration Statement, as finally amended, shall have been declared effective under the Securities Act; (ii) the Company’s board of directors or a duly authorized committee thereof shall have duly adopted final resolutions authorizing the issuance and sale of the New Shares as contemplated by the Registration Statement; and (iii) certificates representing the New Shares shall have been duly executed, countersigned and registered and duly delivered to the purchasers thereof against payment of the agreed consideration therefor in an amount not less than the par value thereof or, if any New Shares are to be issued in uncertificated form, the Company’s books shall reflect the issuance of such New Shares to the purchasers thereof against payment of the agreed consideration therefor in an amount not less than the par value thereof, all in accordance with the Underwriting Agreement as executed and delivered by the parties thereto.</w:t>
      </w:r>
    </w:p>
    <w:p>
      <w:pPr>
        <w:spacing w:after="0" w:line="192"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2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Sidley Austin LLP</w:t>
      </w:r>
    </w:p>
    <w:p>
      <w:pPr>
        <w:sectPr>
          <w:pgSz w:w="11900" w:h="16838" w:orient="portrait"/>
          <w:cols w:equalWidth="0" w:num="1">
            <w:col w:w="10880"/>
          </w:cols>
          <w:pgMar w:left="440" w:top="274" w:right="57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5503545" cy="6083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4">
                      <a:extLst>
                        <a:ext uri="{28A0092B-C50C-407E-A947-70E740481C1C}"/>
                      </a:extLst>
                    </a:blip>
                    <a:srcRect/>
                    <a:stretch>
                      <a:fillRect/>
                    </a:stretch>
                  </pic:blipFill>
                  <pic:spPr bwMode="auto">
                    <a:xfrm>
                      <a:off x="0" y="0"/>
                      <a:ext cx="55035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7 August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Gary A. Pestano,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2970 Wilderness Pl#100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 80301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Gary,</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letter is to inform you that Bio-Rad Laboratories grants permission for Biodesix to use the Bio-Rad ddPCR SARS-CoV-2 assay for commercial diagnostic services and without the need for the use of an additional license from Bio-Rad.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Simon May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Simon May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SVP and General . Digital Biology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Bio-Rad Laboratories, Inc.</w:t>
      </w:r>
    </w:p>
    <w:p>
      <w:pPr>
        <w:sectPr>
          <w:pgSz w:w="11900" w:h="16838" w:orient="portrait"/>
          <w:cols w:equalWidth="0" w:num="1">
            <w:col w:w="11020"/>
          </w:cols>
          <w:pgMar w:left="440" w:top="121" w:right="4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5503545" cy="6083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5">
                      <a:extLst>
                        <a:ext uri="{28A0092B-C50C-407E-A947-70E740481C1C}"/>
                      </a:extLst>
                    </a:blip>
                    <a:srcRect/>
                    <a:stretch>
                      <a:fillRect/>
                    </a:stretch>
                  </pic:blipFill>
                  <pic:spPr bwMode="auto">
                    <a:xfrm>
                      <a:off x="0" y="0"/>
                      <a:ext cx="55035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14 August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Gary A. Pestano, PhD Biodesix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2970 Wilderness Pl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 80301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Pestano,</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letter is to inform you that Bio-Rad Laboratories grants permission for Biodesix to use the Bio-Rad SARS-CoV-2 Total Ab assay for commercial diagnostic services and without the need for the use of an additional license from Bio-Rad.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Bussell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Bussell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SVP, Clinical Diagnostics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Bio-Rad Laboratories, Inc.</w:t>
      </w:r>
    </w:p>
    <w:p>
      <w:pPr>
        <w:sectPr>
          <w:pgSz w:w="11900" w:h="16838" w:orient="portrait"/>
          <w:cols w:equalWidth="0" w:num="1">
            <w:col w:w="11020"/>
          </w:cols>
          <w:pgMar w:left="440" w:top="121" w:right="4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20,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1)"/>
      <w:numFmt w:val="decimal"/>
      <w:start w:val="1"/>
    </w:lvl>
  </w:abstractNum>
  <w:abstractNum w:abstractNumId="1">
    <w:nsid w:val="6A3DD3E8"/>
    <w:multiLevelType w:val="hybridMultilevel"/>
    <w:lvl w:ilvl="0">
      <w:lvlJc w:val="left"/>
      <w:lvlText w:val="(%1)"/>
      <w:numFmt w:val="decimal"/>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1)"/>
      <w:numFmt w:val="decimal"/>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
      <w:numFmt w:val="bullet"/>
      <w:start w:val="1"/>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1)"/>
      <w:numFmt w:val="lowerRoman"/>
      <w:start w:val="2"/>
    </w:lvl>
  </w:abstractNum>
  <w:abstractNum w:abstractNumId="37">
    <w:nsid w:val="2708C9AF"/>
    <w:multiLevelType w:val="hybridMultilevel"/>
    <w:lvl w:ilvl="0">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1)"/>
      <w:numFmt w:val="lowerRoman"/>
      <w:start w:val="3"/>
    </w:lvl>
  </w:abstractNum>
  <w:abstractNum w:abstractNumId="40">
    <w:nsid w:val="4F97E3E4"/>
    <w:multiLevelType w:val="hybridMultilevel"/>
    <w:lvl w:ilvl="0">
      <w:lvlJc w:val="left"/>
      <w:lvlText w:val="•"/>
      <w:numFmt w:val="bullet"/>
      <w:start w:val="1"/>
    </w:lvl>
  </w:abstractNum>
  <w:abstractNum w:abstractNumId="41">
    <w:nsid w:val="53B0A9E"/>
    <w:multiLevelType w:val="hybridMultilevel"/>
    <w:lvl w:ilvl="0">
      <w:lvlJc w:val="left"/>
      <w:lvlText w:val="•"/>
      <w:numFmt w:val="bullet"/>
      <w:start w:val="1"/>
    </w:lvl>
  </w:abstractNum>
  <w:abstractNum w:abstractNumId="42">
    <w:nsid w:val="34FD6B4F"/>
    <w:multiLevelType w:val="hybridMultilevel"/>
    <w:lvl w:ilvl="0">
      <w:lvlJc w:val="left"/>
      <w:lvlText w:val="•"/>
      <w:numFmt w:val="bullet"/>
      <w:start w:val="1"/>
    </w:lvl>
  </w:abstractNum>
  <w:abstractNum w:abstractNumId="43">
    <w:nsid w:val="5915FF32"/>
    <w:multiLevelType w:val="hybridMultilevel"/>
    <w:lvl w:ilvl="0">
      <w:lvlJc w:val="left"/>
      <w:lvlText w:val="•"/>
      <w:numFmt w:val="bullet"/>
      <w:start w:val="1"/>
    </w:lvl>
  </w:abstractNum>
  <w:abstractNum w:abstractNumId="44">
    <w:nsid w:val="56438D15"/>
    <w:multiLevelType w:val="hybridMultilevel"/>
    <w:lvl w:ilvl="0">
      <w:lvlJc w:val="left"/>
      <w:lvlText w:val="•"/>
      <w:numFmt w:val="bullet"/>
      <w:start w:val="1"/>
    </w:lvl>
  </w:abstractNum>
  <w:abstractNum w:abstractNumId="45">
    <w:nsid w:val="519E3149"/>
    <w:multiLevelType w:val="hybridMultilevel"/>
    <w:lvl w:ilvl="0">
      <w:lvlJc w:val="left"/>
      <w:lvlText w:val="•"/>
      <w:numFmt w:val="bullet"/>
      <w:start w:val="1"/>
    </w:lvl>
  </w:abstractNum>
  <w:abstractNum w:abstractNumId="46">
    <w:nsid w:val="2C6E4AFD"/>
    <w:multiLevelType w:val="hybridMultilevel"/>
    <w:lvl w:ilvl="0">
      <w:lvlJc w:val="left"/>
      <w:lvlText w:val="(%1)"/>
      <w:numFmt w:val="decimal"/>
      <w:start w:val="1"/>
    </w:lvl>
  </w:abstractNum>
  <w:abstractNum w:abstractNumId="47">
    <w:nsid w:val="17A1B582"/>
    <w:multiLevelType w:val="hybridMultilevel"/>
    <w:lvl w:ilvl="0">
      <w:lvlJc w:val="left"/>
      <w:lvlText w:val="•"/>
      <w:numFmt w:val="bullet"/>
      <w:start w:val="1"/>
    </w:lvl>
  </w:abstractNum>
  <w:abstractNum w:abstractNumId="48">
    <w:nsid w:val="4DF72E4E"/>
    <w:multiLevelType w:val="hybridMultilevel"/>
    <w:lvl w:ilvl="0">
      <w:lvlJc w:val="left"/>
      <w:lvlText w:val="•"/>
      <w:numFmt w:val="bullet"/>
      <w:start w:val="1"/>
    </w:lvl>
  </w:abstractNum>
  <w:abstractNum w:abstractNumId="49">
    <w:nsid w:val="5046B5A9"/>
    <w:multiLevelType w:val="hybridMultilevel"/>
    <w:lvl w:ilvl="0">
      <w:lvlJc w:val="left"/>
      <w:lvlText w:val="•"/>
      <w:numFmt w:val="bullet"/>
      <w:start w:val="1"/>
    </w:lvl>
  </w:abstractNum>
  <w:abstractNum w:abstractNumId="50">
    <w:nsid w:val="5D888A08"/>
    <w:multiLevelType w:val="hybridMultilevel"/>
    <w:lvl w:ilvl="0">
      <w:lvlJc w:val="left"/>
      <w:lvlText w:val="•"/>
      <w:numFmt w:val="bullet"/>
      <w:start w:val="1"/>
    </w:lvl>
  </w:abstractNum>
  <w:abstractNum w:abstractNumId="51">
    <w:nsid w:val="2A082C70"/>
    <w:multiLevelType w:val="hybridMultilevel"/>
    <w:lvl w:ilvl="0">
      <w:lvlJc w:val="left"/>
      <w:lvlText w:val="•"/>
      <w:numFmt w:val="bullet"/>
      <w:start w:val="1"/>
    </w:lvl>
  </w:abstractNum>
  <w:abstractNum w:abstractNumId="52">
    <w:nsid w:val="5EC6AFD4"/>
    <w:multiLevelType w:val="hybridMultilevel"/>
    <w:lvl w:ilvl="0">
      <w:lvlJc w:val="left"/>
      <w:lvlText w:val="•"/>
      <w:numFmt w:val="bullet"/>
      <w:start w:val="1"/>
    </w:lvl>
  </w:abstractNum>
  <w:abstractNum w:abstractNumId="53">
    <w:nsid w:val="19E21BB2"/>
    <w:multiLevelType w:val="hybridMultilevel"/>
    <w:lvl w:ilvl="0">
      <w:lvlJc w:val="left"/>
      <w:lvlText w:val="•"/>
      <w:numFmt w:val="bullet"/>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1)"/>
      <w:numFmt w:val="decimal"/>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
      <w:numFmt w:val="bullet"/>
      <w:start w:val="1"/>
    </w:lvl>
  </w:abstractNum>
  <w:abstractNum w:abstractNumId="58">
    <w:nsid w:val="4427069A"/>
    <w:multiLevelType w:val="hybridMultilevel"/>
    <w:lvl w:ilvl="0">
      <w:lvlJc w:val="left"/>
      <w:lvlText w:val="•"/>
      <w:numFmt w:val="bullet"/>
      <w:start w:val="1"/>
    </w:lvl>
  </w:abstractNum>
  <w:abstractNum w:abstractNumId="59">
    <w:nsid w:val="B37E80A"/>
    <w:multiLevelType w:val="hybridMultilevel"/>
    <w:lvl w:ilvl="0">
      <w:lvlJc w:val="left"/>
      <w:lvlText w:val="•"/>
      <w:numFmt w:val="bullet"/>
      <w:start w:val="1"/>
    </w:lvl>
    <w:lvl w:ilvl="1">
      <w:lvlJc w:val="left"/>
      <w:lvlText w:val="•"/>
      <w:numFmt w:val="bullet"/>
      <w:start w:val="1"/>
    </w:lvl>
  </w:abstractNum>
  <w:abstractNum w:abstractNumId="60">
    <w:nsid w:val="2157F6BC"/>
    <w:multiLevelType w:val="hybridMultilevel"/>
    <w:lvl w:ilvl="0">
      <w:lvlJc w:val="left"/>
      <w:lvlText w:val="•"/>
      <w:numFmt w:val="bullet"/>
      <w:start w:val="1"/>
    </w:lvl>
  </w:abstractNum>
  <w:abstractNum w:abstractNumId="61">
    <w:nsid w:val="704E1DD5"/>
    <w:multiLevelType w:val="hybridMultilevel"/>
    <w:lvl w:ilvl="0">
      <w:lvlJc w:val="left"/>
      <w:lvlText w:val="•"/>
      <w:numFmt w:val="bullet"/>
      <w:start w:val="1"/>
    </w:lvl>
  </w:abstractNum>
  <w:abstractNum w:abstractNumId="62">
    <w:nsid w:val="57D2F10E"/>
    <w:multiLevelType w:val="hybridMultilevel"/>
    <w:lvl w:ilvl="0">
      <w:lvlJc w:val="left"/>
      <w:lvlText w:val="•"/>
      <w:numFmt w:val="bullet"/>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
      <w:numFmt w:val="bullet"/>
      <w:start w:val="1"/>
    </w:lvl>
    <w:lvl w:ilvl="1">
      <w:lvlJc w:val="left"/>
      <w:lvlText w:val="•"/>
      <w:numFmt w:val="bullet"/>
      <w:start w:val="1"/>
    </w:lvl>
  </w:abstractNum>
  <w:abstractNum w:abstractNumId="65">
    <w:nsid w:val="2E48F044"/>
    <w:multiLevelType w:val="hybridMultilevel"/>
    <w:lvl w:ilvl="0">
      <w:lvlJc w:val="left"/>
      <w:lvlText w:val="•"/>
      <w:numFmt w:val="bullet"/>
      <w:start w:val="1"/>
    </w:lvl>
    <w:lvl w:ilvl="1">
      <w:lvlJc w:val="left"/>
      <w:lvlText w:val="•"/>
      <w:numFmt w:val="bullet"/>
      <w:start w:val="1"/>
    </w:lvl>
  </w:abstractNum>
  <w:abstractNum w:abstractNumId="66">
    <w:nsid w:val="49D0FEAC"/>
    <w:multiLevelType w:val="hybridMultilevel"/>
    <w:lvl w:ilvl="0">
      <w:lvlJc w:val="left"/>
      <w:lvlText w:val="•"/>
      <w:numFmt w:val="bullet"/>
      <w:start w:val="1"/>
    </w:lvl>
    <w:lvl w:ilvl="1">
      <w:lvlJc w:val="left"/>
      <w:lvlText w:val="•"/>
      <w:numFmt w:val="bullet"/>
      <w:start w:val="1"/>
    </w:lvl>
  </w:abstractNum>
  <w:abstractNum w:abstractNumId="67">
    <w:nsid w:val="4BEE5A5B"/>
    <w:multiLevelType w:val="hybridMultilevel"/>
    <w:lvl w:ilvl="0">
      <w:lvlJc w:val="left"/>
      <w:lvlText w:val="•"/>
      <w:numFmt w:val="bullet"/>
      <w:start w:val="1"/>
    </w:lvl>
  </w:abstractNum>
  <w:abstractNum w:abstractNumId="68">
    <w:nsid w:val="5551B9F3"/>
    <w:multiLevelType w:val="hybridMultilevel"/>
    <w:lvl w:ilvl="0">
      <w:lvlJc w:val="left"/>
      <w:lvlText w:val="•"/>
      <w:numFmt w:val="bullet"/>
      <w:start w:val="1"/>
    </w:lvl>
  </w:abstractNum>
  <w:abstractNum w:abstractNumId="69">
    <w:nsid w:val="24F6AB8E"/>
    <w:multiLevelType w:val="hybridMultilevel"/>
    <w:lvl w:ilvl="0">
      <w:lvlJc w:val="left"/>
      <w:lvlText w:val="•"/>
      <w:numFmt w:val="bullet"/>
      <w:start w:val="1"/>
    </w:lvl>
  </w:abstractNum>
  <w:abstractNum w:abstractNumId="70">
    <w:nsid w:val="634C574C"/>
    <w:multiLevelType w:val="hybridMultilevel"/>
    <w:lvl w:ilvl="0">
      <w:lvlJc w:val="left"/>
      <w:lvlText w:val="•"/>
      <w:numFmt w:val="bullet"/>
      <w:start w:val="1"/>
    </w:lvl>
  </w:abstractNum>
  <w:abstractNum w:abstractNumId="71">
    <w:nsid w:val="24E99DD7"/>
    <w:multiLevelType w:val="hybridMultilevel"/>
    <w:lvl w:ilvl="0">
      <w:lvlJc w:val="left"/>
      <w:lvlText w:val="•"/>
      <w:numFmt w:val="bullet"/>
      <w:start w:val="1"/>
    </w:lvl>
  </w:abstractNum>
  <w:abstractNum w:abstractNumId="72">
    <w:nsid w:val="2A31B62D"/>
    <w:multiLevelType w:val="hybridMultilevel"/>
    <w:lvl w:ilvl="0">
      <w:lvlJc w:val="left"/>
      <w:lvlText w:val="%1)"/>
      <w:numFmt w:val="decimal"/>
      <w:start w:val="1"/>
    </w:lvl>
  </w:abstractNum>
  <w:abstractNum w:abstractNumId="73">
    <w:nsid w:val="1849C29B"/>
    <w:multiLevelType w:val="hybridMultilevel"/>
    <w:lvl w:ilvl="0">
      <w:lvlJc w:val="left"/>
      <w:lvlText w:val="(%1)"/>
      <w:numFmt w:val="decimal"/>
      <w:start w:val="1"/>
    </w:lvl>
  </w:abstractNum>
  <w:abstractNum w:abstractNumId="74">
    <w:nsid w:val="7DFF9D09"/>
    <w:multiLevelType w:val="hybridMultilevel"/>
    <w:lvl w:ilvl="0">
      <w:lvlJc w:val="left"/>
      <w:lvlText w:val="•"/>
      <w:numFmt w:val="bullet"/>
      <w:start w:val="1"/>
    </w:lvl>
  </w:abstractNum>
  <w:abstractNum w:abstractNumId="75">
    <w:nsid w:val="754342"/>
    <w:multiLevelType w:val="hybridMultilevel"/>
    <w:lvl w:ilvl="0">
      <w:lvlJc w:val="left"/>
      <w:lvlText w:val="•"/>
      <w:numFmt w:val="bullet"/>
      <w:start w:val="1"/>
    </w:lvl>
  </w:abstractNum>
  <w:abstractNum w:abstractNumId="76">
    <w:nsid w:val="69E7F3E5"/>
    <w:multiLevelType w:val="hybridMultilevel"/>
    <w:lvl w:ilvl="0">
      <w:lvlJc w:val="left"/>
      <w:lvlText w:val="•"/>
      <w:numFmt w:val="bullet"/>
      <w:start w:val="1"/>
    </w:lvl>
  </w:abstractNum>
  <w:abstractNum w:abstractNumId="77">
    <w:nsid w:val="2A6DE806"/>
    <w:multiLevelType w:val="hybridMultilevel"/>
    <w:lvl w:ilvl="0">
      <w:lvlJc w:val="left"/>
      <w:lvlText w:val="•"/>
      <w:numFmt w:val="bullet"/>
      <w:start w:val="1"/>
    </w:lvl>
  </w:abstractNum>
  <w:abstractNum w:abstractNumId="78">
    <w:nsid w:val="1816F8C4"/>
    <w:multiLevelType w:val="hybridMultilevel"/>
    <w:lvl w:ilvl="0">
      <w:lvlJc w:val="left"/>
      <w:lvlText w:val="(%1)"/>
      <w:numFmt w:val="decimal"/>
      <w:start w:val="1"/>
    </w:lvl>
  </w:abstractNum>
  <w:abstractNum w:abstractNumId="79">
    <w:nsid w:val="37DF2233"/>
    <w:multiLevelType w:val="hybridMultilevel"/>
    <w:lvl w:ilvl="0">
      <w:lvlJc w:val="left"/>
      <w:lvlText w:val="•"/>
      <w:numFmt w:val="bullet"/>
      <w:start w:val="1"/>
    </w:lvl>
  </w:abstractNum>
  <w:abstractNum w:abstractNumId="80">
    <w:nsid w:val="7AB49DAF"/>
    <w:multiLevelType w:val="hybridMultilevel"/>
    <w:lvl w:ilvl="0">
      <w:lvlJc w:val="left"/>
      <w:lvlText w:val="•"/>
      <w:numFmt w:val="bullet"/>
      <w:start w:val="1"/>
    </w:lvl>
  </w:abstractNum>
  <w:abstractNum w:abstractNumId="81">
    <w:nsid w:val="759F82CD"/>
    <w:multiLevelType w:val="hybridMultilevel"/>
    <w:lvl w:ilvl="0">
      <w:lvlJc w:val="left"/>
      <w:lvlText w:val="•"/>
      <w:numFmt w:val="bullet"/>
      <w:start w:val="1"/>
    </w:lvl>
  </w:abstractNum>
  <w:abstractNum w:abstractNumId="82">
    <w:nsid w:val="61E74EA3"/>
    <w:multiLevelType w:val="hybridMultilevel"/>
    <w:lvl w:ilvl="0">
      <w:lvlJc w:val="left"/>
      <w:lvlText w:val="•"/>
      <w:numFmt w:val="bullet"/>
      <w:start w:val="1"/>
    </w:lvl>
  </w:abstractNum>
  <w:abstractNum w:abstractNumId="83">
    <w:nsid w:val="597B4D84"/>
    <w:multiLevelType w:val="hybridMultilevel"/>
    <w:lvl w:ilvl="0">
      <w:lvlJc w:val="left"/>
      <w:lvlText w:val="•"/>
      <w:numFmt w:val="bullet"/>
      <w:start w:val="1"/>
    </w:lvl>
  </w:abstractNum>
  <w:abstractNum w:abstractNumId="84">
    <w:nsid w:val="F819E7F"/>
    <w:multiLevelType w:val="hybridMultilevel"/>
    <w:lvl w:ilvl="0">
      <w:lvlJc w:val="left"/>
      <w:lvlText w:val="(%1)"/>
      <w:numFmt w:val="decimal"/>
      <w:start w:val="1"/>
    </w:lvl>
  </w:abstractNum>
  <w:abstractNum w:abstractNumId="85">
    <w:nsid w:val="57C7D42D"/>
    <w:multiLevelType w:val="hybridMultilevel"/>
    <w:lvl w:ilvl="0">
      <w:lvlJc w:val="left"/>
      <w:lvlText w:val="•"/>
      <w:numFmt w:val="bullet"/>
      <w:start w:val="1"/>
    </w:lvl>
  </w:abstractNum>
  <w:abstractNum w:abstractNumId="86">
    <w:nsid w:val="312167AD"/>
    <w:multiLevelType w:val="hybridMultilevel"/>
    <w:lvl w:ilvl="0">
      <w:lvlJc w:val="left"/>
      <w:lvlText w:val="(%1)"/>
      <w:numFmt w:val="decimal"/>
      <w:start w:val="1"/>
    </w:lvl>
  </w:abstractNum>
  <w:abstractNum w:abstractNumId="87">
    <w:nsid w:val="631B64D4"/>
    <w:multiLevelType w:val="hybridMultilevel"/>
    <w:lvl w:ilvl="0">
      <w:lvlJc w:val="left"/>
      <w:lvlText w:val="(%1)"/>
      <w:numFmt w:val="decimal"/>
      <w:start w:val="1"/>
    </w:lvl>
  </w:abstractNum>
  <w:abstractNum w:abstractNumId="88">
    <w:nsid w:val="78B5E776"/>
    <w:multiLevelType w:val="hybridMultilevel"/>
    <w:lvl w:ilvl="0">
      <w:lvlJc w:val="left"/>
      <w:lvlText w:val="(%1)"/>
      <w:numFmt w:val="decimal"/>
      <w:start w:val="4"/>
    </w:lvl>
  </w:abstractNum>
  <w:abstractNum w:abstractNumId="89">
    <w:nsid w:val="75486E47"/>
    <w:multiLevelType w:val="hybridMultilevel"/>
    <w:lvl w:ilvl="0">
      <w:lvlJc w:val="left"/>
      <w:lvlText w:val="(%1)"/>
      <w:numFmt w:val="lowerRoman"/>
      <w:start w:val="2"/>
    </w:lvl>
  </w:abstractNum>
  <w:abstractNum w:abstractNumId="90">
    <w:nsid w:val="6E534CDE"/>
    <w:multiLevelType w:val="hybridMultilevel"/>
    <w:lvl w:ilvl="0">
      <w:lvlJc w:val="left"/>
      <w:lvlText w:val="(%1)"/>
      <w:numFmt w:val="lowerRoman"/>
      <w:start w:val="1"/>
    </w:lvl>
  </w:abstractNum>
  <w:abstractNum w:abstractNumId="91">
    <w:nsid w:val="1A0DDE32"/>
    <w:multiLevelType w:val="hybridMultilevel"/>
    <w:lvl w:ilvl="0">
      <w:lvlJc w:val="left"/>
      <w:lvlText w:val="(%1)"/>
      <w:numFmt w:val="decimal"/>
      <w:start w:val="1"/>
    </w:lvl>
  </w:abstractNum>
  <w:abstractNum w:abstractNumId="92">
    <w:nsid w:val="65968C1C"/>
    <w:multiLevelType w:val="hybridMultilevel"/>
    <w:lvl w:ilvl="0">
      <w:lvlJc w:val="left"/>
      <w:lvlText w:val="•"/>
      <w:numFmt w:val="bullet"/>
      <w:start w:val="1"/>
    </w:lvl>
  </w:abstractNum>
  <w:abstractNum w:abstractNumId="93">
    <w:nsid w:val="46263DEC"/>
    <w:multiLevelType w:val="hybridMultilevel"/>
    <w:lvl w:ilvl="0">
      <w:lvlJc w:val="left"/>
      <w:lvlText w:val="*"/>
      <w:numFmt w:val="bullet"/>
      <w:start w:val="1"/>
    </w:lvl>
  </w:abstractNum>
  <w:abstractNum w:abstractNumId="94">
    <w:nsid w:val="260D8C4A"/>
    <w:multiLevelType w:val="hybridMultilevel"/>
    <w:lvl w:ilvl="0">
      <w:lvlJc w:val="left"/>
      <w:lvlText w:val="(%1)"/>
      <w:numFmt w:val="decimal"/>
      <w:start w:val="1"/>
    </w:lvl>
  </w:abstractNum>
  <w:abstractNum w:abstractNumId="95">
    <w:nsid w:val="73D4D3C4"/>
    <w:multiLevelType w:val="hybridMultilevel"/>
    <w:lvl w:ilvl="0">
      <w:lvlJc w:val="left"/>
      <w:lvlText w:val="(%1)"/>
      <w:numFmt w:val="decimal"/>
      <w:start w:val="2"/>
    </w:lvl>
  </w:abstractNum>
  <w:abstractNum w:abstractNumId="96">
    <w:nsid w:val="746F2E30"/>
    <w:multiLevelType w:val="hybridMultilevel"/>
    <w:lvl w:ilvl="0">
      <w:lvlJc w:val="left"/>
      <w:lvlText w:val="(%1)"/>
      <w:numFmt w:val="decimal"/>
      <w:start w:val="5"/>
    </w:lvl>
  </w:abstractNum>
  <w:abstractNum w:abstractNumId="97">
    <w:nsid w:val="6FDE8AF6"/>
    <w:multiLevelType w:val="hybridMultilevel"/>
    <w:lvl w:ilvl="0">
      <w:lvlJc w:val="left"/>
      <w:lvlText w:val="(%1)"/>
      <w:numFmt w:val="decimal"/>
      <w:start w:val="13"/>
    </w:lvl>
  </w:abstractNum>
  <w:abstractNum w:abstractNumId="98">
    <w:nsid w:val="3FC32E20"/>
    <w:multiLevelType w:val="hybridMultilevel"/>
    <w:lvl w:ilvl="0">
      <w:lvlJc w:val="left"/>
      <w:lvlText w:val="•"/>
      <w:numFmt w:val="bullet"/>
      <w:start w:val="1"/>
    </w:lvl>
  </w:abstractNum>
  <w:abstractNum w:abstractNumId="99">
    <w:nsid w:val="49C0E823"/>
    <w:multiLevelType w:val="hybridMultilevel"/>
    <w:lvl w:ilvl="0">
      <w:lvlJc w:val="left"/>
      <w:lvlText w:val="•"/>
      <w:numFmt w:val="bullet"/>
      <w:start w:val="1"/>
    </w:lvl>
  </w:abstractNum>
  <w:abstractNum w:abstractNumId="100">
    <w:nsid w:val="14D53685"/>
    <w:multiLevelType w:val="hybridMultilevel"/>
    <w:lvl w:ilvl="0">
      <w:lvlJc w:val="left"/>
      <w:lvlText w:val="•"/>
      <w:numFmt w:val="bullet"/>
      <w:start w:val="1"/>
    </w:lvl>
  </w:abstractNum>
  <w:abstractNum w:abstractNumId="101">
    <w:nsid w:val="230F856C"/>
    <w:multiLevelType w:val="hybridMultilevel"/>
    <w:lvl w:ilvl="0">
      <w:lvlJc w:val="left"/>
      <w:lvlText w:val="•"/>
      <w:numFmt w:val="bullet"/>
      <w:start w:val="1"/>
    </w:lvl>
  </w:abstractNum>
  <w:abstractNum w:abstractNumId="102">
    <w:nsid w:val="6EAA85FB"/>
    <w:multiLevelType w:val="hybridMultilevel"/>
    <w:lvl w:ilvl="0">
      <w:lvlJc w:val="left"/>
      <w:lvlText w:val="•"/>
      <w:numFmt w:val="bullet"/>
      <w:start w:val="1"/>
    </w:lvl>
  </w:abstractNum>
  <w:abstractNum w:abstractNumId="103">
    <w:nsid w:val="3F06ECB2"/>
    <w:multiLevelType w:val="hybridMultilevel"/>
    <w:lvl w:ilvl="0">
      <w:lvlJc w:val="left"/>
      <w:lvlText w:val="•"/>
      <w:numFmt w:val="bullet"/>
      <w:start w:val="1"/>
    </w:lvl>
  </w:abstractNum>
  <w:abstractNum w:abstractNumId="104">
    <w:nsid w:val="3B594807"/>
    <w:multiLevelType w:val="hybridMultilevel"/>
    <w:lvl w:ilvl="0">
      <w:lvlJc w:val="left"/>
      <w:lvlText w:val="•"/>
      <w:numFmt w:val="bullet"/>
      <w:start w:val="1"/>
    </w:lvl>
  </w:abstractNum>
  <w:abstractNum w:abstractNumId="105">
    <w:nsid w:val="6CAA2304"/>
    <w:multiLevelType w:val="hybridMultilevel"/>
    <w:lvl w:ilvl="0">
      <w:lvlJc w:val="left"/>
      <w:lvlText w:val="•"/>
      <w:numFmt w:val="bullet"/>
      <w:start w:val="1"/>
    </w:lvl>
  </w:abstractNum>
  <w:abstractNum w:abstractNumId="106">
    <w:nsid w:val="3F7C2FF4"/>
    <w:multiLevelType w:val="hybridMultilevel"/>
    <w:lvl w:ilvl="0">
      <w:lvlJc w:val="left"/>
      <w:lvlText w:val="•"/>
      <w:numFmt w:val="bullet"/>
      <w:start w:val="1"/>
    </w:lvl>
  </w:abstractNum>
  <w:abstractNum w:abstractNumId="107">
    <w:nsid w:val="25413BEC"/>
    <w:multiLevelType w:val="hybridMultilevel"/>
    <w:lvl w:ilvl="0">
      <w:lvlJc w:val="left"/>
      <w:lvlText w:val="(%1)"/>
      <w:numFmt w:val="lowerLetter"/>
      <w:start w:val="1"/>
    </w:lvl>
  </w:abstractNum>
  <w:abstractNum w:abstractNumId="108">
    <w:nsid w:val="17180B0B"/>
    <w:multiLevelType w:val="hybridMultilevel"/>
    <w:lvl w:ilvl="0">
      <w:lvlJc w:val="left"/>
      <w:lvlText w:val="(%1)"/>
      <w:numFmt w:val="lowerLetter"/>
      <w:start w:val="1"/>
    </w:lvl>
  </w:abstractNum>
  <w:abstractNum w:abstractNumId="109">
    <w:nsid w:val="579328B9"/>
    <w:multiLevelType w:val="hybridMultilevel"/>
    <w:lvl w:ilvl="0">
      <w:lvlJc w:val="left"/>
      <w:lvlText w:val="(%1)"/>
      <w:numFmt w:val="lowerLetter"/>
      <w:start w:val="1"/>
    </w:lvl>
  </w:abstractNum>
  <w:abstractNum w:abstractNumId="110">
    <w:nsid w:val="5D205E20"/>
    <w:multiLevelType w:val="hybridMultilevel"/>
    <w:lvl w:ilvl="0">
      <w:lvlJc w:val="left"/>
      <w:lvlText w:val="(%1)"/>
      <w:numFmt w:val="lowerLetter"/>
      <w:start w:val="1"/>
    </w:lvl>
  </w:abstractNum>
  <w:abstractNum w:abstractNumId="111">
    <w:nsid w:val="11CCA8BA"/>
    <w:multiLevelType w:val="hybridMultilevel"/>
    <w:lvl w:ilvl="0">
      <w:lvlJc w:val="left"/>
      <w:lvlText w:val="•"/>
      <w:numFmt w:val="bullet"/>
      <w:start w:val="1"/>
    </w:lvl>
  </w:abstractNum>
  <w:abstractNum w:abstractNumId="112">
    <w:nsid w:val="4D32AB86"/>
    <w:multiLevelType w:val="hybridMultilevel"/>
    <w:lvl w:ilvl="0">
      <w:lvlJc w:val="left"/>
      <w:lvlText w:val="(%1)"/>
      <w:numFmt w:val="decimal"/>
      <w:start w:val="1"/>
    </w:lvl>
  </w:abstractNum>
  <w:abstractNum w:abstractNumId="113">
    <w:nsid w:val="3F07ACC3"/>
    <w:multiLevelType w:val="hybridMultilevel"/>
    <w:lvl w:ilvl="0">
      <w:lvlJc w:val="left"/>
      <w:lvlText w:val="(%1)"/>
      <w:numFmt w:val="decimal"/>
      <w:start w:val="1"/>
    </w:lvl>
  </w:abstractNum>
  <w:abstractNum w:abstractNumId="114">
    <w:nsid w:val="6B47F63E"/>
    <w:multiLevelType w:val="hybridMultilevel"/>
    <w:lvl w:ilvl="0">
      <w:lvlJc w:val="left"/>
      <w:lvlText w:val="*"/>
      <w:numFmt w:val="bullet"/>
      <w:start w:val="1"/>
    </w:lvl>
  </w:abstractNum>
  <w:abstractNum w:abstractNumId="115">
    <w:nsid w:val="5CB44A05"/>
    <w:multiLevelType w:val="hybridMultilevel"/>
    <w:lvl w:ilvl="0">
      <w:lvlJc w:val="left"/>
      <w:lvlText w:val="•"/>
      <w:numFmt w:val="bullet"/>
      <w:start w:val="1"/>
    </w:lvl>
  </w:abstractNum>
  <w:abstractNum w:abstractNumId="116">
    <w:nsid w:val="16CF80F1"/>
    <w:multiLevelType w:val="hybridMultilevel"/>
    <w:lvl w:ilvl="0">
      <w:lvlJc w:val="left"/>
      <w:lvlText w:val="(%1)"/>
      <w:numFmt w:val="decimal"/>
      <w:start w:val="1"/>
    </w:lvl>
  </w:abstractNum>
  <w:abstractNum w:abstractNumId="117">
    <w:nsid w:val="1C695DEC"/>
    <w:multiLevelType w:val="hybridMultilevel"/>
    <w:lvl w:ilvl="0">
      <w:lvlJc w:val="left"/>
      <w:lvlText w:val="(%1)"/>
      <w:numFmt w:val="decimal"/>
      <w:start w:val="1"/>
    </w:lvl>
  </w:abstractNum>
  <w:abstractNum w:abstractNumId="118">
    <w:nsid w:val="3FCFAED9"/>
    <w:multiLevelType w:val="hybridMultilevel"/>
    <w:lvl w:ilvl="0">
      <w:lvlJc w:val="left"/>
      <w:lvlText w:val="*"/>
      <w:numFmt w:val="bullet"/>
      <w:start w:val="1"/>
    </w:lvl>
  </w:abstractNum>
  <w:abstractNum w:abstractNumId="119">
    <w:nsid w:val="F856867"/>
    <w:multiLevelType w:val="hybridMultilevel"/>
    <w:lvl w:ilvl="0">
      <w:lvlJc w:val="left"/>
      <w:lvlText w:val="#"/>
      <w:numFmt w:val="bullet"/>
      <w:start w:val="1"/>
    </w:lvl>
  </w:abstractNum>
  <w:abstractNum w:abstractNumId="120">
    <w:nsid w:val="11B1CC33"/>
    <w:multiLevelType w:val="hybridMultilevel"/>
    <w:lvl w:ilvl="0">
      <w:lvlJc w:val="left"/>
      <w:lvlText w:val="†"/>
      <w:numFmt w:val="bullet"/>
      <w:start w:val="1"/>
    </w:lvl>
  </w:abstractNum>
  <w:abstractNum w:abstractNumId="121">
    <w:nsid w:val="2E22FBB7"/>
    <w:multiLevelType w:val="hybridMultilevel"/>
    <w:lvl w:ilvl="0">
      <w:lvlJc w:val="left"/>
      <w:lvlText w:val="+"/>
      <w:numFmt w:val="bullet"/>
      <w:start w:val="1"/>
    </w:lvl>
  </w:abstractNum>
  <w:abstractNum w:abstractNumId="122">
    <w:nsid w:val="29934699"/>
    <w:multiLevelType w:val="hybridMultilevel"/>
    <w:lvl w:ilvl="0">
      <w:lvlJc w:val="left"/>
      <w:lvlText w:val="(%1)"/>
      <w:numFmt w:val="decimal"/>
      <w:start w:val="1"/>
    </w:lvl>
  </w:abstractNum>
  <w:abstractNum w:abstractNumId="123">
    <w:nsid w:val="77485850"/>
    <w:multiLevelType w:val="hybridMultilevel"/>
    <w:lvl w:ilvl="0">
      <w:lvlJc w:val="left"/>
      <w:lvlText w:val="["/>
      <w:numFmt w:val="bullet"/>
      <w:start w:val="1"/>
    </w:lvl>
  </w:abstractNum>
  <w:abstractNum w:abstractNumId="124">
    <w:nsid w:val="744939A3"/>
    <w:multiLevelType w:val="hybridMultilevel"/>
    <w:lvl w:ilvl="0">
      <w:lvlJc w:val="left"/>
      <w:lvlText w:val="%1."/>
      <w:numFmt w:val="decimal"/>
      <w:start w:val="1"/>
    </w:lvl>
    <w:lvl w:ilvl="1">
      <w:lvlJc w:val="left"/>
      <w:lvlText w:val="(%2)"/>
      <w:numFmt w:val="lowerLetter"/>
      <w:start w:val="1"/>
    </w:lvl>
  </w:abstractNum>
  <w:abstractNum w:abstractNumId="125">
    <w:nsid w:val="4FA0D2E3"/>
    <w:multiLevelType w:val="hybridMultilevel"/>
    <w:lvl w:ilvl="0">
      <w:lvlJc w:val="left"/>
      <w:lvlText w:val="(%1)"/>
      <w:numFmt w:val="lowerLetter"/>
      <w:start w:val="3"/>
    </w:lvl>
  </w:abstractNum>
  <w:abstractNum w:abstractNumId="126">
    <w:nsid w:val="6B1D2C14"/>
    <w:multiLevelType w:val="hybridMultilevel"/>
    <w:lvl w:ilvl="0">
      <w:lvlJc w:val="left"/>
      <w:lvlText w:val="(%1)"/>
      <w:numFmt w:val="lowerLetter"/>
      <w:start w:val="5"/>
    </w:lvl>
  </w:abstractNum>
  <w:abstractNum w:abstractNumId="127">
    <w:nsid w:val="68B867D3"/>
    <w:multiLevelType w:val="hybridMultilevel"/>
    <w:lvl w:ilvl="0">
      <w:lvlJc w:val="left"/>
      <w:lvlText w:val="(%1)"/>
      <w:numFmt w:val="lowerLetter"/>
      <w:start w:val="12"/>
    </w:lvl>
  </w:abstractNum>
  <w:abstractNum w:abstractNumId="128">
    <w:nsid w:val="3F7F5DD9"/>
    <w:multiLevelType w:val="hybridMultilevel"/>
    <w:lvl w:ilvl="0">
      <w:lvlJc w:val="left"/>
      <w:lvlText w:val="(%1)"/>
      <w:numFmt w:val="lowerLetter"/>
      <w:start w:val="15"/>
    </w:lvl>
  </w:abstractNum>
  <w:abstractNum w:abstractNumId="129">
    <w:nsid w:val="2AE05A34"/>
    <w:multiLevelType w:val="hybridMultilevel"/>
    <w:lvl w:ilvl="0">
      <w:lvlJc w:val="left"/>
      <w:lvlText w:val="(%1)"/>
      <w:numFmt w:val="lowerLetter"/>
      <w:start w:val="18"/>
    </w:lvl>
    <w:lvl w:ilvl="1">
      <w:lvlJc w:val="left"/>
      <w:lvlText w:val="(%2)"/>
      <w:numFmt w:val="lowerRoman"/>
      <w:start w:val="1"/>
    </w:lvl>
    <w:lvl w:ilvl="2">
      <w:lvlJc w:val="left"/>
      <w:lvlText w:val="(%3)"/>
      <w:numFmt w:val="upperLetter"/>
      <w:start w:val="1"/>
    </w:lvl>
  </w:abstractNum>
  <w:abstractNum w:abstractNumId="130">
    <w:nsid w:val="32794FF7"/>
    <w:multiLevelType w:val="hybridMultilevel"/>
    <w:lvl w:ilvl="0">
      <w:lvlJc w:val="left"/>
      <w:lvlText w:val="(%1)"/>
      <w:numFmt w:val="lowerLetter"/>
      <w:start w:val="21"/>
    </w:lvl>
  </w:abstractNum>
  <w:abstractNum w:abstractNumId="131">
    <w:nsid w:val="5454945E"/>
    <w:multiLevelType w:val="hybridMultilevel"/>
    <w:lvl w:ilvl="0">
      <w:lvlJc w:val="left"/>
      <w:lvlText w:val="(%1)"/>
      <w:numFmt w:val="lowerLetter"/>
      <w:start w:val="24"/>
    </w:lvl>
  </w:abstractNum>
  <w:abstractNum w:abstractNumId="132">
    <w:nsid w:val="4DEFDFA0"/>
    <w:multiLevelType w:val="hybridMultilevel"/>
    <w:lvl w:ilvl="0">
      <w:lvlJc w:val="left"/>
      <w:lvlText w:val="(%1)"/>
      <w:numFmt w:val="lowerLetter"/>
      <w:start w:val="27"/>
    </w:lvl>
    <w:lvl w:ilvl="1">
      <w:lvlJc w:val="left"/>
      <w:lvlText w:val="(%2)"/>
      <w:numFmt w:val="lowerRoman"/>
      <w:start w:val="1"/>
    </w:lvl>
  </w:abstractNum>
  <w:abstractNum w:abstractNumId="133">
    <w:nsid w:val="2123D5F2"/>
    <w:multiLevelType w:val="hybridMultilevel"/>
    <w:lvl w:ilvl="0">
      <w:lvlJc w:val="left"/>
      <w:lvlText w:val="(%1)"/>
      <w:numFmt w:val="lowerRoman"/>
      <w:start w:val="3"/>
    </w:lvl>
  </w:abstractNum>
  <w:abstractNum w:abstractNumId="134">
    <w:nsid w:val="135B8110"/>
    <w:multiLevelType w:val="hybridMultilevel"/>
    <w:lvl w:ilvl="0">
      <w:lvlJc w:val="left"/>
      <w:lvlText w:val="%1"/>
      <w:numFmt w:val="lowerLetter"/>
      <w:start w:val="1"/>
    </w:lvl>
    <w:lvl w:ilvl="1">
      <w:lvlJc w:val="left"/>
      <w:lvlText w:val="(%2)"/>
      <w:numFmt w:val="lowerRoman"/>
      <w:start w:val="4"/>
    </w:lvl>
  </w:abstractNum>
  <w:abstractNum w:abstractNumId="135">
    <w:nsid w:val="94927A8"/>
    <w:multiLevelType w:val="hybridMultilevel"/>
    <w:lvl w:ilvl="0">
      <w:lvlJc w:val="left"/>
      <w:lvlText w:val="(%1)"/>
      <w:numFmt w:val="lowerLetter"/>
      <w:start w:val="30"/>
    </w:lvl>
    <w:lvl w:ilvl="1">
      <w:lvlJc w:val="left"/>
      <w:lvlText w:val="%2"/>
      <w:numFmt w:val="lowerRoman"/>
      <w:start w:val="1"/>
    </w:lvl>
  </w:abstractNum>
  <w:abstractNum w:abstractNumId="136">
    <w:nsid w:val="DCDF8F6"/>
    <w:multiLevelType w:val="hybridMultilevel"/>
    <w:lvl w:ilvl="0">
      <w:lvlJc w:val="left"/>
      <w:lvlText w:val="(%1)"/>
      <w:numFmt w:val="lowerLetter"/>
      <w:start w:val="31"/>
    </w:lvl>
  </w:abstractNum>
  <w:abstractNum w:abstractNumId="137">
    <w:nsid w:val="52D7B105"/>
    <w:multiLevelType w:val="hybridMultilevel"/>
    <w:lvl w:ilvl="0">
      <w:lvlJc w:val="left"/>
      <w:lvlText w:val="(%1)"/>
      <w:numFmt w:val="lowerLetter"/>
      <w:start w:val="34"/>
    </w:lvl>
  </w:abstractNum>
  <w:abstractNum w:abstractNumId="138">
    <w:nsid w:val="2E8A6394"/>
    <w:multiLevelType w:val="hybridMultilevel"/>
    <w:lvl w:ilvl="0">
      <w:lvlJc w:val="left"/>
      <w:lvlText w:val="(%1)"/>
      <w:numFmt w:val="lowerLetter"/>
      <w:start w:val="39"/>
    </w:lvl>
  </w:abstractNum>
  <w:abstractNum w:abstractNumId="139">
    <w:nsid w:val="24E60401"/>
    <w:multiLevelType w:val="hybridMultilevel"/>
    <w:lvl w:ilvl="0">
      <w:lvlJc w:val="left"/>
      <w:lvlText w:val="(%1)"/>
      <w:numFmt w:val="lowerLetter"/>
      <w:start w:val="43"/>
    </w:lvl>
  </w:abstractNum>
  <w:abstractNum w:abstractNumId="140">
    <w:nsid w:val="2A6AD9BE"/>
    <w:multiLevelType w:val="hybridMultilevel"/>
    <w:lvl w:ilvl="0">
      <w:lvlJc w:val="left"/>
      <w:lvlText w:val="%1."/>
      <w:numFmt w:val="decimal"/>
      <w:start w:val="2"/>
    </w:lvl>
  </w:abstractNum>
  <w:abstractNum w:abstractNumId="141">
    <w:nsid w:val="BAAC1B4"/>
    <w:multiLevelType w:val="hybridMultilevel"/>
    <w:lvl w:ilvl="0">
      <w:lvlJc w:val="left"/>
      <w:lvlText w:val="%1."/>
      <w:numFmt w:val="decimal"/>
      <w:start w:val="3"/>
    </w:lvl>
  </w:abstractNum>
  <w:abstractNum w:abstractNumId="142">
    <w:nsid w:val="36B2ACBC"/>
    <w:multiLevelType w:val="hybridMultilevel"/>
    <w:lvl w:ilvl="0">
      <w:lvlJc w:val="left"/>
      <w:lvlText w:val="%1."/>
      <w:numFmt w:val="decimal"/>
      <w:start w:val="5"/>
    </w:lvl>
  </w:abstractNum>
  <w:abstractNum w:abstractNumId="143">
    <w:nsid w:val="779D8544"/>
    <w:multiLevelType w:val="hybridMultilevel"/>
    <w:lvl w:ilvl="0">
      <w:lvlJc w:val="left"/>
      <w:lvlText w:val="(%1)"/>
      <w:numFmt w:val="lowerLetter"/>
      <w:start w:val="1"/>
    </w:lvl>
    <w:lvl w:ilvl="1">
      <w:lvlJc w:val="left"/>
      <w:lvlText w:val="(%2)"/>
      <w:numFmt w:val="lowerLetter"/>
      <w:start w:val="9"/>
    </w:lvl>
  </w:abstractNum>
  <w:abstractNum w:abstractNumId="144">
    <w:nsid w:val="4AB26E78"/>
    <w:multiLevelType w:val="hybridMultilevel"/>
    <w:lvl w:ilvl="0">
      <w:lvlJc w:val="left"/>
      <w:lvlText w:val="%1"/>
      <w:numFmt w:val="lowerLetter"/>
      <w:start w:val="1"/>
    </w:lvl>
    <w:lvl w:ilvl="1">
      <w:lvlJc w:val="left"/>
      <w:lvlText w:val="(%2)"/>
      <w:numFmt w:val="lowerLetter"/>
      <w:start w:val="35"/>
    </w:lvl>
  </w:abstractNum>
  <w:abstractNum w:abstractNumId="145">
    <w:nsid w:val="21FAA2FA"/>
    <w:multiLevelType w:val="hybridMultilevel"/>
    <w:lvl w:ilvl="0">
      <w:lvlJc w:val="left"/>
      <w:lvlText w:val="(%1)"/>
      <w:numFmt w:val="lowerLetter"/>
      <w:start w:val="2"/>
    </w:lvl>
    <w:lvl w:ilvl="1">
      <w:lvlJc w:val="left"/>
      <w:lvlText w:val="%2"/>
      <w:numFmt w:val="lowerLetter"/>
      <w:start w:val="1"/>
    </w:lvl>
  </w:abstractNum>
  <w:abstractNum w:abstractNumId="146">
    <w:nsid w:val="5451CF49"/>
    <w:multiLevelType w:val="hybridMultilevel"/>
    <w:lvl w:ilvl="0">
      <w:lvlJc w:val="left"/>
      <w:lvlText w:val="(%1)"/>
      <w:numFmt w:val="lowerLetter"/>
      <w:start w:val="3"/>
    </w:lvl>
  </w:abstractNum>
  <w:abstractNum w:abstractNumId="147">
    <w:nsid w:val="6181EF69"/>
    <w:multiLevelType w:val="hybridMultilevel"/>
    <w:lvl w:ilvl="0">
      <w:lvlJc w:val="left"/>
      <w:lvlText w:val="(%1)"/>
      <w:numFmt w:val="lowerLetter"/>
      <w:start w:val="7"/>
    </w:lvl>
    <w:lvl w:ilvl="1">
      <w:lvlJc w:val="left"/>
      <w:lvlText w:val="(%2)"/>
      <w:numFmt w:val="lowerRoman"/>
      <w:start w:val="1"/>
    </w:lvl>
  </w:abstractNum>
  <w:abstractNum w:abstractNumId="148">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49">
    <w:nsid w:val="14217E2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0">
    <w:nsid w:val="710757D0"/>
    <w:multiLevelType w:val="hybridMultilevel"/>
    <w:lvl w:ilvl="0">
      <w:lvlJc w:val="left"/>
      <w:lvlText w:val="(%1)"/>
      <w:numFmt w:val="lowerLetter"/>
      <w:start w:val="2"/>
    </w:lvl>
  </w:abstractNum>
  <w:abstractNum w:abstractNumId="151">
    <w:nsid w:val="5015CD1A"/>
    <w:multiLevelType w:val="hybridMultilevel"/>
    <w:lvl w:ilvl="0">
      <w:lvlJc w:val="left"/>
      <w:lvlText w:val="%1"/>
      <w:numFmt w:val="lowerLetter"/>
      <w:start w:val="1"/>
    </w:lvl>
    <w:lvl w:ilvl="1">
      <w:lvlJc w:val="left"/>
      <w:lvlText w:val="(%2)"/>
      <w:numFmt w:val="lowerLetter"/>
      <w:start w:val="7"/>
    </w:lvl>
  </w:abstractNum>
  <w:abstractNum w:abstractNumId="152">
    <w:nsid w:val="424479DA"/>
    <w:multiLevelType w:val="hybridMultilevel"/>
    <w:lvl w:ilvl="0">
      <w:lvlJc w:val="left"/>
      <w:lvlText w:val="(%1)"/>
      <w:numFmt w:val="lowerLetter"/>
      <w:start w:val="61"/>
    </w:lvl>
    <w:lvl w:ilvl="1">
      <w:lvlJc w:val="left"/>
      <w:lvlText w:val="%2"/>
      <w:numFmt w:val="lowerLetter"/>
      <w:start w:val="1"/>
    </w:lvl>
  </w:abstractNum>
  <w:abstractNum w:abstractNumId="153">
    <w:nsid w:val="1A9A9E69"/>
    <w:multiLevelType w:val="hybridMultilevel"/>
    <w:lvl w:ilvl="0">
      <w:lvlJc w:val="left"/>
      <w:lvlText w:val="(%1)"/>
      <w:numFmt w:val="lowerLetter"/>
      <w:start w:val="11"/>
    </w:lvl>
  </w:abstractNum>
  <w:abstractNum w:abstractNumId="154">
    <w:nsid w:val="475E256A"/>
    <w:multiLevelType w:val="hybridMultilevel"/>
    <w:lvl w:ilvl="0">
      <w:lvlJc w:val="left"/>
      <w:lvlText w:val="(%1)"/>
      <w:numFmt w:val="lowerLetter"/>
      <w:start w:val="13"/>
    </w:lvl>
  </w:abstractNum>
  <w:abstractNum w:abstractNumId="155">
    <w:nsid w:val="368DB37E"/>
    <w:multiLevelType w:val="hybridMultilevel"/>
    <w:lvl w:ilvl="0">
      <w:lvlJc w:val="left"/>
      <w:lvlText w:val="%1."/>
      <w:numFmt w:val="decimal"/>
      <w:start w:val="7"/>
    </w:lvl>
  </w:abstractNum>
  <w:abstractNum w:abstractNumId="156">
    <w:nsid w:val="6A3B714C"/>
    <w:multiLevelType w:val="hybridMultilevel"/>
    <w:lvl w:ilvl="0">
      <w:lvlJc w:val="left"/>
      <w:lvlText w:val="(%1)"/>
      <w:numFmt w:val="lowerLetter"/>
      <w:start w:val="2"/>
    </w:lvl>
  </w:abstractNum>
  <w:abstractNum w:abstractNumId="157">
    <w:nsid w:val="327B517E"/>
    <w:multiLevelType w:val="hybridMultilevel"/>
    <w:lvl w:ilvl="0">
      <w:lvlJc w:val="left"/>
      <w:lvlText w:val="(%1)"/>
      <w:numFmt w:val="lowerLetter"/>
      <w:start w:val="35"/>
    </w:lvl>
    <w:lvl w:ilvl="1">
      <w:lvlJc w:val="left"/>
      <w:lvlText w:val="(%2)"/>
      <w:numFmt w:val="lowerLetter"/>
      <w:start w:val="4"/>
    </w:lvl>
  </w:abstractNum>
  <w:abstractNum w:abstractNumId="158">
    <w:nsid w:val="1F461B51"/>
    <w:multiLevelType w:val="hybridMultilevel"/>
    <w:lvl w:ilvl="0">
      <w:lvlJc w:val="left"/>
      <w:lvlText w:val="%1"/>
      <w:numFmt w:val="decimal"/>
      <w:start w:val="1"/>
    </w:lvl>
    <w:lvl w:ilvl="1">
      <w:lvlJc w:val="left"/>
      <w:lvlText w:val="(%2)"/>
      <w:numFmt w:val="lowerLetter"/>
      <w:start w:val="5"/>
    </w:lvl>
  </w:abstractNum>
  <w:abstractNum w:abstractNumId="159">
    <w:nsid w:val="29BACF25"/>
    <w:multiLevelType w:val="hybridMultilevel"/>
    <w:lvl w:ilvl="0">
      <w:lvlJc w:val="left"/>
      <w:lvlText w:val="%1."/>
      <w:numFmt w:val="decimal"/>
      <w:start w:val="9"/>
    </w:lvl>
    <w:lvl w:ilvl="1">
      <w:lvlJc w:val="left"/>
      <w:lvlText w:val="%2"/>
      <w:numFmt w:val="lowerLetter"/>
      <w:start w:val="1"/>
    </w:lvl>
  </w:abstractNum>
  <w:abstractNum w:abstractNumId="160">
    <w:nsid w:val="5D5BABB3"/>
    <w:multiLevelType w:val="hybridMultilevel"/>
    <w:lvl w:ilvl="0">
      <w:lvlJc w:val="left"/>
      <w:lvlText w:val="%1"/>
      <w:numFmt w:val="lowerLetter"/>
      <w:start w:val="1"/>
    </w:lvl>
    <w:lvl w:ilvl="1">
      <w:lvlJc w:val="left"/>
      <w:lvlText w:val="(%2)"/>
      <w:numFmt w:val="lowerLetter"/>
      <w:start w:val="2"/>
    </w:lvl>
  </w:abstractNum>
  <w:abstractNum w:abstractNumId="161">
    <w:nsid w:val="51BF6B48"/>
    <w:multiLevelType w:val="hybridMultilevel"/>
    <w:lvl w:ilvl="0">
      <w:lvlJc w:val="left"/>
      <w:lvlText w:val="(%1)"/>
      <w:numFmt w:val="lowerLetter"/>
      <w:start w:val="9"/>
    </w:lvl>
    <w:lvl w:ilvl="1">
      <w:lvlJc w:val="left"/>
      <w:lvlText w:val="%2"/>
      <w:numFmt w:val="lowerLetter"/>
      <w:start w:val="1"/>
    </w:lvl>
  </w:abstractNum>
  <w:abstractNum w:abstractNumId="162">
    <w:nsid w:val="7E0F6384"/>
    <w:multiLevelType w:val="hybridMultilevel"/>
    <w:lvl w:ilvl="0">
      <w:lvlJc w:val="left"/>
      <w:lvlText w:val="(%1)"/>
      <w:numFmt w:val="lowerLetter"/>
      <w:start w:val="3"/>
    </w:lvl>
  </w:abstractNum>
  <w:abstractNum w:abstractNumId="163">
    <w:nsid w:val="2B4B8B5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164">
    <w:nsid w:val="72E3413A"/>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165">
    <w:nsid w:val="116AE494"/>
    <w:multiLevelType w:val="hybridMultilevel"/>
    <w:lvl w:ilvl="0">
      <w:lvlJc w:val="left"/>
      <w:lvlText w:val="(%1)"/>
      <w:numFmt w:val="lowerRoman"/>
      <w:start w:val="4"/>
    </w:lvl>
    <w:lvl w:ilvl="1">
      <w:lvlJc w:val="left"/>
      <w:lvlText w:val="%2."/>
      <w:numFmt w:val="decimal"/>
      <w:start w:val="11"/>
    </w:lvl>
    <w:lvl w:ilvl="2">
      <w:lvlJc w:val="left"/>
      <w:lvlText w:val="%3"/>
      <w:numFmt w:val="lowerLetter"/>
      <w:start w:val="1"/>
    </w:lvl>
  </w:abstractNum>
  <w:abstractNum w:abstractNumId="166">
    <w:nsid w:val="3494B2FB"/>
    <w:multiLevelType w:val="hybridMultilevel"/>
    <w:lvl w:ilvl="0">
      <w:lvlJc w:val="left"/>
      <w:lvlText w:val="%1."/>
      <w:numFmt w:val="decimal"/>
      <w:start w:val="12"/>
    </w:lvl>
    <w:lvl w:ilvl="1">
      <w:lvlJc w:val="left"/>
      <w:lvlText w:val="(%2)"/>
      <w:numFmt w:val="lowerLetter"/>
      <w:start w:val="2"/>
    </w:lvl>
  </w:abstractNum>
  <w:abstractNum w:abstractNumId="167">
    <w:nsid w:val="B13A31"/>
    <w:multiLevelType w:val="hybridMultilevel"/>
    <w:lvl w:ilvl="0">
      <w:lvlJc w:val="left"/>
      <w:lvlText w:val="%1."/>
      <w:numFmt w:val="decimal"/>
      <w:start w:val="13"/>
    </w:lvl>
    <w:lvl w:ilvl="1">
      <w:lvlJc w:val="left"/>
      <w:lvlText w:val="(%2)"/>
      <w:numFmt w:val="lowerLetter"/>
      <w:start w:val="2"/>
    </w:lvl>
  </w:abstractNum>
  <w:abstractNum w:abstractNumId="168">
    <w:nsid w:val="64429599"/>
    <w:multiLevelType w:val="hybridMultilevel"/>
    <w:lvl w:ilvl="0">
      <w:lvlJc w:val="left"/>
      <w:lvlText w:val="%1."/>
      <w:numFmt w:val="decimal"/>
      <w:start w:val="14"/>
    </w:lvl>
  </w:abstractNum>
  <w:abstractNum w:abstractNumId="169">
    <w:nsid w:val="631F1690"/>
    <w:multiLevelType w:val="hybridMultilevel"/>
    <w:lvl w:ilvl="0">
      <w:lvlJc w:val="left"/>
      <w:lvlText w:val="%1."/>
      <w:numFmt w:val="decimal"/>
      <w:start w:val="17"/>
    </w:lvl>
  </w:abstractNum>
  <w:abstractNum w:abstractNumId="170">
    <w:nsid w:val="25973E32"/>
    <w:multiLevelType w:val="hybridMultilevel"/>
    <w:lvl w:ilvl="0">
      <w:lvlJc w:val="left"/>
      <w:lvlText w:val="%1."/>
      <w:numFmt w:val="decimal"/>
      <w:start w:val="1"/>
    </w:lvl>
  </w:abstractNum>
  <w:abstractNum w:abstractNumId="171">
    <w:nsid w:val="EAD6F57"/>
    <w:multiLevelType w:val="hybridMultilevel"/>
    <w:lvl w:ilvl="0">
      <w:lvlJc w:val="left"/>
      <w:lvlText w:val="(%1)"/>
      <w:numFmt w:val="lowerLetter"/>
      <w:start w:val="1"/>
    </w:lvl>
  </w:abstractNum>
  <w:abstractNum w:abstractNumId="172">
    <w:nsid w:val="6EC9D844"/>
    <w:multiLevelType w:val="hybridMultilevel"/>
    <w:lvl w:ilvl="0">
      <w:lvlJc w:val="left"/>
      <w:lvlText w:val="(%1)"/>
      <w:numFmt w:val="lowerLetter"/>
      <w:start w:val="8"/>
    </w:lvl>
  </w:abstractNum>
  <w:abstractNum w:abstractNumId="173">
    <w:nsid w:val="5C49EAEE"/>
    <w:multiLevelType w:val="hybridMultilevel"/>
    <w:lvl w:ilvl="0">
      <w:lvlJc w:val="left"/>
      <w:lvlText w:val="(%1)"/>
      <w:numFmt w:val="lowerRoman"/>
      <w:start w:val="3"/>
    </w:lvl>
  </w:abstractNum>
  <w:abstractNum w:abstractNumId="174">
    <w:nsid w:val="64AF49B"/>
    <w:multiLevelType w:val="hybridMultilevel"/>
    <w:lvl w:ilvl="0">
      <w:lvlJc w:val="left"/>
      <w:lvlText w:val="%1:"/>
      <w:numFmt w:val="lowerLetter"/>
      <w:start w:val="29"/>
    </w:lvl>
  </w:abstractNum>
  <w:abstractNum w:abstractNumId="175">
    <w:nsid w:val="397C46BC"/>
    <w:multiLevelType w:val="hybridMultilevel"/>
    <w:lvl w:ilvl="0">
      <w:lvlJc w:val="left"/>
      <w:lvlText w:val="%1."/>
      <w:numFmt w:val="decimal"/>
      <w:start w:val="1"/>
    </w:lvl>
  </w:abstractNum>
  <w:abstractNum w:abstractNumId="176">
    <w:nsid w:val="7E448DE9"/>
    <w:multiLevelType w:val="hybridMultilevel"/>
    <w:lvl w:ilvl="0">
      <w:lvlJc w:val="left"/>
      <w:lvlText w:val="%1."/>
      <w:numFmt w:val="decimal"/>
      <w:start w:val="3"/>
    </w:lvl>
  </w:abstractNum>
  <w:abstractNum w:abstractNumId="177">
    <w:nsid w:val="5A9CC3E5"/>
    <w:multiLevelType w:val="hybridMultilevel"/>
    <w:lvl w:ilvl="0">
      <w:lvlJc w:val="left"/>
      <w:lvlText w:val="%1."/>
      <w:numFmt w:val="upperLetter"/>
      <w:start w:val="1"/>
    </w:lvl>
  </w:abstractNum>
  <w:abstractNum w:abstractNumId="178">
    <w:nsid w:val="1AFE3625"/>
    <w:multiLevelType w:val="hybridMultilevel"/>
    <w:lvl w:ilvl="0">
      <w:lvlJc w:val="left"/>
      <w:lvlText w:val="(%1)"/>
      <w:numFmt w:val="lowerLetter"/>
      <w:start w:val="1"/>
    </w:lvl>
  </w:abstractNum>
  <w:abstractNum w:abstractNumId="179">
    <w:nsid w:val="3CA88ECF"/>
    <w:multiLevelType w:val="hybridMultilevel"/>
    <w:lvl w:ilvl="0">
      <w:lvlJc w:val="left"/>
      <w:lvlText w:val="(%1)"/>
      <w:numFmt w:val="lowerLetter"/>
      <w:start w:val="3"/>
    </w:lvl>
  </w:abstractNum>
  <w:abstractNum w:abstractNumId="180">
    <w:nsid w:val="6EBE4208"/>
    <w:multiLevelType w:val="hybridMultilevel"/>
    <w:lvl w:ilvl="0">
      <w:lvlJc w:val="left"/>
      <w:lvlText w:val="(%1)"/>
      <w:numFmt w:val="lowerLetter"/>
      <w:start w:val="1"/>
    </w:lvl>
  </w:abstractNum>
  <w:abstractNum w:abstractNumId="181">
    <w:nsid w:val="C058DF5"/>
    <w:multiLevelType w:val="hybridMultilevel"/>
    <w:lvl w:ilvl="0">
      <w:lvlJc w:val="left"/>
      <w:lvlText w:val="(%1)"/>
      <w:numFmt w:val="lowerLetter"/>
      <w:start w:val="1"/>
    </w:lvl>
  </w:abstractNum>
  <w:abstractNum w:abstractNumId="182">
    <w:nsid w:val="CBE5BE9"/>
    <w:multiLevelType w:val="hybridMultilevel"/>
    <w:lvl w:ilvl="0">
      <w:lvlJc w:val="left"/>
      <w:lvlText w:val="(%1)"/>
      <w:numFmt w:val="lowerLetter"/>
      <w:start w:val="3"/>
    </w:lvl>
  </w:abstractNum>
  <w:abstractNum w:abstractNumId="183">
    <w:nsid w:val="3102BBE2"/>
    <w:multiLevelType w:val="hybridMultilevel"/>
    <w:lvl w:ilvl="0">
      <w:lvlJc w:val="left"/>
      <w:lvlText w:val="(%1)"/>
      <w:numFmt w:val="lowerLetter"/>
      <w:start w:val="1"/>
    </w:lvl>
    <w:lvl w:ilvl="1">
      <w:lvlJc w:val="left"/>
      <w:lvlText w:val="(%2)"/>
      <w:numFmt w:val="lowerRoman"/>
      <w:start w:val="1"/>
    </w:lvl>
  </w:abstractNum>
  <w:abstractNum w:abstractNumId="184">
    <w:nsid w:val="26A02C5E"/>
    <w:multiLevelType w:val="hybridMultilevel"/>
    <w:lvl w:ilvl="0">
      <w:lvlJc w:val="left"/>
      <w:lvlText w:val="%1"/>
      <w:numFmt w:val="lowerLetter"/>
      <w:start w:val="1"/>
    </w:lvl>
    <w:lvl w:ilvl="1">
      <w:lvlJc w:val="left"/>
      <w:lvlText w:val="(%2)"/>
      <w:numFmt w:val="lowerLetter"/>
      <w:start w:val="22"/>
    </w:lvl>
  </w:abstractNum>
  <w:abstractNum w:abstractNumId="185">
    <w:nsid w:val="541C8153"/>
    <w:multiLevelType w:val="hybridMultilevel"/>
    <w:lvl w:ilvl="0">
      <w:lvlJc w:val="left"/>
      <w:lvlText w:val="(%1)"/>
      <w:numFmt w:val="lowerLetter"/>
      <w:start w:val="2"/>
    </w:lvl>
    <w:lvl w:ilvl="1">
      <w:lvlJc w:val="left"/>
      <w:lvlText w:val="%2"/>
      <w:numFmt w:val="lowerLetter"/>
      <w:start w:val="1"/>
    </w:lvl>
  </w:abstractNum>
  <w:abstractNum w:abstractNumId="186">
    <w:nsid w:val="67906F60"/>
    <w:multiLevelType w:val="hybridMultilevel"/>
    <w:lvl w:ilvl="0">
      <w:lvlJc w:val="left"/>
      <w:lvlText w:val="(%1)"/>
      <w:numFmt w:val="lowerLetter"/>
      <w:start w:val="3"/>
    </w:lvl>
  </w:abstractNum>
  <w:abstractNum w:abstractNumId="187">
    <w:nsid w:val="10DB9DAA"/>
    <w:multiLevelType w:val="hybridMultilevel"/>
    <w:lvl w:ilvl="0">
      <w:lvlJc w:val="left"/>
      <w:lvlText w:val="(%1)"/>
      <w:numFmt w:val="lowerLetter"/>
      <w:start w:val="1"/>
    </w:lvl>
  </w:abstractNum>
  <w:abstractNum w:abstractNumId="188">
    <w:nsid w:val="697D2D2"/>
    <w:multiLevelType w:val="hybridMultilevel"/>
    <w:lvl w:ilvl="0">
      <w:lvlJc w:val="left"/>
      <w:lvlText w:val="(%1)"/>
      <w:numFmt w:val="lowerLetter"/>
      <w:start w:val="2"/>
    </w:lvl>
  </w:abstractNum>
  <w:abstractNum w:abstractNumId="189">
    <w:nsid w:val="6D68AB2"/>
    <w:multiLevelType w:val="hybridMultilevel"/>
    <w:lvl w:ilvl="0">
      <w:lvlJc w:val="left"/>
      <w:lvlText w:val="(%1)"/>
      <w:numFmt w:val="lowerLetter"/>
      <w:start w:val="1"/>
    </w:lvl>
  </w:abstractNum>
  <w:abstractNum w:abstractNumId="190">
    <w:nsid w:val="3A966CD0"/>
    <w:multiLevelType w:val="hybridMultilevel"/>
    <w:lvl w:ilvl="0">
      <w:lvlJc w:val="left"/>
      <w:lvlText w:val="(%1)"/>
      <w:numFmt w:val="decimal"/>
      <w:start w:val="10"/>
    </w:lvl>
  </w:abstractNum>
  <w:abstractNum w:abstractNumId="191">
    <w:nsid w:val="63F37E85"/>
    <w:multiLevelType w:val="hybridMultilevel"/>
    <w:lvl w:ilvl="0">
      <w:lvlJc w:val="left"/>
      <w:lvlText w:val="(%1)"/>
      <w:numFmt w:val="lowerLetter"/>
      <w:start w:val="10"/>
    </w:lvl>
    <w:lvl w:ilvl="1">
      <w:lvlJc w:val="left"/>
      <w:lvlText w:val="-"/>
      <w:numFmt w:val="bullet"/>
      <w:start w:val="1"/>
    </w:lvl>
  </w:abstractNum>
  <w:abstractNum w:abstractNumId="192">
    <w:nsid w:val="5895F5FA"/>
    <w:multiLevelType w:val="hybridMultilevel"/>
    <w:lvl w:ilvl="0">
      <w:lvlJc w:val="left"/>
      <w:lvlText w:val="(%1)"/>
      <w:numFmt w:val="lowerLetter"/>
      <w:start w:val="1"/>
    </w:lvl>
    <w:lvl w:ilvl="1">
      <w:lvlJc w:val="left"/>
      <w:lvlText w:val="-"/>
      <w:numFmt w:val="bullet"/>
      <w:start w:val="1"/>
    </w:lvl>
  </w:abstractNum>
  <w:abstractNum w:abstractNumId="193">
    <w:nsid w:val="38A5D05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4">
    <w:nsid w:val="F3F09D8"/>
    <w:multiLevelType w:val="hybridMultilevel"/>
    <w:lvl w:ilvl="0">
      <w:lvlJc w:val="left"/>
      <w:lvlText w:val="(%1)"/>
      <w:numFmt w:val="upperLetter"/>
      <w:start w:val="2"/>
    </w:lvl>
    <w:lvl w:ilvl="1">
      <w:lvlJc w:val="left"/>
      <w:lvlText w:val="-"/>
      <w:numFmt w:val="bullet"/>
      <w:start w:val="1"/>
    </w:lvl>
  </w:abstractNum>
  <w:abstractNum w:abstractNumId="195">
    <w:nsid w:val="4B793735"/>
    <w:multiLevelType w:val="hybridMultilevel"/>
    <w:lvl w:ilvl="0">
      <w:lvlJc w:val="left"/>
      <w:lvlText w:val="(%1)"/>
      <w:numFmt w:val="upperLetter"/>
      <w:start w:val="4"/>
    </w:lvl>
    <w:lvl w:ilvl="1">
      <w:lvlJc w:val="left"/>
      <w:lvlText w:val="-"/>
      <w:numFmt w:val="bullet"/>
      <w:start w:val="1"/>
    </w:lvl>
  </w:abstractNum>
  <w:abstractNum w:abstractNumId="196">
    <w:nsid w:val="4A10B4E8"/>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97">
    <w:nsid w:val="43D3BCD4"/>
    <w:multiLevelType w:val="hybridMultilevel"/>
    <w:lvl w:ilvl="0">
      <w:lvlJc w:val="left"/>
      <w:lvlText w:val="(%1)"/>
      <w:numFmt w:val="upperLetter"/>
      <w:start w:val="6"/>
    </w:lvl>
    <w:lvl w:ilvl="1">
      <w:lvlJc w:val="left"/>
      <w:lvlText w:val="-"/>
      <w:numFmt w:val="bullet"/>
      <w:start w:val="1"/>
    </w:lvl>
  </w:abstractNum>
  <w:abstractNum w:abstractNumId="198">
    <w:nsid w:val="4C2A7166"/>
    <w:multiLevelType w:val="hybridMultilevel"/>
    <w:lvl w:ilvl="0">
      <w:lvlJc w:val="left"/>
      <w:lvlText w:val="(%1)"/>
      <w:numFmt w:val="upperLetter"/>
      <w:start w:val="9"/>
    </w:lvl>
    <w:lvl w:ilvl="1">
      <w:lvlJc w:val="left"/>
      <w:lvlText w:val="-"/>
      <w:numFmt w:val="bullet"/>
      <w:start w:val="1"/>
    </w:lvl>
  </w:abstractNum>
  <w:abstractNum w:abstractNumId="199">
    <w:nsid w:val="2E534A82"/>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00">
    <w:nsid w:val="26F2D364"/>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201">
    <w:nsid w:val="71C1AF98"/>
    <w:multiLevelType w:val="hybridMultilevel"/>
    <w:lvl w:ilvl="0">
      <w:lvlJc w:val="left"/>
      <w:lvlText w:val="(%1)"/>
      <w:numFmt w:val="lowerLetter"/>
      <w:start w:val="5"/>
    </w:lvl>
    <w:lvl w:ilvl="1">
      <w:lvlJc w:val="left"/>
      <w:lvlText w:val="-"/>
      <w:numFmt w:val="bullet"/>
      <w:start w:val="1"/>
    </w:lvl>
  </w:abstractNum>
  <w:abstractNum w:abstractNumId="202">
    <w:nsid w:val="3D00B9D9"/>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03">
    <w:nsid w:val="15BCABA8"/>
    <w:multiLevelType w:val="hybridMultilevel"/>
    <w:lvl w:ilvl="0">
      <w:lvlJc w:val="left"/>
      <w:lvlText w:val="%1"/>
      <w:numFmt w:val="upperLetter"/>
      <w:start w:val="1"/>
    </w:lvl>
    <w:lvl w:ilvl="1">
      <w:lvlJc w:val="left"/>
      <w:lvlText w:val="(%2)"/>
      <w:numFmt w:val="lowerRoman"/>
      <w:start w:val="3"/>
    </w:lvl>
    <w:lvl w:ilvl="2">
      <w:lvlJc w:val="left"/>
      <w:lvlText w:val="-"/>
      <w:numFmt w:val="bullet"/>
      <w:start w:val="1"/>
    </w:lvl>
  </w:abstractNum>
  <w:abstractNum w:abstractNumId="204">
    <w:nsid w:val="4E0B9A87"/>
    <w:multiLevelType w:val="hybridMultilevel"/>
    <w:lvl w:ilvl="0">
      <w:lvlJc w:val="left"/>
      <w:lvlText w:val="(%1)"/>
      <w:numFmt w:val="upperLetter"/>
      <w:start w:val="2"/>
    </w:lvl>
    <w:lvl w:ilvl="1">
      <w:lvlJc w:val="left"/>
      <w:lvlText w:val="(%2)"/>
      <w:numFmt w:val="lowerRoman"/>
      <w:start w:val="5"/>
    </w:lvl>
    <w:lvl w:ilvl="2">
      <w:lvlJc w:val="left"/>
      <w:lvlText w:val="-"/>
      <w:numFmt w:val="bullet"/>
      <w:start w:val="1"/>
    </w:lvl>
  </w:abstractNum>
  <w:abstractNum w:abstractNumId="205">
    <w:nsid w:val="434BAE75"/>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73" Type="http://schemas.openxmlformats.org/officeDocument/2006/relationships/image" Target="media/image361.png"/><Relationship Id="rId400" Type="http://schemas.openxmlformats.org/officeDocument/2006/relationships/image" Target="media/image362.png"/><Relationship Id="rId417" Type="http://schemas.openxmlformats.org/officeDocument/2006/relationships/image" Target="media/image363.png"/><Relationship Id="rId418" Type="http://schemas.openxmlformats.org/officeDocument/2006/relationships/image" Target="media/image364.png"/><Relationship Id="rId419" Type="http://schemas.openxmlformats.org/officeDocument/2006/relationships/image" Target="media/image365.png"/><Relationship Id="rId420" Type="http://schemas.openxmlformats.org/officeDocument/2006/relationships/image" Target="media/image366.png"/><Relationship Id="rId421" Type="http://schemas.openxmlformats.org/officeDocument/2006/relationships/image" Target="media/image367.png"/><Relationship Id="rId422" Type="http://schemas.openxmlformats.org/officeDocument/2006/relationships/image" Target="media/image368.png"/><Relationship Id="rId423" Type="http://schemas.openxmlformats.org/officeDocument/2006/relationships/image" Target="media/image369.png"/><Relationship Id="rId424" Type="http://schemas.openxmlformats.org/officeDocument/2006/relationships/image" Target="media/image370.png"/><Relationship Id="rId425" Type="http://schemas.openxmlformats.org/officeDocument/2006/relationships/image" Target="media/image371.png"/><Relationship Id="rId426" Type="http://schemas.openxmlformats.org/officeDocument/2006/relationships/image" Target="media/image372.png"/><Relationship Id="rId427" Type="http://schemas.openxmlformats.org/officeDocument/2006/relationships/image" Target="media/image373.png"/><Relationship Id="rId428" Type="http://schemas.openxmlformats.org/officeDocument/2006/relationships/image" Target="media/image374.png"/><Relationship Id="rId429" Type="http://schemas.openxmlformats.org/officeDocument/2006/relationships/image" Target="media/image375.png"/><Relationship Id="rId430" Type="http://schemas.openxmlformats.org/officeDocument/2006/relationships/image" Target="media/image376.png"/><Relationship Id="rId431" Type="http://schemas.openxmlformats.org/officeDocument/2006/relationships/image" Target="media/image377.png"/><Relationship Id="rId432" Type="http://schemas.openxmlformats.org/officeDocument/2006/relationships/image" Target="media/image378.png"/><Relationship Id="rId433" Type="http://schemas.openxmlformats.org/officeDocument/2006/relationships/image" Target="media/image379.png"/><Relationship Id="rId434" Type="http://schemas.openxmlformats.org/officeDocument/2006/relationships/image" Target="media/image380.png"/><Relationship Id="rId435" Type="http://schemas.openxmlformats.org/officeDocument/2006/relationships/image" Target="media/image381.png"/><Relationship Id="rId436" Type="http://schemas.openxmlformats.org/officeDocument/2006/relationships/image" Target="media/image382.png"/><Relationship Id="rId437" Type="http://schemas.openxmlformats.org/officeDocument/2006/relationships/image" Target="media/image383.png"/><Relationship Id="rId438" Type="http://schemas.openxmlformats.org/officeDocument/2006/relationships/image" Target="media/image384.png"/><Relationship Id="rId439" Type="http://schemas.openxmlformats.org/officeDocument/2006/relationships/image" Target="media/image385.png"/><Relationship Id="rId440" Type="http://schemas.openxmlformats.org/officeDocument/2006/relationships/image" Target="media/image386.png"/><Relationship Id="rId441" Type="http://schemas.openxmlformats.org/officeDocument/2006/relationships/image" Target="media/image387.png"/><Relationship Id="rId442" Type="http://schemas.openxmlformats.org/officeDocument/2006/relationships/image" Target="media/image388.png"/><Relationship Id="rId443" Type="http://schemas.openxmlformats.org/officeDocument/2006/relationships/image" Target="media/image389.png"/><Relationship Id="rId444" Type="http://schemas.openxmlformats.org/officeDocument/2006/relationships/image" Target="media/image390.png"/><Relationship Id="rId445" Type="http://schemas.openxmlformats.org/officeDocument/2006/relationships/image" Target="media/image391.png"/><Relationship Id="rId446" Type="http://schemas.openxmlformats.org/officeDocument/2006/relationships/image" Target="media/image392.png"/><Relationship Id="rId447" Type="http://schemas.openxmlformats.org/officeDocument/2006/relationships/image" Target="media/image393.png"/><Relationship Id="rId448" Type="http://schemas.openxmlformats.org/officeDocument/2006/relationships/image" Target="media/image394.png"/><Relationship Id="rId449" Type="http://schemas.openxmlformats.org/officeDocument/2006/relationships/image" Target="media/image395.png"/><Relationship Id="rId450" Type="http://schemas.openxmlformats.org/officeDocument/2006/relationships/image" Target="media/image396.png"/><Relationship Id="rId451" Type="http://schemas.openxmlformats.org/officeDocument/2006/relationships/image" Target="media/image397.png"/><Relationship Id="rId452" Type="http://schemas.openxmlformats.org/officeDocument/2006/relationships/image" Target="media/image398.png"/><Relationship Id="rId453" Type="http://schemas.openxmlformats.org/officeDocument/2006/relationships/image" Target="media/image399.png"/><Relationship Id="rId454" Type="http://schemas.openxmlformats.org/officeDocument/2006/relationships/image" Target="media/image400.png"/><Relationship Id="rId455" Type="http://schemas.openxmlformats.org/officeDocument/2006/relationships/image" Target="media/image401.png"/><Relationship Id="rId456" Type="http://schemas.openxmlformats.org/officeDocument/2006/relationships/image" Target="media/image402.png"/><Relationship Id="rId457" Type="http://schemas.openxmlformats.org/officeDocument/2006/relationships/image" Target="media/image403.png"/><Relationship Id="rId458" Type="http://schemas.openxmlformats.org/officeDocument/2006/relationships/image" Target="media/image404.png"/><Relationship Id="rId459" Type="http://schemas.openxmlformats.org/officeDocument/2006/relationships/image" Target="media/image405.png"/><Relationship Id="rId460" Type="http://schemas.openxmlformats.org/officeDocument/2006/relationships/image" Target="media/image406.png"/><Relationship Id="rId461" Type="http://schemas.openxmlformats.org/officeDocument/2006/relationships/image" Target="media/image407.png"/><Relationship Id="rId462" Type="http://schemas.openxmlformats.org/officeDocument/2006/relationships/image" Target="media/image408.png"/><Relationship Id="rId463" Type="http://schemas.openxmlformats.org/officeDocument/2006/relationships/image" Target="media/image409.png"/><Relationship Id="rId464" Type="http://schemas.openxmlformats.org/officeDocument/2006/relationships/image" Target="media/image410.png"/><Relationship Id="rId465" Type="http://schemas.openxmlformats.org/officeDocument/2006/relationships/image" Target="media/image411.png"/><Relationship Id="rId466" Type="http://schemas.openxmlformats.org/officeDocument/2006/relationships/image" Target="media/image412.png"/><Relationship Id="rId467" Type="http://schemas.openxmlformats.org/officeDocument/2006/relationships/image" Target="media/image413.png"/><Relationship Id="rId468" Type="http://schemas.openxmlformats.org/officeDocument/2006/relationships/image" Target="media/image414.png"/><Relationship Id="rId469" Type="http://schemas.openxmlformats.org/officeDocument/2006/relationships/image" Target="media/image415.png"/><Relationship Id="rId470" Type="http://schemas.openxmlformats.org/officeDocument/2006/relationships/image" Target="media/image416.png"/><Relationship Id="rId471" Type="http://schemas.openxmlformats.org/officeDocument/2006/relationships/image" Target="media/image417.png"/><Relationship Id="rId472" Type="http://schemas.openxmlformats.org/officeDocument/2006/relationships/image" Target="media/image418.png"/><Relationship Id="rId473" Type="http://schemas.openxmlformats.org/officeDocument/2006/relationships/image" Target="media/image419.png"/><Relationship Id="rId474" Type="http://schemas.openxmlformats.org/officeDocument/2006/relationships/image" Target="media/image420.png"/><Relationship Id="rId475" Type="http://schemas.openxmlformats.org/officeDocument/2006/relationships/image" Target="media/image421.png"/><Relationship Id="rId476" Type="http://schemas.openxmlformats.org/officeDocument/2006/relationships/image" Target="media/image422.png"/><Relationship Id="rId477" Type="http://schemas.openxmlformats.org/officeDocument/2006/relationships/image" Target="media/image423.png"/><Relationship Id="rId478" Type="http://schemas.openxmlformats.org/officeDocument/2006/relationships/image" Target="media/image424.png"/><Relationship Id="rId479" Type="http://schemas.openxmlformats.org/officeDocument/2006/relationships/image" Target="media/image425.png"/><Relationship Id="rId480" Type="http://schemas.openxmlformats.org/officeDocument/2006/relationships/image" Target="media/image426.png"/><Relationship Id="rId481" Type="http://schemas.openxmlformats.org/officeDocument/2006/relationships/image" Target="media/image427.png"/><Relationship Id="rId482" Type="http://schemas.openxmlformats.org/officeDocument/2006/relationships/image" Target="media/image428.png"/><Relationship Id="rId483" Type="http://schemas.openxmlformats.org/officeDocument/2006/relationships/image" Target="media/image429.png"/><Relationship Id="rId484" Type="http://schemas.openxmlformats.org/officeDocument/2006/relationships/image" Target="media/image430.png"/><Relationship Id="rId485" Type="http://schemas.openxmlformats.org/officeDocument/2006/relationships/image" Target="media/image431.png"/><Relationship Id="rId486" Type="http://schemas.openxmlformats.org/officeDocument/2006/relationships/image" Target="media/image432.png"/><Relationship Id="rId487" Type="http://schemas.openxmlformats.org/officeDocument/2006/relationships/image" Target="media/image433.png"/><Relationship Id="rId488" Type="http://schemas.openxmlformats.org/officeDocument/2006/relationships/image" Target="media/image434.png"/><Relationship Id="rId489" Type="http://schemas.openxmlformats.org/officeDocument/2006/relationships/image" Target="media/image435.png"/><Relationship Id="rId490" Type="http://schemas.openxmlformats.org/officeDocument/2006/relationships/image" Target="media/image436.png"/><Relationship Id="rId491" Type="http://schemas.openxmlformats.org/officeDocument/2006/relationships/image" Target="media/image437.png"/><Relationship Id="rId492" Type="http://schemas.openxmlformats.org/officeDocument/2006/relationships/image" Target="media/image438.png"/><Relationship Id="rId493" Type="http://schemas.openxmlformats.org/officeDocument/2006/relationships/image" Target="media/image439.png"/><Relationship Id="rId494" Type="http://schemas.openxmlformats.org/officeDocument/2006/relationships/image" Target="media/image440.png"/><Relationship Id="rId495" Type="http://schemas.openxmlformats.org/officeDocument/2006/relationships/image" Target="media/image441.png"/><Relationship Id="rId496" Type="http://schemas.openxmlformats.org/officeDocument/2006/relationships/image" Target="media/image442.png"/><Relationship Id="rId497" Type="http://schemas.openxmlformats.org/officeDocument/2006/relationships/image" Target="media/image443.png"/><Relationship Id="rId498" Type="http://schemas.openxmlformats.org/officeDocument/2006/relationships/image" Target="media/image444.png"/><Relationship Id="rId499" Type="http://schemas.openxmlformats.org/officeDocument/2006/relationships/image" Target="media/image445.png"/><Relationship Id="rId500" Type="http://schemas.openxmlformats.org/officeDocument/2006/relationships/image" Target="media/image446.png"/><Relationship Id="rId501" Type="http://schemas.openxmlformats.org/officeDocument/2006/relationships/image" Target="media/image447.png"/><Relationship Id="rId502" Type="http://schemas.openxmlformats.org/officeDocument/2006/relationships/image" Target="media/image448.png"/><Relationship Id="rId503" Type="http://schemas.openxmlformats.org/officeDocument/2006/relationships/image" Target="media/image449.png"/><Relationship Id="rId504" Type="http://schemas.openxmlformats.org/officeDocument/2006/relationships/image" Target="media/image450.png"/><Relationship Id="rId505" Type="http://schemas.openxmlformats.org/officeDocument/2006/relationships/image" Target="media/image451.png"/><Relationship Id="rId506" Type="http://schemas.openxmlformats.org/officeDocument/2006/relationships/image" Target="media/image452.png"/><Relationship Id="rId507" Type="http://schemas.openxmlformats.org/officeDocument/2006/relationships/image" Target="media/image453.png"/><Relationship Id="rId508" Type="http://schemas.openxmlformats.org/officeDocument/2006/relationships/image" Target="media/image454.png"/><Relationship Id="rId509" Type="http://schemas.openxmlformats.org/officeDocument/2006/relationships/image" Target="media/image455.png"/><Relationship Id="rId510" Type="http://schemas.openxmlformats.org/officeDocument/2006/relationships/image" Target="media/image456.png"/><Relationship Id="rId511" Type="http://schemas.openxmlformats.org/officeDocument/2006/relationships/image" Target="media/image457.png"/><Relationship Id="rId512" Type="http://schemas.openxmlformats.org/officeDocument/2006/relationships/image" Target="media/image458.png"/><Relationship Id="rId513" Type="http://schemas.openxmlformats.org/officeDocument/2006/relationships/image" Target="media/image459.png"/><Relationship Id="rId514" Type="http://schemas.openxmlformats.org/officeDocument/2006/relationships/image" Target="media/image460.png"/><Relationship Id="rId515" Type="http://schemas.openxmlformats.org/officeDocument/2006/relationships/image" Target="media/image461.png"/><Relationship Id="rId516" Type="http://schemas.openxmlformats.org/officeDocument/2006/relationships/image" Target="media/image462.png"/><Relationship Id="rId517" Type="http://schemas.openxmlformats.org/officeDocument/2006/relationships/image" Target="media/image463.png"/><Relationship Id="rId518" Type="http://schemas.openxmlformats.org/officeDocument/2006/relationships/image" Target="media/image464.png"/><Relationship Id="rId519" Type="http://schemas.openxmlformats.org/officeDocument/2006/relationships/image" Target="media/image465.png"/><Relationship Id="rId520" Type="http://schemas.openxmlformats.org/officeDocument/2006/relationships/image" Target="media/image466.png"/><Relationship Id="rId521" Type="http://schemas.openxmlformats.org/officeDocument/2006/relationships/image" Target="media/image467.jpeg"/><Relationship Id="rId522" Type="http://schemas.openxmlformats.org/officeDocument/2006/relationships/image" Target="media/image468.png"/><Relationship Id="rId523" Type="http://schemas.openxmlformats.org/officeDocument/2006/relationships/image" Target="media/image469.png"/><Relationship Id="rId524" Type="http://schemas.openxmlformats.org/officeDocument/2006/relationships/image" Target="media/image470.jpeg"/><Relationship Id="rId525" Type="http://schemas.openxmlformats.org/officeDocument/2006/relationships/image" Target="media/image471.jpeg"/><Relationship Id="rId368" Type="http://schemas.openxmlformats.org/officeDocument/2006/relationships/hyperlink" Target="http://www.sec.gov/Archives/edgar/data/0001439725/000119312520262422/d937421dex31.htm" TargetMode="External"/><Relationship Id="rId369" Type="http://schemas.openxmlformats.org/officeDocument/2006/relationships/hyperlink" Target="http://www.sec.gov/Archives/edgar/data/0001439725/000119312520262422/d937421dex33.htm" TargetMode="External"/><Relationship Id="rId370" Type="http://schemas.openxmlformats.org/officeDocument/2006/relationships/hyperlink" Target="http://www.sec.gov/Archives/edgar/data/0001439725/000119312520262422/d937421dex42.htm" TargetMode="External"/><Relationship Id="rId371" Type="http://schemas.openxmlformats.org/officeDocument/2006/relationships/hyperlink" Target="http://www.sec.gov/Archives/edgar/data/0001439725/000119312520262422/d937421dex43.htm" TargetMode="External"/><Relationship Id="rId372" Type="http://schemas.openxmlformats.org/officeDocument/2006/relationships/hyperlink" Target="http://www.sec.gov/Archives/edgar/data/0001439725/000119312520262422/d937421dex44.htm" TargetMode="External"/><Relationship Id="rId374" Type="http://schemas.openxmlformats.org/officeDocument/2006/relationships/hyperlink" Target="http://www.sec.gov/Archives/edgar/data/1439725/000119312520266992/d937421dex101.htm" TargetMode="External"/><Relationship Id="rId375" Type="http://schemas.openxmlformats.org/officeDocument/2006/relationships/hyperlink" Target="http://www.sec.gov/Archives/edgar/data/1439725/000119312520266992/d937421dex1021.htm" TargetMode="External"/><Relationship Id="rId376" Type="http://schemas.openxmlformats.org/officeDocument/2006/relationships/hyperlink" Target="http://www.sec.gov/Archives/edgar/data/1439725/000119312520266992/d937421dex1022.htm" TargetMode="External"/><Relationship Id="rId377" Type="http://schemas.openxmlformats.org/officeDocument/2006/relationships/hyperlink" Target="http://www.sec.gov/Archives/edgar/data/1439725/000119312520266992/d937421dex1023.htm" TargetMode="External"/><Relationship Id="rId378" Type="http://schemas.openxmlformats.org/officeDocument/2006/relationships/hyperlink" Target="http://www.sec.gov/Archives/edgar/data/0001439725/000119312520262422/d937421dex103.htm" TargetMode="External"/><Relationship Id="rId379" Type="http://schemas.openxmlformats.org/officeDocument/2006/relationships/hyperlink" Target="http://www.sec.gov/Archives/edgar/data/1439725/000119312520266992/d937421dex1041.htm" TargetMode="External"/><Relationship Id="rId380" Type="http://schemas.openxmlformats.org/officeDocument/2006/relationships/hyperlink" Target="http://www.sec.gov/Archives/edgar/data/1439725/000119312520266992/d937421dex1042.htm" TargetMode="External"/><Relationship Id="rId381" Type="http://schemas.openxmlformats.org/officeDocument/2006/relationships/hyperlink" Target="http://www.sec.gov/Archives/edgar/data/1439725/000119312520266992/d937421dex1043.htm" TargetMode="External"/><Relationship Id="rId382" Type="http://schemas.openxmlformats.org/officeDocument/2006/relationships/hyperlink" Target="http://www.sec.gov/Archives/edgar/data/0001439725/000119312520262422/d937421dex1051.htm" TargetMode="External"/><Relationship Id="rId383" Type="http://schemas.openxmlformats.org/officeDocument/2006/relationships/hyperlink" Target="http://www.sec.gov/Archives/edgar/data/0001439725/000119312520262422/d937421dex1052.htm" TargetMode="External"/><Relationship Id="rId384" Type="http://schemas.openxmlformats.org/officeDocument/2006/relationships/hyperlink" Target="http://www.sec.gov/Archives/edgar/data/0001439725/000119312520262422/d937421dex1053.htm" TargetMode="External"/><Relationship Id="rId385" Type="http://schemas.openxmlformats.org/officeDocument/2006/relationships/hyperlink" Target="http://www.sec.gov/Archives/edgar/data/1439725/000119312520266992/d937421dex1061.htm" TargetMode="External"/><Relationship Id="rId386" Type="http://schemas.openxmlformats.org/officeDocument/2006/relationships/hyperlink" Target="http://www.sec.gov/Archives/edgar/data/1439725/000119312520266992/d937421dex1062.htm" TargetMode="External"/><Relationship Id="rId387" Type="http://schemas.openxmlformats.org/officeDocument/2006/relationships/hyperlink" Target="http://www.sec.gov/Archives/edgar/data/1439725/000119312520268763/d937421dex107.htm" TargetMode="External"/><Relationship Id="rId388" Type="http://schemas.openxmlformats.org/officeDocument/2006/relationships/hyperlink" Target="http://www.sec.gov/Archives/edgar/data/0001439725/000119312520262422/d937421dex1091.htm" TargetMode="External"/><Relationship Id="rId389" Type="http://schemas.openxmlformats.org/officeDocument/2006/relationships/hyperlink" Target="http://www.sec.gov/Archives/edgar/data/0001439725/000119312520262422/d937421dex1092.htm" TargetMode="External"/><Relationship Id="rId390" Type="http://schemas.openxmlformats.org/officeDocument/2006/relationships/hyperlink" Target="http://www.sec.gov/Archives/edgar/data/1439725/000119312520262422/d937421dex10101.htm" TargetMode="External"/><Relationship Id="rId391" Type="http://schemas.openxmlformats.org/officeDocument/2006/relationships/hyperlink" Target="http://www.sec.gov/Archives/edgar/data/1439725/000119312520262422/d937421dex10102.htm" TargetMode="External"/><Relationship Id="rId392" Type="http://schemas.openxmlformats.org/officeDocument/2006/relationships/hyperlink" Target="http://www.sec.gov/Archives/edgar/data/0001439725/000119312520262422/d937421dex1011.htm" TargetMode="External"/><Relationship Id="rId393" Type="http://schemas.openxmlformats.org/officeDocument/2006/relationships/hyperlink" Target="http://www.sec.gov/Archives/edgar/data/1439725/000119312520266992/d937421dex1011.htm" TargetMode="External"/><Relationship Id="rId394" Type="http://schemas.openxmlformats.org/officeDocument/2006/relationships/hyperlink" Target="http://www.sec.gov/Archives/edgar/data/1439725/000119312520262422/d937421dex1013.htm" TargetMode="External"/><Relationship Id="rId395" Type="http://schemas.openxmlformats.org/officeDocument/2006/relationships/hyperlink" Target="http://www.sec.gov/Archives/edgar/data/1439725/000119312520266992/d937421dex10131.htm" TargetMode="External"/><Relationship Id="rId396" Type="http://schemas.openxmlformats.org/officeDocument/2006/relationships/hyperlink" Target="http://www.sec.gov/Archives/edgar/data/1439725/000119312520262422/d937421dex10142.htm" TargetMode="External"/><Relationship Id="rId397" Type="http://schemas.openxmlformats.org/officeDocument/2006/relationships/hyperlink" Target="http://www.sec.gov/Archives/edgar/data/1439725/000119312520262422/d937421dex1015.htm" TargetMode="External"/><Relationship Id="rId398" Type="http://schemas.openxmlformats.org/officeDocument/2006/relationships/hyperlink" Target="http://www.sec.gov/Archives/edgar/data/1439725/000119312520266992/d937421dex1015.htm" TargetMode="External"/><Relationship Id="rId399" Type="http://schemas.openxmlformats.org/officeDocument/2006/relationships/hyperlink" Target="http://www.sec.gov/Archives/edgar/data/1439725/000119312520266992/d937421dex1016.htm" TargetMode="External"/><Relationship Id="rId401" Type="http://schemas.openxmlformats.org/officeDocument/2006/relationships/hyperlink" Target="http://www.sec.gov/Archives/edgar/data/1439725/000119312520266992/d937421dex1017.htm" TargetMode="External"/><Relationship Id="rId402" Type="http://schemas.openxmlformats.org/officeDocument/2006/relationships/hyperlink" Target="http://www.sec.gov/Archives/edgar/data/1439725/000119312520266992/d937421dex1018.htm" TargetMode="External"/><Relationship Id="rId403" Type="http://schemas.openxmlformats.org/officeDocument/2006/relationships/hyperlink" Target="http://www.sec.gov/Archives/edgar/data/1439725/000119312520266992/d937421dex1019.htm" TargetMode="External"/><Relationship Id="rId404" Type="http://schemas.openxmlformats.org/officeDocument/2006/relationships/hyperlink" Target="http://www.sec.gov/Archives/edgar/data/1439725/000119312520266992/d937421dex1020.htm" TargetMode="External"/><Relationship Id="rId405" Type="http://schemas.openxmlformats.org/officeDocument/2006/relationships/hyperlink" Target="http://www.sec.gov/Archives/edgar/data/0001439725/000119312520262422/d937421dex1022.htm" TargetMode="External"/><Relationship Id="rId406" Type="http://schemas.openxmlformats.org/officeDocument/2006/relationships/hyperlink" Target="http://www.sec.gov/Archives/edgar/data/0001439725/000119312520262422/d937421dex1023.htm" TargetMode="External"/><Relationship Id="rId407" Type="http://schemas.openxmlformats.org/officeDocument/2006/relationships/hyperlink" Target="http://www.sec.gov/Archives/edgar/data/0001439725/000119312520262422/d937421dex1024.htm" TargetMode="External"/><Relationship Id="rId408" Type="http://schemas.openxmlformats.org/officeDocument/2006/relationships/hyperlink" Target="http://www.sec.gov/Archives/edgar/data/0001439725/000119312520262422/d937421dex1025.htm" TargetMode="External"/><Relationship Id="rId409" Type="http://schemas.openxmlformats.org/officeDocument/2006/relationships/hyperlink" Target="http://www.sec.gov/Archives/edgar/data/0001439725/000119312520262422/d937421dex1026.htm" TargetMode="External"/><Relationship Id="rId410" Type="http://schemas.openxmlformats.org/officeDocument/2006/relationships/hyperlink" Target="http://www.sec.gov/Archives/edgar/data/0001439725/000119312520262422/d937421dex1027.htm" TargetMode="External"/><Relationship Id="rId411" Type="http://schemas.openxmlformats.org/officeDocument/2006/relationships/hyperlink" Target="http://www.sec.gov/Archives/edgar/data/0001439725/000119312520262422/d937421dex1028.htm" TargetMode="External"/><Relationship Id="rId412" Type="http://schemas.openxmlformats.org/officeDocument/2006/relationships/hyperlink" Target="http://www.sec.gov/Archives/edgar/data/0001439725/000119312520262422/d937421dex1029.htm" TargetMode="External"/><Relationship Id="rId413" Type="http://schemas.openxmlformats.org/officeDocument/2006/relationships/hyperlink" Target="http://www.sec.gov/Archives/edgar/data/0001439725/000119312520262422/d937421dex1030.htm" TargetMode="External"/><Relationship Id="rId414" Type="http://schemas.openxmlformats.org/officeDocument/2006/relationships/hyperlink" Target="http://www.sec.gov/Archives/edgar/data/0001439725/000119312520262422/d937421dex1031.htm" TargetMode="External"/><Relationship Id="rId415" Type="http://schemas.openxmlformats.org/officeDocument/2006/relationships/hyperlink" Target="http://www.sec.gov/Archives/edgar/data/0001439725/000119312520262422/d937421dex1032.htm" TargetMode="External"/><Relationship Id="rId416" Type="http://schemas.openxmlformats.org/officeDocument/2006/relationships/hyperlink" Target="http://www.sec.gov/Archives/edgar/data/1439725/000119312520262422/d937421d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2020-10-21T07:47:48Z</dcterms:created>
  <dcterms:modified xsi:type="dcterms:W3CDTF">2020-10-21T07:47:48Z</dcterms:modified>
</cp:coreProperties>
</file>