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6994525" cy="4744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744720"/>
                    </a:xfrm>
                    <a:prstGeom prst="rect">
                      <a:avLst/>
                    </a:prstGeom>
                    <a:noFill/>
                  </pic:spPr>
                </pic:pic>
              </a:graphicData>
            </a:graphic>
          </wp:anchor>
        </w:drawing>
      </w:r>
    </w:p>
    <w:p>
      <w:pPr>
        <w:spacing w:after="0" w:line="1230"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Hutton Scott</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919 WEST DILLON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BIODESIX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BDSX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1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02/20/2026</w:t>
      </w:r>
    </w:p>
    <w:p>
      <w:pPr>
        <w:spacing w:after="0" w:line="20" w:lineRule="exact"/>
        <w:rPr>
          <w:sz w:val="24"/>
          <w:szCs w:val="24"/>
          <w:color w:val="auto"/>
        </w:rPr>
      </w:pPr>
      <w:r>
        <w:rPr>
          <w:sz w:val="24"/>
          <w:szCs w:val="24"/>
          <w:color w:val="auto"/>
        </w:rPr>
        <w:br w:type="column"/>
      </w:r>
    </w:p>
    <w:p>
      <w:pPr>
        <w:ind w:left="-9" w:right="660" w:firstLine="9"/>
        <w:spacing w:after="0" w:line="255"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1011"/>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276" w:lineRule="exact"/>
        <w:rPr>
          <w:sz w:val="24"/>
          <w:szCs w:val="24"/>
          <w:color w:val="auto"/>
        </w:rPr>
      </w:pPr>
    </w:p>
    <w:p>
      <w:pPr>
        <w:sectPr>
          <w:pgSz w:w="11900" w:h="16838" w:orient="portrait"/>
          <w:cols w:equalWidth="0" w:num="3">
            <w:col w:w="3180" w:space="720"/>
            <w:col w:w="3109" w:space="720"/>
            <w:col w:w="3351"/>
          </w:cols>
          <w:pgMar w:left="460" w:top="217" w:right="359" w:bottom="1440" w:gutter="0" w:footer="0" w:header="0"/>
          <w:type w:val="continuous"/>
        </w:sectPr>
      </w:pP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35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560" w:type="dxa"/>
            <w:vAlign w:val="bottom"/>
            <w:gridSpan w:val="6"/>
            <w:vMerge w:val="continue"/>
          </w:tcPr>
          <w:p>
            <w:pPr>
              <w:spacing w:after="0"/>
              <w:rPr>
                <w:sz w:val="10"/>
                <w:szCs w:val="10"/>
                <w:color w:val="auto"/>
              </w:rPr>
            </w:pPr>
          </w:p>
        </w:tc>
        <w:tc>
          <w:tcPr>
            <w:tcW w:w="37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gridSpan w:val="2"/>
          </w:tcPr>
          <w:p>
            <w:pPr>
              <w:ind w:left="400"/>
              <w:spacing w:after="0"/>
              <w:rPr>
                <w:sz w:val="20"/>
                <w:szCs w:val="20"/>
                <w:color w:val="auto"/>
              </w:rPr>
            </w:pPr>
            <w:r>
              <w:rPr>
                <w:rFonts w:ascii="Arial" w:cs="Arial" w:eastAsia="Arial" w:hAnsi="Arial"/>
                <w:sz w:val="13"/>
                <w:szCs w:val="13"/>
                <w:color w:val="auto"/>
              </w:rPr>
              <w:t>Line)</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LOUISVILLE</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80027</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Borders>
              <w:top w:val="single" w:sz="8" w:color="EEEEEE"/>
            </w:tcBorders>
          </w:tcPr>
          <w:p>
            <w:pPr>
              <w:spacing w:after="0"/>
              <w:rPr>
                <w:sz w:val="15"/>
                <w:szCs w:val="15"/>
                <w:color w:val="auto"/>
              </w:rPr>
            </w:pPr>
          </w:p>
        </w:tc>
        <w:tc>
          <w:tcPr>
            <w:tcW w:w="12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Borders>
              <w:top w:val="single" w:sz="8" w:color="EEEEEE"/>
            </w:tcBorders>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ind w:left="10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3"/>
          </w:tcPr>
          <w:p>
            <w:pPr>
              <w:ind w:left="8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68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80" w:type="dxa"/>
            <w:vAlign w:val="bottom"/>
            <w:gridSpan w:val="3"/>
          </w:tcPr>
          <w:p>
            <w:pPr>
              <w:ind w:left="620"/>
              <w:spacing w:after="0" w:line="128"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80" w:type="dxa"/>
            <w:vAlign w:val="bottom"/>
            <w:gridSpan w:val="3"/>
          </w:tcPr>
          <w:p>
            <w:pPr>
              <w:ind w:left="720"/>
              <w:spacing w:after="0"/>
              <w:rPr>
                <w:sz w:val="20"/>
                <w:szCs w:val="20"/>
                <w:color w:val="auto"/>
              </w:rPr>
            </w:pPr>
            <w:r>
              <w:rPr>
                <w:rFonts w:ascii="Times New Roman" w:cs="Times New Roman" w:eastAsia="Times New Roman" w:hAnsi="Times New Roman"/>
                <w:sz w:val="17"/>
                <w:szCs w:val="17"/>
                <w:color w:val="0000FF"/>
              </w:rPr>
              <w:t>02/20/2026</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4,844</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Pr>
          <w:p>
            <w:pPr>
              <w:jc w:val="right"/>
              <w:ind w:right="177"/>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50,257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02/23/2026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1,490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12.7756</w:t>
            </w:r>
            <w:r>
              <w:rPr>
                <w:rFonts w:ascii="Times New Roman" w:cs="Times New Roman" w:eastAsia="Times New Roman" w:hAnsi="Times New Roman"/>
                <w:sz w:val="21"/>
                <w:szCs w:val="21"/>
                <w:color w:val="008000"/>
                <w:w w:val="91"/>
                <w:vertAlign w:val="superscript"/>
              </w:rPr>
              <w:t>(3)</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48,767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w w:val="95"/>
              </w:rPr>
              <w:t>5. Number of</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gridSpan w:val="2"/>
            <w:vMerge w:val="restart"/>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w w:val="87"/>
              </w:rPr>
              <w:t>4,844</w:t>
            </w:r>
            <w:r>
              <w:rPr>
                <w:rFonts w:ascii="Times New Roman" w:cs="Times New Roman" w:eastAsia="Times New Roman" w:hAnsi="Times New Roman"/>
                <w:sz w:val="21"/>
                <w:szCs w:val="21"/>
                <w:color w:val="008000"/>
                <w:w w:val="87"/>
                <w:vertAlign w:val="superscript"/>
              </w:rPr>
              <w:t>(4)</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4,844</w:t>
            </w:r>
            <w:r>
              <w:rPr>
                <w:rFonts w:ascii="Times New Roman" w:cs="Times New Roman" w:eastAsia="Times New Roman" w:hAnsi="Times New Roman"/>
                <w:sz w:val="21"/>
                <w:szCs w:val="21"/>
                <w:color w:val="008000"/>
                <w:w w:val="98"/>
                <w:vertAlign w:val="superscript"/>
              </w:rPr>
              <w:t>(4)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14,531</w:t>
            </w:r>
            <w:r>
              <w:rPr>
                <w:rFonts w:ascii="Times New Roman" w:cs="Times New Roman" w:eastAsia="Times New Roman" w:hAnsi="Times New Roman"/>
                <w:sz w:val="21"/>
                <w:szCs w:val="21"/>
                <w:color w:val="008000"/>
                <w:vertAlign w:val="superscript"/>
              </w:rPr>
              <w:t>(4)</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1" w:lineRule="exact"/>
              <w:rPr>
                <w:sz w:val="20"/>
                <w:szCs w:val="20"/>
                <w:color w:val="auto"/>
              </w:rPr>
            </w:pPr>
            <w:r>
              <w:rPr>
                <w:rFonts w:ascii="Times New Roman" w:cs="Times New Roman" w:eastAsia="Times New Roman" w:hAnsi="Times New Roman"/>
                <w:sz w:val="13"/>
                <w:szCs w:val="13"/>
                <w:color w:val="0000FF"/>
              </w:rPr>
              <w:t>02/20/2026</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-1831340</wp:posOffset>
            </wp:positionV>
            <wp:extent cx="29210" cy="18370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370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represents a contingent right to receive one share of the Issuer's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the Issuer's Common Stock were sold automatically to cover taxes upon the vesting of RSUs.</w:t>
      </w:r>
    </w:p>
    <w:p>
      <w:pPr>
        <w:spacing w:after="0" w:line="42" w:lineRule="exact"/>
        <w:rPr>
          <w:rFonts w:ascii="Times New Roman" w:cs="Times New Roman" w:eastAsia="Times New Roman" w:hAnsi="Times New Roman"/>
          <w:sz w:val="13"/>
          <w:szCs w:val="13"/>
          <w:color w:val="008000"/>
        </w:rPr>
      </w:pPr>
    </w:p>
    <w:p>
      <w:pPr>
        <w:ind w:left="40" w:right="18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$12.58 to $13.16,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numbers have been adjusted to reflect the one-for-twenty reverse stock split effective September 15, 2025.</w:t>
      </w:r>
    </w:p>
    <w:p>
      <w:pPr>
        <w:spacing w:after="0" w:line="42" w:lineRule="exact"/>
        <w:rPr>
          <w:rFonts w:ascii="Times New Roman" w:cs="Times New Roman" w:eastAsia="Times New Roman" w:hAnsi="Times New Roman"/>
          <w:sz w:val="13"/>
          <w:szCs w:val="13"/>
          <w:color w:val="008000"/>
        </w:rPr>
      </w:pPr>
    </w:p>
    <w:p>
      <w:pPr>
        <w:ind w:left="40" w:right="24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 in a series of four successive equal annual installments measured from February 20, 2025, generally subject to the Reporting Person's continued service with the Issuer, and have no expiration date.</w:t>
      </w:r>
    </w:p>
    <w:p>
      <w:pPr>
        <w:spacing w:after="0" w:line="4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Robin H. Cowie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29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29640" cy="8255"/>
                    </a:xfrm>
                    <a:prstGeom prst="rect">
                      <a:avLst/>
                    </a:prstGeom>
                    <a:noFill/>
                  </pic:spPr>
                </pic:pic>
              </a:graphicData>
            </a:graphic>
          </wp:anchor>
        </w:drawing>
      </w:r>
    </w:p>
    <w:p>
      <w:pPr>
        <w:spacing w:after="0" w:line="1"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Scott</w:t>
      </w:r>
      <w:r>
        <w:rPr>
          <w:sz w:val="20"/>
          <w:szCs w:val="20"/>
          <w:color w:val="auto"/>
        </w:rPr>
        <w:tab/>
      </w:r>
      <w:r>
        <w:rPr>
          <w:rFonts w:ascii="Times New Roman" w:cs="Times New Roman" w:eastAsia="Times New Roman" w:hAnsi="Times New Roman"/>
          <w:sz w:val="16"/>
          <w:szCs w:val="16"/>
          <w:color w:val="0000FF"/>
        </w:rPr>
        <w:t>02/23/2026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-17145</wp:posOffset>
            </wp:positionV>
            <wp:extent cx="1878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3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Hutton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-17145</wp:posOffset>
            </wp:positionV>
            <wp:extent cx="2933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3370" cy="8255"/>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97361" TargetMode="External"/><Relationship Id="rId14"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2026-02-23T19:24:35Z</dcterms:created>
  <dcterms:modified xsi:type="dcterms:W3CDTF">2026-02-23T19:24:35Z</dcterms:modified>
</cp:coreProperties>
</file>