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32577d8k.htm"/>
      <w:bookmarkStart w:id="1" w:name="ksd83257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May 21, 2024</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Biodesix,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265" w:type="dxa"/>
        <w:jc w:val="left"/>
        <w:tblInd w:w="0" w:type="dxa"/>
        <w:tblLayout w:type="fixed"/>
        <w:tblCellMar>
          <w:top w:w="0" w:type="dxa"/>
          <w:left w:w="0" w:type="dxa"/>
          <w:bottom w:w="0" w:type="dxa"/>
          <w:right w:w="0" w:type="dxa"/>
        </w:tblCellMar>
      </w:tblPr>
      <w:tblGrid>
        <w:gridCol w:w="2720"/>
        <w:gridCol w:w="60"/>
        <w:gridCol w:w="1055"/>
        <w:gridCol w:w="60"/>
        <w:gridCol w:w="137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001-39659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20-3986492</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80"/>
        <w:gridCol w:w="60"/>
        <w:gridCol w:w="1145"/>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center"/>
              <w:rPr>
                <w:b/>
              </w:rPr>
            </w:pPr>
            <w:r>
              <w:rPr>
                <w:b/>
              </w:rPr>
              <w:t>919 West Dillon Rd.</w:t>
              <w:br/>
              <w:t>Louisville, Colorado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80027</w:t>
            </w:r>
          </w:p>
        </w:tc>
      </w:tr>
      <w:tr>
        <w:trPr/>
        <w:tc>
          <w:tcPr>
            <w:tcW w:w="3980" w:type="dxa"/>
            <w:tcBorders/>
            <w:vAlign w:val="center"/>
          </w:tcPr>
          <w:p>
            <w:pPr>
              <w:pStyle w:val="TableContents"/>
              <w:bidi w:val="0"/>
              <w:spacing w:before="0" w:after="283"/>
              <w:jc w:val="center"/>
              <w:rPr>
                <w:b/>
              </w:rPr>
            </w:pPr>
            <w:r>
              <w:rPr>
                <w:b/>
              </w:rPr>
              <w:t>(Address of Principal Executive Office)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(303) 417-0500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10" w:type="dxa"/>
        <w:jc w:val="left"/>
        <w:tblInd w:w="0" w:type="dxa"/>
        <w:tblLayout w:type="fixed"/>
        <w:tblCellMar>
          <w:top w:w="0" w:type="dxa"/>
          <w:left w:w="0" w:type="dxa"/>
          <w:bottom w:w="0" w:type="dxa"/>
          <w:right w:w="0" w:type="dxa"/>
        </w:tblCellMar>
      </w:tblPr>
      <w:tblGrid>
        <w:gridCol w:w="4400"/>
        <w:gridCol w:w="60"/>
        <w:gridCol w:w="740"/>
        <w:gridCol w:w="60"/>
        <w:gridCol w:w="3050"/>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00" w:type="dxa"/>
            <w:tcBorders/>
            <w:vAlign w:val="center"/>
          </w:tcPr>
          <w:p>
            <w:pPr>
              <w:pStyle w:val="TableContents"/>
              <w:bidi w:val="0"/>
              <w:spacing w:before="0" w:after="283"/>
              <w:jc w:val="center"/>
              <w:rPr/>
            </w:pPr>
            <w:r>
              <w:rPr/>
              <w:t>Common Stock, par value of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BDSX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Biodesix, Inc. (the “Company”) held its 2024 annual meeting of stockholders (the “Annual Meeting”) on May 21, 2024. At the Annual Meeting, the Company’s stockholders voted on: (i) the election of three Class I director nominees to serve until the 2027 annual meeting of stockholders and until their respective successors are duly elected and qualify, (ii) the ratification of the appointment of KPMG LLP as the Company’s independent registered public accounting firm for the year ending December 31, 2024, (iii) the approval, for purposes of complying with Nasdaq Listing Rule 5635(d), of the conversion of the Company’s Series A Non-Voting Convertible Preferred Stock, par value $0.001 per share (“Series A Preferred Stock”) into shares of the Company’s common stock, par value $0.001 per share (“Common Stock”), and (iv) the approval, for purposes of complying with Nasdaq Listing Rule 5635(c), of the issuance of the Company’s Series A Preferred Stock to certain of the Company’s directors and officers and any shares of the Company’s common stock issuable upon the conversion thereof. </w:t>
      </w:r>
    </w:p>
    <w:p>
      <w:pPr>
        <w:pStyle w:val="TextBody"/>
        <w:bidi w:val="0"/>
        <w:spacing w:before="240" w:after="0"/>
        <w:jc w:val="left"/>
        <w:rPr>
          <w:rFonts w:ascii="Times New Roman" w:hAnsi="Times New Roman"/>
          <w:sz w:val="20"/>
        </w:rPr>
      </w:pPr>
      <w:r>
        <w:rPr>
          <w:rFonts w:ascii="Times New Roman" w:hAnsi="Times New Roman"/>
          <w:sz w:val="20"/>
        </w:rPr>
        <w:t xml:space="preserve">As of March 25, 2024, the record date for the Annual Meeting, there were 97,159,448 shares of the Company’s common stock issued and outstanding and entitled to vote at the Annual Meeting. At the Annual Meeting, all director nominees were elected, the appointment of KPMG LLP as the Company’s independent registered public accounting firm for the year ending December 31, 2024 was ratified, the conversion of Series A Preferred Stock into Common Stock was approved and the issuance of Series A Preferred Stock to certain of the Company’s directors and officers and any shares of Common Stock issuable upon conversion thereof was approved. Set forth below are the final voting results for the proposals submitted to a vote of the Company’s stockholders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Company’s stockholders elected, by the vote indicated below, the following three persons as the Class I directors of the Company, each to serve until the 2027 annual meeting of stockholders and until their respective successors are duly elected and qualify: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1955"/>
        <w:gridCol w:w="120"/>
        <w:gridCol w:w="60"/>
        <w:gridCol w:w="1100"/>
        <w:gridCol w:w="60"/>
        <w:gridCol w:w="120"/>
        <w:gridCol w:w="429"/>
        <w:gridCol w:w="1001"/>
        <w:gridCol w:w="60"/>
        <w:gridCol w:w="120"/>
        <w:gridCol w:w="70"/>
        <w:gridCol w:w="1150"/>
        <w:gridCol w:w="60"/>
        <w:gridCol w:w="120"/>
        <w:gridCol w:w="109"/>
        <w:gridCol w:w="1786"/>
        <w:gridCol w:w="75"/>
      </w:tblGrid>
      <w:tr>
        <w:trPr/>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 Faiz Kayyem,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80,125,512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2,664,083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6,342,889</w:t>
            </w:r>
          </w:p>
        </w:tc>
        <w:tc>
          <w:tcPr>
            <w:tcW w:w="7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Hutton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80,485,516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2,304,079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6,342,889</w:t>
            </w:r>
          </w:p>
        </w:tc>
        <w:tc>
          <w:tcPr>
            <w:tcW w:w="7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Patience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79,493,967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3,295,628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6,342,889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stockholders ratified the appointment of KPMG LLP as the Company’s independent registered public accounting firm for the year ending December 31, 2024, by the vote indicated below: </w:t>
            </w:r>
          </w:p>
        </w:tc>
      </w:tr>
    </w:tbl>
    <w:p>
      <w:pPr>
        <w:pStyle w:val="TextBody"/>
        <w:bidi w:val="0"/>
        <w:spacing w:before="0" w:after="0"/>
        <w:jc w:val="left"/>
        <w:rPr/>
      </w:pPr>
      <w:r>
        <w:rPr/>
        <w:t> </w:t>
      </w:r>
    </w:p>
    <w:tbl>
      <w:tblPr>
        <w:tblW w:w="453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88,308,190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167,344</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656,950</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stockholders approved, for purposes of complying with Nasdaq Listing Rule 5635(d), the conversion of the Company’s Series A Preferred Stock into shares of the Company’s Common Stock by the vote indicated below: </w:t>
            </w:r>
          </w:p>
        </w:tc>
      </w:tr>
    </w:tbl>
    <w:p>
      <w:pPr>
        <w:pStyle w:val="TextBody"/>
        <w:bidi w:val="0"/>
        <w:spacing w:before="0" w:after="0"/>
        <w:jc w:val="left"/>
        <w:rPr/>
      </w:pPr>
      <w:r>
        <w:rPr/>
        <w:t> </w:t>
      </w:r>
    </w:p>
    <w:tbl>
      <w:tblPr>
        <w:tblW w:w="453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82,358,525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425,285</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5,785</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6,342,889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stockholders approved, for purposes of complying with Nasdaq Listing Rule 5635(c), the issuance of the Company’s Series A Preferred Stock to certain of the Company’s directors and officers and any shares of the Company’s Common Stock issuable upon the conversion thereof by the vote indicated below: </w:t>
            </w:r>
          </w:p>
        </w:tc>
      </w:tr>
    </w:tbl>
    <w:p>
      <w:pPr>
        <w:pStyle w:val="TextBody"/>
        <w:bidi w:val="0"/>
        <w:spacing w:before="0" w:after="0"/>
        <w:jc w:val="left"/>
        <w:rPr/>
      </w:pPr>
      <w:r>
        <w:rPr/>
        <w:t> </w:t>
      </w:r>
    </w:p>
    <w:tbl>
      <w:tblPr>
        <w:tblW w:w="453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82,338,086</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437,183</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14,326</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6,342,889</w:t>
            </w:r>
          </w:p>
        </w:tc>
      </w:tr>
    </w:tbl>
    <w:p>
      <w:pPr>
        <w:pStyle w:val="HorizontalLine"/>
        <w:bidi w:val="0"/>
        <w:jc w:val="left"/>
        <w:rPr/>
      </w:pPr>
      <w:r>
        <w:br w:type="page"/>
      </w: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560"/>
        <w:gridCol w:w="120"/>
        <w:gridCol w:w="939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3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5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Cover Page Interactive File (the cover page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175" w:type="dxa"/>
        <w:jc w:val="left"/>
        <w:tblInd w:w="0" w:type="dxa"/>
        <w:tblLayout w:type="fixed"/>
        <w:tblCellMar>
          <w:top w:w="0" w:type="dxa"/>
          <w:left w:w="0" w:type="dxa"/>
          <w:bottom w:w="0" w:type="dxa"/>
          <w:right w:w="0" w:type="dxa"/>
        </w:tblCellMar>
      </w:tblPr>
      <w:tblGrid>
        <w:gridCol w:w="2060"/>
        <w:gridCol w:w="60"/>
        <w:gridCol w:w="60"/>
        <w:gridCol w:w="60"/>
        <w:gridCol w:w="650"/>
        <w:gridCol w:w="60"/>
        <w:gridCol w:w="2225"/>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BIODESIX, INC.</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May 23,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Robin Harper Cowie</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Robin Harper Cowie</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917</Words>
  <Characters>5016</Characters>
  <CharactersWithSpaces>5969</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