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Biodesix,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Common Stock, Par Value $0.001 Per Share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09075X108</w:t>
      </w:r>
    </w:p>
    <w:p>
      <w:pPr>
        <w:spacing w:after="0" w:line="14"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Jack W. Schuler</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100 N. Field Drive, Suite 360</w:t>
      </w:r>
    </w:p>
    <w:p>
      <w:pPr>
        <w:jc w:val="center"/>
        <w:ind w:right="-19"/>
        <w:spacing w:after="0" w:line="230" w:lineRule="auto"/>
        <w:rPr>
          <w:sz w:val="20"/>
          <w:szCs w:val="20"/>
          <w:color w:val="auto"/>
        </w:rPr>
      </w:pPr>
      <w:r>
        <w:rPr>
          <w:rFonts w:ascii="Arial" w:cs="Arial" w:eastAsia="Arial" w:hAnsi="Arial"/>
          <w:sz w:val="22"/>
          <w:szCs w:val="22"/>
          <w:b w:val="1"/>
          <w:bCs w:val="1"/>
          <w:color w:val="auto"/>
        </w:rPr>
        <w:t>Lake Forest, Illinois 60045</w:t>
      </w:r>
    </w:p>
    <w:p>
      <w:pPr>
        <w:jc w:val="center"/>
        <w:ind w:right="-19"/>
        <w:spacing w:after="0" w:line="231" w:lineRule="auto"/>
        <w:rPr>
          <w:sz w:val="20"/>
          <w:szCs w:val="20"/>
          <w:color w:val="auto"/>
        </w:rPr>
      </w:pPr>
      <w:r>
        <w:rPr>
          <w:rFonts w:ascii="Arial" w:cs="Arial" w:eastAsia="Arial" w:hAnsi="Arial"/>
          <w:sz w:val="22"/>
          <w:szCs w:val="22"/>
          <w:b w:val="1"/>
          <w:bCs w:val="1"/>
          <w:u w:val="single" w:color="auto"/>
          <w:color w:val="auto"/>
        </w:rPr>
        <w:t>(224) 880-1210</w:t>
      </w:r>
    </w:p>
    <w:p>
      <w:pPr>
        <w:jc w:val="center"/>
        <w:ind w:right="-19"/>
        <w:spacing w:after="0" w:line="230"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December 30, 2021</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jc w:val="both"/>
        <w:ind w:firstLine="8"/>
        <w:spacing w:after="0"/>
        <w:tabs>
          <w:tab w:leader="none" w:pos="165"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20" w:type="dxa"/>
            <w:vAlign w:val="bottom"/>
          </w:tcPr>
          <w:p>
            <w:pPr>
              <w:ind w:left="226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09075X108</w:t>
            </w:r>
          </w:p>
        </w:tc>
        <w:tc>
          <w:tcPr>
            <w:tcW w:w="500" w:type="dxa"/>
            <w:vAlign w:val="bottom"/>
          </w:tcPr>
          <w:p>
            <w:pPr>
              <w:spacing w:after="0"/>
              <w:rPr>
                <w:sz w:val="20"/>
                <w:szCs w:val="20"/>
                <w:color w:val="auto"/>
              </w:rPr>
            </w:pPr>
          </w:p>
        </w:tc>
        <w:tc>
          <w:tcPr>
            <w:tcW w:w="8540" w:type="dxa"/>
            <w:vAlign w:val="bottom"/>
            <w:gridSpan w:val="3"/>
          </w:tcPr>
          <w:p>
            <w:pPr>
              <w:jc w:val="right"/>
              <w:spacing w:after="0"/>
              <w:rPr>
                <w:sz w:val="20"/>
                <w:szCs w:val="20"/>
                <w:color w:val="auto"/>
              </w:rPr>
            </w:pPr>
            <w:r>
              <w:rPr>
                <w:rFonts w:ascii="Arial" w:cs="Arial" w:eastAsia="Arial" w:hAnsi="Arial"/>
                <w:sz w:val="18"/>
                <w:szCs w:val="18"/>
                <w:color w:val="auto"/>
              </w:rPr>
              <w:t>Page 2 of 6 Pages</w:t>
            </w:r>
          </w:p>
        </w:tc>
        <w:tc>
          <w:tcPr>
            <w:tcW w:w="0" w:type="dxa"/>
            <w:vAlign w:val="bottom"/>
          </w:tcPr>
          <w:p>
            <w:pPr>
              <w:spacing w:after="0"/>
              <w:rPr>
                <w:sz w:val="1"/>
                <w:szCs w:val="1"/>
                <w:color w:val="auto"/>
              </w:rPr>
            </w:pPr>
          </w:p>
        </w:tc>
      </w:tr>
      <w:tr>
        <w:trPr>
          <w:trHeight w:val="175"/>
        </w:trPr>
        <w:tc>
          <w:tcPr>
            <w:tcW w:w="1380" w:type="dxa"/>
            <w:vAlign w:val="bottom"/>
            <w:tcBorders>
              <w:bottom w:val="single" w:sz="8" w:color="auto"/>
            </w:tcBorders>
          </w:tcPr>
          <w:p>
            <w:pPr>
              <w:spacing w:after="0"/>
              <w:rPr>
                <w:sz w:val="15"/>
                <w:szCs w:val="15"/>
                <w:color w:val="auto"/>
              </w:rPr>
            </w:pPr>
          </w:p>
        </w:tc>
        <w:tc>
          <w:tcPr>
            <w:tcW w:w="934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320" w:type="dxa"/>
            <w:vAlign w:val="bottom"/>
            <w:gridSpan w:val="3"/>
            <w:vMerge w:val="restart"/>
          </w:tcPr>
          <w:p>
            <w:pPr>
              <w:ind w:left="20"/>
              <w:spacing w:after="0"/>
              <w:rPr>
                <w:sz w:val="20"/>
                <w:szCs w:val="20"/>
                <w:color w:val="auto"/>
              </w:rPr>
            </w:pPr>
            <w:r>
              <w:rPr>
                <w:rFonts w:ascii="Arial" w:cs="Arial" w:eastAsia="Arial" w:hAnsi="Arial"/>
                <w:sz w:val="18"/>
                <w:szCs w:val="18"/>
                <w:color w:val="auto"/>
                <w:w w:val="96"/>
              </w:rPr>
              <w:t>Jack W. Schuler</w:t>
            </w: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tcBorders>
              <w:left w:val="single" w:sz="8" w:color="auto"/>
              <w:right w:val="single" w:sz="8" w:color="auto"/>
            </w:tcBorders>
          </w:tcPr>
          <w:p>
            <w:pPr>
              <w:spacing w:after="0"/>
              <w:rPr>
                <w:sz w:val="21"/>
                <w:szCs w:val="21"/>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500" w:type="dxa"/>
            <w:vAlign w:val="bottom"/>
            <w:tcBorders>
              <w:right w:val="single" w:sz="8" w:color="BFBFBF"/>
            </w:tcBorders>
            <w:shd w:val="clear" w:color="auto" w:fill="BFBFBF"/>
          </w:tcPr>
          <w:p>
            <w:pPr>
              <w:spacing w:after="0"/>
              <w:rPr>
                <w:sz w:val="23"/>
                <w:szCs w:val="23"/>
                <w:color w:val="auto"/>
              </w:rPr>
            </w:pPr>
          </w:p>
        </w:tc>
        <w:tc>
          <w:tcPr>
            <w:tcW w:w="8020" w:type="dxa"/>
            <w:vAlign w:val="bottom"/>
            <w:shd w:val="clear" w:color="auto" w:fill="BFBFBF"/>
          </w:tcPr>
          <w:p>
            <w:pPr>
              <w:spacing w:after="0"/>
              <w:rPr>
                <w:sz w:val="23"/>
                <w:szCs w:val="23"/>
                <w:color w:val="auto"/>
              </w:rPr>
            </w:pPr>
          </w:p>
        </w:tc>
        <w:tc>
          <w:tcPr>
            <w:tcW w:w="300" w:type="dxa"/>
            <w:vAlign w:val="bottom"/>
            <w:shd w:val="clear" w:color="auto" w:fill="BFBFBF"/>
          </w:tcPr>
          <w:p>
            <w:pPr>
              <w:spacing w:after="0"/>
              <w:rPr>
                <w:sz w:val="23"/>
                <w:szCs w:val="23"/>
                <w:color w:val="auto"/>
              </w:rPr>
            </w:pPr>
          </w:p>
        </w:tc>
        <w:tc>
          <w:tcPr>
            <w:tcW w:w="22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8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8020" w:type="dxa"/>
            <w:vAlign w:val="bottom"/>
            <w:tcBorders>
              <w:bottom w:val="single" w:sz="8" w:color="auto"/>
            </w:tcBorders>
            <w:shd w:val="clear" w:color="auto" w:fill="BFBFBF"/>
          </w:tcPr>
          <w:p>
            <w:pPr>
              <w:spacing w:after="0"/>
              <w:rPr>
                <w:sz w:val="24"/>
                <w:szCs w:val="24"/>
                <w:color w:val="auto"/>
              </w:rPr>
            </w:pPr>
          </w:p>
        </w:tc>
        <w:tc>
          <w:tcPr>
            <w:tcW w:w="300" w:type="dxa"/>
            <w:vAlign w:val="bottom"/>
            <w:tcBorders>
              <w:bottom w:val="single" w:sz="8" w:color="auto"/>
            </w:tcBorders>
            <w:shd w:val="clear" w:color="auto" w:fill="BFBFBF"/>
          </w:tcPr>
          <w:p>
            <w:pPr>
              <w:spacing w:after="0"/>
              <w:rPr>
                <w:sz w:val="24"/>
                <w:szCs w:val="24"/>
                <w:color w:val="auto"/>
              </w:rPr>
            </w:pPr>
          </w:p>
        </w:tc>
        <w:tc>
          <w:tcPr>
            <w:tcW w:w="22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20" w:type="dxa"/>
            <w:vAlign w:val="bottom"/>
            <w:gridSpan w:val="2"/>
            <w:vMerge w:val="restart"/>
          </w:tcPr>
          <w:p>
            <w:pPr>
              <w:ind w:left="20"/>
              <w:spacing w:after="0"/>
              <w:rPr>
                <w:sz w:val="20"/>
                <w:szCs w:val="20"/>
                <w:color w:val="auto"/>
              </w:rPr>
            </w:pPr>
            <w:r>
              <w:rPr>
                <w:rFonts w:ascii="Arial" w:cs="Arial" w:eastAsia="Arial" w:hAnsi="Arial"/>
                <w:sz w:val="18"/>
                <w:szCs w:val="18"/>
                <w:color w:val="auto"/>
              </w:rPr>
              <w:t>PF</w:t>
            </w: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380" w:type="dxa"/>
            <w:vAlign w:val="bottom"/>
            <w:tcBorders>
              <w:left w:val="single" w:sz="8" w:color="auto"/>
              <w:right w:val="single" w:sz="8" w:color="auto"/>
            </w:tcBorders>
          </w:tcPr>
          <w:p>
            <w:pPr>
              <w:spacing w:after="0"/>
              <w:rPr>
                <w:sz w:val="23"/>
                <w:szCs w:val="23"/>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3"/>
                <w:szCs w:val="23"/>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1320" w:type="dxa"/>
            <w:vAlign w:val="bottom"/>
            <w:gridSpan w:val="3"/>
            <w:vMerge w:val="restart"/>
          </w:tcPr>
          <w:p>
            <w:pPr>
              <w:ind w:left="20"/>
              <w:spacing w:after="0"/>
              <w:rPr>
                <w:sz w:val="20"/>
                <w:szCs w:val="20"/>
                <w:color w:val="auto"/>
              </w:rPr>
            </w:pPr>
            <w:r>
              <w:rPr>
                <w:rFonts w:ascii="Arial" w:cs="Arial" w:eastAsia="Arial" w:hAnsi="Arial"/>
                <w:sz w:val="18"/>
                <w:szCs w:val="18"/>
                <w:color w:val="auto"/>
              </w:rPr>
              <w:t>United States</w:t>
            </w: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7</w:t>
            </w: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8</w:t>
            </w: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8,752,658 (1)</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0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2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b w:val="1"/>
                <w:bCs w:val="1"/>
                <w:color w:val="auto"/>
                <w:w w:val="99"/>
              </w:rPr>
              <w:t>9</w:t>
            </w:r>
          </w:p>
        </w:tc>
        <w:tc>
          <w:tcPr>
            <w:tcW w:w="8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jc w:val="center"/>
              <w:ind w:left="550"/>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80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10</w:t>
            </w: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8,752,658 (1)</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1320" w:type="dxa"/>
            <w:vAlign w:val="bottom"/>
            <w:gridSpan w:val="3"/>
            <w:vMerge w:val="restart"/>
          </w:tcPr>
          <w:p>
            <w:pPr>
              <w:ind w:left="20"/>
              <w:spacing w:after="0"/>
              <w:rPr>
                <w:sz w:val="20"/>
                <w:szCs w:val="20"/>
                <w:color w:val="auto"/>
              </w:rPr>
            </w:pPr>
            <w:r>
              <w:rPr>
                <w:rFonts w:ascii="Arial" w:cs="Arial" w:eastAsia="Arial" w:hAnsi="Arial"/>
                <w:sz w:val="18"/>
                <w:szCs w:val="18"/>
                <w:color w:val="auto"/>
              </w:rPr>
              <w:t>8,752,658 (1)</w:t>
            </w: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80" w:type="dxa"/>
            <w:vAlign w:val="bottom"/>
            <w:tcBorders>
              <w:left w:val="single" w:sz="8" w:color="auto"/>
              <w:right w:val="single" w:sz="8" w:color="auto"/>
            </w:tcBorders>
          </w:tcPr>
          <w:p>
            <w:pPr>
              <w:spacing w:after="0"/>
              <w:rPr>
                <w:sz w:val="18"/>
                <w:szCs w:val="18"/>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380" w:type="dxa"/>
            <w:vAlign w:val="bottom"/>
            <w:tcBorders>
              <w:left w:val="single" w:sz="8" w:color="auto"/>
              <w:right w:val="single" w:sz="8" w:color="auto"/>
            </w:tcBorders>
          </w:tcPr>
          <w:p>
            <w:pPr>
              <w:spacing w:after="0"/>
              <w:rPr>
                <w:sz w:val="12"/>
                <w:szCs w:val="12"/>
                <w:color w:val="auto"/>
              </w:rPr>
            </w:pPr>
          </w:p>
        </w:tc>
        <w:tc>
          <w:tcPr>
            <w:tcW w:w="93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12</w:t>
            </w:r>
          </w:p>
        </w:tc>
        <w:tc>
          <w:tcPr>
            <w:tcW w:w="934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2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28.4% (2)</w:t>
            </w: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20" w:type="dxa"/>
            <w:vAlign w:val="bottom"/>
            <w:gridSpan w:val="2"/>
            <w:vMerge w:val="restart"/>
          </w:tcPr>
          <w:p>
            <w:pPr>
              <w:ind w:left="20"/>
              <w:spacing w:after="0"/>
              <w:rPr>
                <w:sz w:val="20"/>
                <w:szCs w:val="20"/>
                <w:color w:val="auto"/>
              </w:rPr>
            </w:pPr>
            <w:r>
              <w:rPr>
                <w:rFonts w:ascii="Arial" w:cs="Arial" w:eastAsia="Arial" w:hAnsi="Arial"/>
                <w:sz w:val="18"/>
                <w:szCs w:val="18"/>
                <w:color w:val="auto"/>
              </w:rPr>
              <w:t>IN</w:t>
            </w: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1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amount includes 11,717 Shares that the Reporting Person has the right to acquire upon exercise of options exercisable within 60 days of the date of this filing.</w:t>
      </w:r>
    </w:p>
    <w:p>
      <w:pPr>
        <w:spacing w:after="0" w:line="197" w:lineRule="exact"/>
        <w:rPr>
          <w:rFonts w:ascii="Arial" w:cs="Arial" w:eastAsia="Arial" w:hAnsi="Arial"/>
          <w:sz w:val="18"/>
          <w:szCs w:val="18"/>
          <w:color w:val="auto"/>
        </w:rPr>
      </w:pPr>
    </w:p>
    <w:p>
      <w:pPr>
        <w:ind w:left="660" w:right="24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This percentage is based on the sum of approximately 30,784,278 Shares outstanding, based on information from the Issuer, plus 11,717 Shares that the Reporting Person has the right to acquire upon exercise of options exercisable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20" w:type="dxa"/>
            <w:vAlign w:val="bottom"/>
          </w:tcPr>
          <w:p>
            <w:pPr>
              <w:ind w:left="226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8"/>
                <w:szCs w:val="18"/>
                <w:color w:val="auto"/>
              </w:rPr>
              <w:t>CUSIP No: 09075X108</w:t>
            </w:r>
          </w:p>
        </w:tc>
        <w:tc>
          <w:tcPr>
            <w:tcW w:w="500" w:type="dxa"/>
            <w:vAlign w:val="bottom"/>
          </w:tcPr>
          <w:p>
            <w:pPr>
              <w:spacing w:after="0"/>
              <w:rPr>
                <w:sz w:val="20"/>
                <w:szCs w:val="20"/>
                <w:color w:val="auto"/>
              </w:rPr>
            </w:pPr>
          </w:p>
        </w:tc>
        <w:tc>
          <w:tcPr>
            <w:tcW w:w="8540" w:type="dxa"/>
            <w:vAlign w:val="bottom"/>
            <w:gridSpan w:val="3"/>
          </w:tcPr>
          <w:p>
            <w:pPr>
              <w:jc w:val="right"/>
              <w:spacing w:after="0"/>
              <w:rPr>
                <w:sz w:val="20"/>
                <w:szCs w:val="20"/>
                <w:color w:val="auto"/>
              </w:rPr>
            </w:pPr>
            <w:r>
              <w:rPr>
                <w:rFonts w:ascii="Arial" w:cs="Arial" w:eastAsia="Arial" w:hAnsi="Arial"/>
                <w:sz w:val="18"/>
                <w:szCs w:val="18"/>
                <w:color w:val="auto"/>
              </w:rPr>
              <w:t>Page 3 of 6 Pages</w:t>
            </w:r>
          </w:p>
        </w:tc>
        <w:tc>
          <w:tcPr>
            <w:tcW w:w="0" w:type="dxa"/>
            <w:vAlign w:val="bottom"/>
          </w:tcPr>
          <w:p>
            <w:pPr>
              <w:spacing w:after="0"/>
              <w:rPr>
                <w:sz w:val="1"/>
                <w:szCs w:val="1"/>
                <w:color w:val="auto"/>
              </w:rPr>
            </w:pPr>
          </w:p>
        </w:tc>
      </w:tr>
      <w:tr>
        <w:trPr>
          <w:trHeight w:val="175"/>
        </w:trPr>
        <w:tc>
          <w:tcPr>
            <w:tcW w:w="1380" w:type="dxa"/>
            <w:vAlign w:val="bottom"/>
            <w:tcBorders>
              <w:bottom w:val="single" w:sz="8" w:color="auto"/>
            </w:tcBorders>
          </w:tcPr>
          <w:p>
            <w:pPr>
              <w:spacing w:after="0"/>
              <w:rPr>
                <w:sz w:val="15"/>
                <w:szCs w:val="15"/>
                <w:color w:val="auto"/>
              </w:rPr>
            </w:pPr>
          </w:p>
        </w:tc>
        <w:tc>
          <w:tcPr>
            <w:tcW w:w="9340" w:type="dxa"/>
            <w:vAlign w:val="bottom"/>
            <w:tcBorders>
              <w:bottom w:val="single" w:sz="8" w:color="auto"/>
            </w:tcBorders>
            <w:gridSpan w:val="4"/>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9340" w:type="dxa"/>
            <w:vAlign w:val="bottom"/>
            <w:gridSpan w:val="4"/>
            <w:vMerge w:val="restart"/>
          </w:tcPr>
          <w:p>
            <w:pPr>
              <w:ind w:left="20"/>
              <w:spacing w:after="0"/>
              <w:rPr>
                <w:sz w:val="20"/>
                <w:szCs w:val="20"/>
                <w:color w:val="auto"/>
              </w:rPr>
            </w:pPr>
            <w:r>
              <w:rPr>
                <w:rFonts w:ascii="Arial" w:cs="Arial" w:eastAsia="Arial" w:hAnsi="Arial"/>
                <w:sz w:val="18"/>
                <w:szCs w:val="18"/>
                <w:color w:val="auto"/>
              </w:rPr>
              <w:t>Jack W. Schuler Living Trust</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934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tcBorders>
              <w:left w:val="single" w:sz="8" w:color="auto"/>
              <w:right w:val="single" w:sz="8" w:color="auto"/>
            </w:tcBorders>
          </w:tcPr>
          <w:p>
            <w:pPr>
              <w:spacing w:after="0"/>
              <w:rPr>
                <w:sz w:val="21"/>
                <w:szCs w:val="21"/>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640" w:type="dxa"/>
            <w:vAlign w:val="bottom"/>
            <w:tcBorders>
              <w:right w:val="single" w:sz="8" w:color="BFBFBF"/>
            </w:tcBorders>
            <w:shd w:val="clear" w:color="auto" w:fill="BFBFBF"/>
          </w:tcPr>
          <w:p>
            <w:pPr>
              <w:spacing w:after="0"/>
              <w:rPr>
                <w:sz w:val="23"/>
                <w:szCs w:val="23"/>
                <w:color w:val="auto"/>
              </w:rPr>
            </w:pPr>
          </w:p>
        </w:tc>
        <w:tc>
          <w:tcPr>
            <w:tcW w:w="180" w:type="dxa"/>
            <w:vAlign w:val="bottom"/>
            <w:shd w:val="clear" w:color="auto" w:fill="BFBFBF"/>
          </w:tcPr>
          <w:p>
            <w:pPr>
              <w:spacing w:after="0"/>
              <w:rPr>
                <w:sz w:val="23"/>
                <w:szCs w:val="23"/>
                <w:color w:val="auto"/>
              </w:rPr>
            </w:pPr>
          </w:p>
        </w:tc>
        <w:tc>
          <w:tcPr>
            <w:tcW w:w="500" w:type="dxa"/>
            <w:vAlign w:val="bottom"/>
            <w:tcBorders>
              <w:right w:val="single" w:sz="8" w:color="BFBFBF"/>
            </w:tcBorders>
            <w:shd w:val="clear" w:color="auto" w:fill="BFBFBF"/>
          </w:tcPr>
          <w:p>
            <w:pPr>
              <w:spacing w:after="0"/>
              <w:rPr>
                <w:sz w:val="23"/>
                <w:szCs w:val="23"/>
                <w:color w:val="auto"/>
              </w:rPr>
            </w:pPr>
          </w:p>
        </w:tc>
        <w:tc>
          <w:tcPr>
            <w:tcW w:w="8020" w:type="dxa"/>
            <w:vAlign w:val="bottom"/>
            <w:shd w:val="clear" w:color="auto" w:fill="BFBFBF"/>
          </w:tcPr>
          <w:p>
            <w:pPr>
              <w:spacing w:after="0"/>
              <w:rPr>
                <w:sz w:val="23"/>
                <w:szCs w:val="23"/>
                <w:color w:val="auto"/>
              </w:rPr>
            </w:pPr>
          </w:p>
        </w:tc>
        <w:tc>
          <w:tcPr>
            <w:tcW w:w="300" w:type="dxa"/>
            <w:vAlign w:val="bottom"/>
            <w:shd w:val="clear" w:color="auto" w:fill="BFBFBF"/>
          </w:tcPr>
          <w:p>
            <w:pPr>
              <w:spacing w:after="0"/>
              <w:rPr>
                <w:sz w:val="23"/>
                <w:szCs w:val="23"/>
                <w:color w:val="auto"/>
              </w:rPr>
            </w:pPr>
          </w:p>
        </w:tc>
        <w:tc>
          <w:tcPr>
            <w:tcW w:w="22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shd w:val="clear" w:color="auto" w:fill="BFBFBF"/>
          </w:tcPr>
          <w:p>
            <w:pPr>
              <w:spacing w:after="0"/>
              <w:rPr>
                <w:sz w:val="24"/>
                <w:szCs w:val="24"/>
                <w:color w:val="auto"/>
              </w:rPr>
            </w:pPr>
          </w:p>
        </w:tc>
        <w:tc>
          <w:tcPr>
            <w:tcW w:w="68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8020" w:type="dxa"/>
            <w:vAlign w:val="bottom"/>
            <w:tcBorders>
              <w:bottom w:val="single" w:sz="8" w:color="auto"/>
            </w:tcBorders>
            <w:shd w:val="clear" w:color="auto" w:fill="BFBFBF"/>
          </w:tcPr>
          <w:p>
            <w:pPr>
              <w:spacing w:after="0"/>
              <w:rPr>
                <w:sz w:val="24"/>
                <w:szCs w:val="24"/>
                <w:color w:val="auto"/>
              </w:rPr>
            </w:pPr>
          </w:p>
        </w:tc>
        <w:tc>
          <w:tcPr>
            <w:tcW w:w="300" w:type="dxa"/>
            <w:vAlign w:val="bottom"/>
            <w:tcBorders>
              <w:bottom w:val="single" w:sz="8" w:color="auto"/>
            </w:tcBorders>
            <w:shd w:val="clear" w:color="auto" w:fill="BFBFBF"/>
          </w:tcPr>
          <w:p>
            <w:pPr>
              <w:spacing w:after="0"/>
              <w:rPr>
                <w:sz w:val="24"/>
                <w:szCs w:val="24"/>
                <w:color w:val="auto"/>
              </w:rPr>
            </w:pPr>
          </w:p>
        </w:tc>
        <w:tc>
          <w:tcPr>
            <w:tcW w:w="22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20" w:type="dxa"/>
            <w:vAlign w:val="bottom"/>
            <w:gridSpan w:val="2"/>
            <w:vMerge w:val="restart"/>
          </w:tcPr>
          <w:p>
            <w:pPr>
              <w:ind w:left="20"/>
              <w:spacing w:after="0"/>
              <w:rPr>
                <w:sz w:val="20"/>
                <w:szCs w:val="20"/>
                <w:color w:val="auto"/>
              </w:rPr>
            </w:pPr>
            <w:r>
              <w:rPr>
                <w:rFonts w:ascii="Arial" w:cs="Arial" w:eastAsia="Arial" w:hAnsi="Arial"/>
                <w:sz w:val="18"/>
                <w:szCs w:val="18"/>
                <w:color w:val="auto"/>
              </w:rPr>
              <w:t>WC</w:t>
            </w: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380" w:type="dxa"/>
            <w:vAlign w:val="bottom"/>
            <w:tcBorders>
              <w:left w:val="single" w:sz="8" w:color="auto"/>
              <w:right w:val="single" w:sz="8" w:color="auto"/>
            </w:tcBorders>
          </w:tcPr>
          <w:p>
            <w:pPr>
              <w:spacing w:after="0"/>
              <w:rPr>
                <w:sz w:val="23"/>
                <w:szCs w:val="23"/>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3"/>
                <w:szCs w:val="23"/>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gridSpan w:val="4"/>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1320" w:type="dxa"/>
            <w:vAlign w:val="bottom"/>
            <w:gridSpan w:val="3"/>
            <w:vMerge w:val="restart"/>
          </w:tcPr>
          <w:p>
            <w:pPr>
              <w:ind w:left="20"/>
              <w:spacing w:after="0"/>
              <w:rPr>
                <w:sz w:val="20"/>
                <w:szCs w:val="20"/>
                <w:color w:val="auto"/>
              </w:rPr>
            </w:pPr>
            <w:r>
              <w:rPr>
                <w:rFonts w:ascii="Arial" w:cs="Arial" w:eastAsia="Arial" w:hAnsi="Arial"/>
                <w:sz w:val="18"/>
                <w:szCs w:val="18"/>
                <w:color w:val="auto"/>
              </w:rPr>
              <w:t>United States</w:t>
            </w: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7</w:t>
            </w: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8</w:t>
            </w: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8,463,164</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0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20" w:type="dxa"/>
            <w:vAlign w:val="bottom"/>
            <w:tcBorders>
              <w:left w:val="single" w:sz="8" w:color="auto"/>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8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b w:val="1"/>
                <w:bCs w:val="1"/>
                <w:color w:val="auto"/>
                <w:w w:val="99"/>
              </w:rPr>
              <w:t>9</w:t>
            </w:r>
          </w:p>
        </w:tc>
        <w:tc>
          <w:tcPr>
            <w:tcW w:w="8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jc w:val="center"/>
              <w:ind w:left="550"/>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80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10</w:t>
            </w: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8,463,164</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2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8,463,164</w:t>
            </w: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80" w:type="dxa"/>
            <w:vAlign w:val="bottom"/>
            <w:tcBorders>
              <w:left w:val="single" w:sz="8" w:color="auto"/>
              <w:right w:val="single" w:sz="8" w:color="auto"/>
            </w:tcBorders>
          </w:tcPr>
          <w:p>
            <w:pPr>
              <w:spacing w:after="0"/>
              <w:rPr>
                <w:sz w:val="18"/>
                <w:szCs w:val="18"/>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380" w:type="dxa"/>
            <w:vAlign w:val="bottom"/>
            <w:tcBorders>
              <w:left w:val="single" w:sz="8" w:color="auto"/>
              <w:right w:val="single" w:sz="8" w:color="auto"/>
            </w:tcBorders>
          </w:tcPr>
          <w:p>
            <w:pPr>
              <w:spacing w:after="0"/>
              <w:rPr>
                <w:sz w:val="12"/>
                <w:szCs w:val="12"/>
                <w:color w:val="auto"/>
              </w:rPr>
            </w:pPr>
          </w:p>
        </w:tc>
        <w:tc>
          <w:tcPr>
            <w:tcW w:w="93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12</w:t>
            </w:r>
          </w:p>
        </w:tc>
        <w:tc>
          <w:tcPr>
            <w:tcW w:w="934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2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27.5% (1)</w:t>
            </w: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20" w:type="dxa"/>
            <w:vAlign w:val="bottom"/>
            <w:gridSpan w:val="2"/>
            <w:vMerge w:val="restart"/>
          </w:tcPr>
          <w:p>
            <w:pPr>
              <w:ind w:left="2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based on approximately 30,784,278 Shares outstanding, based on information from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20" w:type="dxa"/>
            <w:vAlign w:val="bottom"/>
          </w:tcPr>
          <w:p>
            <w:pPr>
              <w:ind w:left="2260"/>
              <w:spacing w:after="0"/>
              <w:rPr>
                <w:sz w:val="20"/>
                <w:szCs w:val="20"/>
                <w:color w:val="auto"/>
              </w:rPr>
            </w:pPr>
            <w:r>
              <w:rPr>
                <w:rFonts w:ascii="Arial" w:cs="Arial" w:eastAsia="Arial" w:hAnsi="Arial"/>
                <w:sz w:val="18"/>
                <w:szCs w:val="18"/>
                <w:color w:val="auto"/>
              </w:rPr>
              <w:t>SCHEDULE 13D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spacing w:after="0"/>
              <w:rPr>
                <w:sz w:val="20"/>
                <w:szCs w:val="20"/>
                <w:color w:val="auto"/>
              </w:rPr>
            </w:pPr>
            <w:r>
              <w:rPr>
                <w:rFonts w:ascii="Arial" w:cs="Arial" w:eastAsia="Arial" w:hAnsi="Arial"/>
                <w:sz w:val="18"/>
                <w:szCs w:val="18"/>
                <w:color w:val="auto"/>
                <w:w w:val="98"/>
              </w:rPr>
              <w:t>CUSIP No: 09075X108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540" w:type="dxa"/>
            <w:vAlign w:val="bottom"/>
            <w:gridSpan w:val="3"/>
          </w:tcPr>
          <w:p>
            <w:pPr>
              <w:jc w:val="right"/>
              <w:spacing w:after="0"/>
              <w:rPr>
                <w:sz w:val="20"/>
                <w:szCs w:val="20"/>
                <w:color w:val="auto"/>
              </w:rPr>
            </w:pPr>
            <w:r>
              <w:rPr>
                <w:rFonts w:ascii="Arial" w:cs="Arial" w:eastAsia="Arial" w:hAnsi="Arial"/>
                <w:sz w:val="18"/>
                <w:szCs w:val="18"/>
                <w:color w:val="auto"/>
              </w:rPr>
              <w:t>Page 4 of 6 Pages</w:t>
            </w:r>
          </w:p>
        </w:tc>
        <w:tc>
          <w:tcPr>
            <w:tcW w:w="0" w:type="dxa"/>
            <w:vAlign w:val="bottom"/>
          </w:tcPr>
          <w:p>
            <w:pPr>
              <w:spacing w:after="0"/>
              <w:rPr>
                <w:sz w:val="1"/>
                <w:szCs w:val="1"/>
                <w:color w:val="auto"/>
              </w:rPr>
            </w:pPr>
          </w:p>
        </w:tc>
      </w:tr>
      <w:tr>
        <w:trPr>
          <w:trHeight w:val="175"/>
        </w:trPr>
        <w:tc>
          <w:tcPr>
            <w:tcW w:w="1380" w:type="dxa"/>
            <w:vAlign w:val="bottom"/>
            <w:tcBorders>
              <w:bottom w:val="single" w:sz="8" w:color="auto"/>
            </w:tcBorders>
          </w:tcPr>
          <w:p>
            <w:pPr>
              <w:spacing w:after="0"/>
              <w:rPr>
                <w:sz w:val="15"/>
                <w:szCs w:val="15"/>
                <w:color w:val="auto"/>
              </w:rPr>
            </w:pPr>
          </w:p>
        </w:tc>
        <w:tc>
          <w:tcPr>
            <w:tcW w:w="9340" w:type="dxa"/>
            <w:vAlign w:val="bottom"/>
            <w:tcBorders>
              <w:bottom w:val="single" w:sz="8" w:color="auto"/>
            </w:tcBorders>
            <w:gridSpan w:val="5"/>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9340" w:type="dxa"/>
            <w:vAlign w:val="bottom"/>
            <w:gridSpan w:val="5"/>
            <w:vMerge w:val="restart"/>
          </w:tcPr>
          <w:p>
            <w:pPr>
              <w:ind w:left="20"/>
              <w:spacing w:after="0"/>
              <w:rPr>
                <w:sz w:val="20"/>
                <w:szCs w:val="20"/>
                <w:color w:val="auto"/>
              </w:rPr>
            </w:pPr>
            <w:r>
              <w:rPr>
                <w:rFonts w:ascii="Arial" w:cs="Arial" w:eastAsia="Arial" w:hAnsi="Arial"/>
                <w:sz w:val="18"/>
                <w:szCs w:val="18"/>
                <w:color w:val="auto"/>
              </w:rPr>
              <w:t>Schuler Family Foundation</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9340" w:type="dxa"/>
            <w:vAlign w:val="bottom"/>
            <w:gridSpan w:val="5"/>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5"/>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380" w:type="dxa"/>
            <w:vAlign w:val="bottom"/>
            <w:tcBorders>
              <w:left w:val="single" w:sz="8" w:color="auto"/>
              <w:right w:val="single" w:sz="8" w:color="auto"/>
            </w:tcBorders>
          </w:tcPr>
          <w:p>
            <w:pPr>
              <w:spacing w:after="0"/>
              <w:rPr>
                <w:sz w:val="21"/>
                <w:szCs w:val="21"/>
                <w:color w:val="auto"/>
              </w:rPr>
            </w:pPr>
          </w:p>
        </w:tc>
        <w:tc>
          <w:tcPr>
            <w:tcW w:w="93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BFBFBF"/>
            </w:tcBorders>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2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460" w:type="dxa"/>
            <w:vAlign w:val="bottom"/>
            <w:shd w:val="clear" w:color="auto" w:fill="BFBFBF"/>
          </w:tcPr>
          <w:p>
            <w:pPr>
              <w:spacing w:after="0"/>
              <w:rPr>
                <w:sz w:val="23"/>
                <w:szCs w:val="23"/>
                <w:color w:val="auto"/>
              </w:rPr>
            </w:pPr>
          </w:p>
        </w:tc>
        <w:tc>
          <w:tcPr>
            <w:tcW w:w="180" w:type="dxa"/>
            <w:vAlign w:val="bottom"/>
            <w:tcBorders>
              <w:right w:val="single" w:sz="8" w:color="BFBFBF"/>
            </w:tcBorders>
            <w:shd w:val="clear" w:color="auto" w:fill="BFBFBF"/>
          </w:tcPr>
          <w:p>
            <w:pPr>
              <w:spacing w:after="0"/>
              <w:rPr>
                <w:sz w:val="23"/>
                <w:szCs w:val="23"/>
                <w:color w:val="auto"/>
              </w:rPr>
            </w:pPr>
          </w:p>
        </w:tc>
        <w:tc>
          <w:tcPr>
            <w:tcW w:w="160" w:type="dxa"/>
            <w:vAlign w:val="bottom"/>
            <w:shd w:val="clear" w:color="auto" w:fill="BFBFBF"/>
          </w:tcPr>
          <w:p>
            <w:pPr>
              <w:spacing w:after="0"/>
              <w:rPr>
                <w:sz w:val="23"/>
                <w:szCs w:val="23"/>
                <w:color w:val="auto"/>
              </w:rPr>
            </w:pPr>
          </w:p>
        </w:tc>
        <w:tc>
          <w:tcPr>
            <w:tcW w:w="520" w:type="dxa"/>
            <w:vAlign w:val="bottom"/>
            <w:tcBorders>
              <w:right w:val="single" w:sz="8" w:color="BFBFBF"/>
            </w:tcBorders>
            <w:shd w:val="clear" w:color="auto" w:fill="BFBFBF"/>
          </w:tcPr>
          <w:p>
            <w:pPr>
              <w:spacing w:after="0"/>
              <w:rPr>
                <w:sz w:val="23"/>
                <w:szCs w:val="23"/>
                <w:color w:val="auto"/>
              </w:rPr>
            </w:pPr>
          </w:p>
        </w:tc>
        <w:tc>
          <w:tcPr>
            <w:tcW w:w="8020" w:type="dxa"/>
            <w:vAlign w:val="bottom"/>
            <w:shd w:val="clear" w:color="auto" w:fill="BFBFBF"/>
          </w:tcPr>
          <w:p>
            <w:pPr>
              <w:spacing w:after="0"/>
              <w:rPr>
                <w:sz w:val="23"/>
                <w:szCs w:val="23"/>
                <w:color w:val="auto"/>
              </w:rPr>
            </w:pPr>
          </w:p>
        </w:tc>
        <w:tc>
          <w:tcPr>
            <w:tcW w:w="300" w:type="dxa"/>
            <w:vAlign w:val="bottom"/>
            <w:shd w:val="clear" w:color="auto" w:fill="BFBFBF"/>
          </w:tcPr>
          <w:p>
            <w:pPr>
              <w:spacing w:after="0"/>
              <w:rPr>
                <w:sz w:val="23"/>
                <w:szCs w:val="23"/>
                <w:color w:val="auto"/>
              </w:rPr>
            </w:pPr>
          </w:p>
        </w:tc>
        <w:tc>
          <w:tcPr>
            <w:tcW w:w="220" w:type="dxa"/>
            <w:vAlign w:val="bottom"/>
            <w:tcBorders>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68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8020" w:type="dxa"/>
            <w:vAlign w:val="bottom"/>
            <w:tcBorders>
              <w:bottom w:val="single" w:sz="8" w:color="auto"/>
            </w:tcBorders>
            <w:shd w:val="clear" w:color="auto" w:fill="BFBFBF"/>
          </w:tcPr>
          <w:p>
            <w:pPr>
              <w:spacing w:after="0"/>
              <w:rPr>
                <w:sz w:val="24"/>
                <w:szCs w:val="24"/>
                <w:color w:val="auto"/>
              </w:rPr>
            </w:pPr>
          </w:p>
        </w:tc>
        <w:tc>
          <w:tcPr>
            <w:tcW w:w="300" w:type="dxa"/>
            <w:vAlign w:val="bottom"/>
            <w:tcBorders>
              <w:bottom w:val="single" w:sz="8" w:color="auto"/>
            </w:tcBorders>
            <w:shd w:val="clear" w:color="auto" w:fill="BFBFBF"/>
          </w:tcPr>
          <w:p>
            <w:pPr>
              <w:spacing w:after="0"/>
              <w:rPr>
                <w:sz w:val="24"/>
                <w:szCs w:val="24"/>
                <w:color w:val="auto"/>
              </w:rPr>
            </w:pPr>
          </w:p>
        </w:tc>
        <w:tc>
          <w:tcPr>
            <w:tcW w:w="22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5"/>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WC</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934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380" w:type="dxa"/>
            <w:vAlign w:val="bottom"/>
            <w:tcBorders>
              <w:left w:val="single" w:sz="8" w:color="auto"/>
              <w:right w:val="single" w:sz="8" w:color="auto"/>
            </w:tcBorders>
          </w:tcPr>
          <w:p>
            <w:pPr>
              <w:spacing w:after="0"/>
              <w:rPr>
                <w:sz w:val="23"/>
                <w:szCs w:val="23"/>
                <w:color w:val="auto"/>
              </w:rPr>
            </w:pPr>
          </w:p>
        </w:tc>
        <w:tc>
          <w:tcPr>
            <w:tcW w:w="93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3"/>
                <w:szCs w:val="23"/>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9340" w:type="dxa"/>
            <w:vAlign w:val="bottom"/>
            <w:tcBorders>
              <w:bottom w:val="single" w:sz="8" w:color="auto"/>
            </w:tcBorders>
            <w:gridSpan w:val="5"/>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color w:val="auto"/>
              </w:rPr>
              <w:t>Illinois</w:t>
            </w:r>
          </w:p>
        </w:tc>
        <w:tc>
          <w:tcPr>
            <w:tcW w:w="52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7</w:t>
            </w: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8</w:t>
            </w: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277,777</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tcBorders>
            <w:gridSpan w:val="2"/>
          </w:tcPr>
          <w:p>
            <w:pPr>
              <w:jc w:val="center"/>
              <w:ind w:left="110"/>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840" w:type="dxa"/>
            <w:vAlign w:val="bottom"/>
            <w:tcBorders>
              <w:left w:val="single" w:sz="8" w:color="auto"/>
            </w:tcBorders>
            <w:gridSpan w:val="2"/>
            <w:vMerge w:val="restart"/>
          </w:tcPr>
          <w:p>
            <w:pPr>
              <w:jc w:val="center"/>
              <w:ind w:left="110"/>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0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840" w:type="dxa"/>
            <w:vAlign w:val="bottom"/>
            <w:tcBorders>
              <w:left w:val="single" w:sz="8" w:color="auto"/>
            </w:tcBorders>
            <w:gridSpan w:val="2"/>
            <w:vMerge w:val="continue"/>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8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tcBorders>
              <w:left w:val="single" w:sz="8" w:color="auto"/>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w w:val="99"/>
              </w:rPr>
              <w:t>9</w:t>
            </w:r>
          </w:p>
        </w:tc>
        <w:tc>
          <w:tcPr>
            <w:tcW w:w="80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tcBorders>
          </w:tcPr>
          <w:p>
            <w:pPr>
              <w:jc w:val="center"/>
              <w:ind w:left="550"/>
              <w:spacing w:after="0"/>
              <w:rPr>
                <w:sz w:val="20"/>
                <w:szCs w:val="20"/>
                <w:color w:val="auto"/>
              </w:rPr>
            </w:pPr>
            <w:r>
              <w:rPr>
                <w:rFonts w:ascii="Arial" w:cs="Arial" w:eastAsia="Arial" w:hAnsi="Arial"/>
                <w:sz w:val="18"/>
                <w:szCs w:val="18"/>
                <w:b w:val="1"/>
                <w:bCs w:val="1"/>
                <w:color w:val="auto"/>
              </w:rPr>
              <w:t>WITH</w:t>
            </w:r>
          </w:p>
        </w:tc>
        <w:tc>
          <w:tcPr>
            <w:tcW w:w="4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80" w:type="dxa"/>
            <w:vAlign w:val="bottom"/>
            <w:tcBorders>
              <w:lef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0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10</w:t>
            </w:r>
          </w:p>
        </w:tc>
        <w:tc>
          <w:tcPr>
            <w:tcW w:w="8020" w:type="dxa"/>
            <w:vAlign w:val="bottom"/>
            <w:vMerge w:val="restart"/>
          </w:tcPr>
          <w:p>
            <w:pPr>
              <w:ind w:left="40"/>
              <w:spacing w:after="0"/>
              <w:rPr>
                <w:sz w:val="20"/>
                <w:szCs w:val="20"/>
                <w:color w:val="auto"/>
              </w:rPr>
            </w:pPr>
            <w:r>
              <w:rPr>
                <w:rFonts w:ascii="Arial" w:cs="Arial" w:eastAsia="Arial" w:hAnsi="Arial"/>
                <w:sz w:val="18"/>
                <w:szCs w:val="18"/>
                <w:color w:val="auto"/>
              </w:rPr>
              <w:t>277,777</w:t>
            </w: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0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gridSpan w:val="2"/>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640" w:type="dxa"/>
            <w:vAlign w:val="bottom"/>
            <w:gridSpan w:val="2"/>
            <w:vMerge w:val="restart"/>
          </w:tcPr>
          <w:p>
            <w:pPr>
              <w:ind w:left="20"/>
              <w:spacing w:after="0"/>
              <w:rPr>
                <w:sz w:val="20"/>
                <w:szCs w:val="20"/>
                <w:color w:val="auto"/>
              </w:rPr>
            </w:pPr>
            <w:r>
              <w:rPr>
                <w:rFonts w:ascii="Arial" w:cs="Arial" w:eastAsia="Arial" w:hAnsi="Arial"/>
                <w:sz w:val="18"/>
                <w:szCs w:val="18"/>
                <w:color w:val="auto"/>
                <w:w w:val="89"/>
              </w:rPr>
              <w:t>277,777</w:t>
            </w: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gridSpan w:val="2"/>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380" w:type="dxa"/>
            <w:vAlign w:val="bottom"/>
            <w:tcBorders>
              <w:left w:val="single" w:sz="8" w:color="auto"/>
              <w:right w:val="single" w:sz="8" w:color="auto"/>
            </w:tcBorders>
          </w:tcPr>
          <w:p>
            <w:pPr>
              <w:spacing w:after="0"/>
              <w:rPr>
                <w:sz w:val="18"/>
                <w:szCs w:val="18"/>
                <w:color w:val="auto"/>
              </w:rPr>
            </w:pPr>
          </w:p>
        </w:tc>
        <w:tc>
          <w:tcPr>
            <w:tcW w:w="934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380" w:type="dxa"/>
            <w:vAlign w:val="bottom"/>
            <w:tcBorders>
              <w:left w:val="single" w:sz="8" w:color="auto"/>
              <w:right w:val="single" w:sz="8" w:color="auto"/>
            </w:tcBorders>
          </w:tcPr>
          <w:p>
            <w:pPr>
              <w:spacing w:after="0"/>
              <w:rPr>
                <w:sz w:val="12"/>
                <w:szCs w:val="12"/>
                <w:color w:val="auto"/>
              </w:rPr>
            </w:pPr>
          </w:p>
        </w:tc>
        <w:tc>
          <w:tcPr>
            <w:tcW w:w="934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12</w:t>
            </w:r>
          </w:p>
        </w:tc>
        <w:tc>
          <w:tcPr>
            <w:tcW w:w="9340" w:type="dxa"/>
            <w:vAlign w:val="bottom"/>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right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gridSpan w:val="2"/>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0.9%</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(1)</w:t>
            </w:r>
          </w:p>
        </w:tc>
        <w:tc>
          <w:tcPr>
            <w:tcW w:w="52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46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gridSpan w:val="2"/>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right w:val="single" w:sz="8" w:color="auto"/>
            </w:tcBorders>
          </w:tcPr>
          <w:p>
            <w:pPr>
              <w:spacing w:after="0"/>
              <w:rPr>
                <w:sz w:val="20"/>
                <w:szCs w:val="20"/>
                <w:color w:val="auto"/>
              </w:rPr>
            </w:pPr>
          </w:p>
        </w:tc>
        <w:tc>
          <w:tcPr>
            <w:tcW w:w="934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CO</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percentage is based on approximately 30,784,278 Shares outstanding as of the date of this filing, based on information from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5 of 6 Pages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1 of the Schedule 13D is hereby amended and supplemented as follows:</w:t>
      </w:r>
    </w:p>
    <w:p>
      <w:pPr>
        <w:spacing w:after="0" w:line="21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This Amendment No. 1 to Schedule 13D (“Amendment No. 1”) is being filed by the undersigned, pursuant to §240.13d-2(a), to amend and supplement the Schedule 13D filed with the U.S. Securities and Exchange Commission (the “SEC”) on November 9, 2020, (the “Initial Schedule 13D” and together with this Amendment No. 1, the “Schedule 13D”), with respect to the common stock, par value $0.001 per share (the “Shares”), of Biodesix, Inc. (the “Issuer” or the “Company”), whose principal executive offices are located at 2970 Wilderness Place, Suite 100, Boulder, Colorado 80301.</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3 of the Schedule 13D is hereby amended and supplemented as follows:</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Mr. Schuler, through the Trust, purchased 2,298,850 Shares, at a price of $4.35 per Share, directly from the Issuer in a registered at-the-market offering, for an aggregate purchase price of $9,999,997.50. The source of funds for these purchases was Mr. Schuler’s personal funds.</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Item 5(a) – (c) of the Schedule 13D is hereby amended and supplemented as follows:</w:t>
      </w:r>
    </w:p>
    <w:p>
      <w:pPr>
        <w:spacing w:after="0" w:line="215"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(a, b) As of the date hereof, Mr. Schuler may be deemed to beneficially own, in the aggregate, 8,752,658 Shares, which represents approximately 28.4% of the Shares outstanding.</w:t>
      </w:r>
    </w:p>
    <w:p>
      <w:pPr>
        <w:spacing w:after="0" w:line="20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Mr. Schuler’s beneficial ownership consists of (1) 11,717 Shares that Mr. Schuler has the right to acquire upon exercise of options exercisable within 60 days of the date of this filing, (2) 8,463,164 held by the Trust, representing approximately 27.5% of the Shares outstanding, and (3) 277,777 Shares held by the Foundation, representing approximately 0.9% of the Shares outstanding.</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The foregoing beneficial ownership percentages are based on approximately 30,784,278 Shares outstanding as of the date of this filing, based on information from the Issuer, plus, for purposes of calculating Mr. Schuler’s beneficial ownership percentage, 11,717 Shares that Mr. Schuler has the right to acquire upon exercise of options exercisable within 60 days of the date of this filing.</w:t>
      </w:r>
    </w:p>
    <w:p>
      <w:pPr>
        <w:spacing w:after="0" w:line="21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As sole trustee of the Trust, Mr. Schuler shares with the Trust the power to vote or direct the vote, and the power to dispose or direct the disposition of, the 8,463,164 Shares beneficially owned by the Trust. Mr. Schuler disclaims any beneficial ownership in any of the Shares held by the Foundation. In addition, Mr. Schuler has no pecuniary interest, as such term is used for purposes of Section 16 of the Act, in any of the Shares held by the Foundation.</w:t>
      </w:r>
    </w:p>
    <w:p>
      <w:pPr>
        <w:spacing w:after="0" w:line="201" w:lineRule="exact"/>
        <w:rPr>
          <w:sz w:val="20"/>
          <w:szCs w:val="20"/>
          <w:color w:val="auto"/>
        </w:rPr>
      </w:pPr>
    </w:p>
    <w:p>
      <w:pPr>
        <w:ind w:firstLine="1304"/>
        <w:spacing w:after="0" w:line="328" w:lineRule="auto"/>
        <w:tabs>
          <w:tab w:leader="none" w:pos="1607"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response to Item 3 of this Schedule 13D is incorporated by reference herein. In addition, the Reporting Persons effected the following transactions in Shares, in the open-market through a broker, within the past 60 days: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880" w:type="dxa"/>
            <w:vAlign w:val="bottom"/>
            <w:tcBorders>
              <w:top w:val="single" w:sz="8" w:color="auto"/>
              <w:left w:val="single" w:sz="8" w:color="auto"/>
              <w:right w:val="single" w:sz="8" w:color="auto"/>
            </w:tcBorders>
          </w:tcPr>
          <w:p>
            <w:pPr>
              <w:ind w:left="1220"/>
              <w:spacing w:after="0"/>
              <w:rPr>
                <w:sz w:val="20"/>
                <w:szCs w:val="20"/>
                <w:color w:val="auto"/>
              </w:rPr>
            </w:pPr>
            <w:r>
              <w:rPr>
                <w:rFonts w:ascii="Arial" w:cs="Arial" w:eastAsia="Arial" w:hAnsi="Arial"/>
                <w:sz w:val="18"/>
                <w:szCs w:val="18"/>
                <w:b w:val="1"/>
                <w:bCs w:val="1"/>
                <w:color w:val="auto"/>
              </w:rPr>
              <w:t>Name</w:t>
            </w:r>
          </w:p>
        </w:tc>
        <w:tc>
          <w:tcPr>
            <w:tcW w:w="2820" w:type="dxa"/>
            <w:vAlign w:val="bottom"/>
            <w:tcBorders>
              <w:top w:val="single" w:sz="8" w:color="auto"/>
              <w:right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Date</w:t>
            </w:r>
          </w:p>
        </w:tc>
        <w:tc>
          <w:tcPr>
            <w:tcW w:w="2780" w:type="dxa"/>
            <w:vAlign w:val="bottom"/>
            <w:tcBorders>
              <w:top w:val="single" w:sz="8" w:color="auto"/>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Quantity Purchased or</w:t>
            </w:r>
          </w:p>
        </w:tc>
        <w:tc>
          <w:tcPr>
            <w:tcW w:w="2760" w:type="dxa"/>
            <w:vAlign w:val="bottom"/>
            <w:tcBorders>
              <w:top w:val="single" w:sz="8" w:color="auto"/>
              <w:right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Price</w:t>
            </w:r>
          </w:p>
        </w:tc>
      </w:tr>
      <w:tr>
        <w:trPr>
          <w:trHeight w:val="241"/>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(Sold)</w:t>
            </w:r>
          </w:p>
        </w:tc>
        <w:tc>
          <w:tcPr>
            <w:tcW w:w="2760" w:type="dxa"/>
            <w:vAlign w:val="bottom"/>
            <w:tcBorders>
              <w:bottom w:val="single" w:sz="8" w:color="auto"/>
              <w:right w:val="single" w:sz="8" w:color="auto"/>
            </w:tcBorders>
          </w:tcPr>
          <w:p>
            <w:pPr>
              <w:spacing w:after="0"/>
              <w:rPr>
                <w:sz w:val="20"/>
                <w:szCs w:val="20"/>
                <w:color w:val="auto"/>
              </w:rPr>
            </w:pPr>
          </w:p>
        </w:tc>
      </w:tr>
      <w:tr>
        <w:trPr>
          <w:trHeight w:val="223"/>
        </w:trPr>
        <w:tc>
          <w:tcPr>
            <w:tcW w:w="2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Trust</w:t>
            </w:r>
          </w:p>
        </w:tc>
        <w:tc>
          <w:tcPr>
            <w:tcW w:w="2820" w:type="dxa"/>
            <w:vAlign w:val="bottom"/>
            <w:tcBorders>
              <w:bottom w:val="single" w:sz="8" w:color="auto"/>
              <w:right w:val="single" w:sz="8" w:color="auto"/>
            </w:tcBorders>
            <w:shd w:val="clear" w:color="auto" w:fill="CCEEFF"/>
          </w:tcPr>
          <w:p>
            <w:pPr>
              <w:jc w:val="right"/>
              <w:ind w:right="1910"/>
              <w:spacing w:after="0"/>
              <w:rPr>
                <w:sz w:val="20"/>
                <w:szCs w:val="20"/>
                <w:color w:val="auto"/>
              </w:rPr>
            </w:pPr>
            <w:r>
              <w:rPr>
                <w:rFonts w:ascii="Arial" w:cs="Arial" w:eastAsia="Arial" w:hAnsi="Arial"/>
                <w:sz w:val="18"/>
                <w:szCs w:val="18"/>
                <w:color w:val="auto"/>
                <w:w w:val="88"/>
              </w:rPr>
              <w:t>11/17/2021</w:t>
            </w:r>
          </w:p>
        </w:tc>
        <w:tc>
          <w:tcPr>
            <w:tcW w:w="2780" w:type="dxa"/>
            <w:vAlign w:val="bottom"/>
            <w:tcBorders>
              <w:bottom w:val="single" w:sz="8" w:color="auto"/>
              <w:right w:val="single" w:sz="8" w:color="auto"/>
            </w:tcBorders>
            <w:shd w:val="clear" w:color="auto" w:fill="CCEEFF"/>
          </w:tcPr>
          <w:p>
            <w:pPr>
              <w:jc w:val="right"/>
              <w:ind w:right="2210"/>
              <w:spacing w:after="0"/>
              <w:rPr>
                <w:sz w:val="20"/>
                <w:szCs w:val="20"/>
                <w:color w:val="auto"/>
              </w:rPr>
            </w:pPr>
            <w:r>
              <w:rPr>
                <w:rFonts w:ascii="Arial" w:cs="Arial" w:eastAsia="Arial" w:hAnsi="Arial"/>
                <w:sz w:val="18"/>
                <w:szCs w:val="18"/>
                <w:color w:val="auto"/>
                <w:w w:val="83"/>
              </w:rPr>
              <w:t>20,000</w:t>
            </w:r>
          </w:p>
        </w:tc>
        <w:tc>
          <w:tcPr>
            <w:tcW w:w="2760" w:type="dxa"/>
            <w:vAlign w:val="bottom"/>
            <w:tcBorders>
              <w:bottom w:val="single" w:sz="8" w:color="auto"/>
              <w:right w:val="single" w:sz="8" w:color="auto"/>
            </w:tcBorders>
            <w:shd w:val="clear" w:color="auto" w:fill="CCEEFF"/>
          </w:tcPr>
          <w:p>
            <w:pPr>
              <w:jc w:val="right"/>
              <w:ind w:right="1870"/>
              <w:spacing w:after="0"/>
              <w:rPr>
                <w:sz w:val="20"/>
                <w:szCs w:val="20"/>
                <w:color w:val="auto"/>
              </w:rPr>
            </w:pPr>
            <w:r>
              <w:rPr>
                <w:rFonts w:ascii="Arial" w:cs="Arial" w:eastAsia="Arial" w:hAnsi="Arial"/>
                <w:sz w:val="18"/>
                <w:szCs w:val="18"/>
                <w:color w:val="auto"/>
                <w:w w:val="89"/>
              </w:rPr>
              <w:t>$6.5052(1)</w:t>
            </w:r>
          </w:p>
        </w:tc>
      </w:tr>
      <w:tr>
        <w:trPr>
          <w:trHeight w:val="223"/>
        </w:trPr>
        <w:tc>
          <w:tcPr>
            <w:tcW w:w="2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Trust</w:t>
            </w:r>
          </w:p>
        </w:tc>
        <w:tc>
          <w:tcPr>
            <w:tcW w:w="2820" w:type="dxa"/>
            <w:vAlign w:val="bottom"/>
            <w:tcBorders>
              <w:bottom w:val="single" w:sz="8" w:color="auto"/>
              <w:right w:val="single" w:sz="8" w:color="auto"/>
            </w:tcBorders>
            <w:shd w:val="clear" w:color="auto" w:fill="CCEEFF"/>
          </w:tcPr>
          <w:p>
            <w:pPr>
              <w:jc w:val="right"/>
              <w:ind w:right="1910"/>
              <w:spacing w:after="0"/>
              <w:rPr>
                <w:sz w:val="20"/>
                <w:szCs w:val="20"/>
                <w:color w:val="auto"/>
              </w:rPr>
            </w:pPr>
            <w:r>
              <w:rPr>
                <w:rFonts w:ascii="Arial" w:cs="Arial" w:eastAsia="Arial" w:hAnsi="Arial"/>
                <w:sz w:val="18"/>
                <w:szCs w:val="18"/>
                <w:color w:val="auto"/>
                <w:w w:val="88"/>
              </w:rPr>
              <w:t>11/18/2021</w:t>
            </w:r>
          </w:p>
        </w:tc>
        <w:tc>
          <w:tcPr>
            <w:tcW w:w="2780" w:type="dxa"/>
            <w:vAlign w:val="bottom"/>
            <w:tcBorders>
              <w:bottom w:val="single" w:sz="8" w:color="auto"/>
              <w:right w:val="single" w:sz="8" w:color="auto"/>
            </w:tcBorders>
            <w:shd w:val="clear" w:color="auto" w:fill="CCEEFF"/>
          </w:tcPr>
          <w:p>
            <w:pPr>
              <w:jc w:val="right"/>
              <w:ind w:right="2210"/>
              <w:spacing w:after="0"/>
              <w:rPr>
                <w:sz w:val="20"/>
                <w:szCs w:val="20"/>
                <w:color w:val="auto"/>
              </w:rPr>
            </w:pPr>
            <w:r>
              <w:rPr>
                <w:rFonts w:ascii="Arial" w:cs="Arial" w:eastAsia="Arial" w:hAnsi="Arial"/>
                <w:sz w:val="18"/>
                <w:szCs w:val="18"/>
                <w:color w:val="auto"/>
                <w:w w:val="83"/>
              </w:rPr>
              <w:t>28,361</w:t>
            </w:r>
          </w:p>
        </w:tc>
        <w:tc>
          <w:tcPr>
            <w:tcW w:w="2760" w:type="dxa"/>
            <w:vAlign w:val="bottom"/>
            <w:tcBorders>
              <w:bottom w:val="single" w:sz="8" w:color="auto"/>
              <w:right w:val="single" w:sz="8" w:color="auto"/>
            </w:tcBorders>
            <w:shd w:val="clear" w:color="auto" w:fill="CCEEFF"/>
          </w:tcPr>
          <w:p>
            <w:pPr>
              <w:jc w:val="right"/>
              <w:ind w:right="1870"/>
              <w:spacing w:after="0"/>
              <w:rPr>
                <w:sz w:val="20"/>
                <w:szCs w:val="20"/>
                <w:color w:val="auto"/>
              </w:rPr>
            </w:pPr>
            <w:r>
              <w:rPr>
                <w:rFonts w:ascii="Arial" w:cs="Arial" w:eastAsia="Arial" w:hAnsi="Arial"/>
                <w:sz w:val="18"/>
                <w:szCs w:val="18"/>
                <w:color w:val="auto"/>
                <w:w w:val="89"/>
              </w:rPr>
              <w:t>$6.3292(2)</w:t>
            </w:r>
          </w:p>
        </w:tc>
      </w:tr>
      <w:tr>
        <w:trPr>
          <w:trHeight w:val="223"/>
        </w:trPr>
        <w:tc>
          <w:tcPr>
            <w:tcW w:w="2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Trust</w:t>
            </w:r>
          </w:p>
        </w:tc>
        <w:tc>
          <w:tcPr>
            <w:tcW w:w="2820" w:type="dxa"/>
            <w:vAlign w:val="bottom"/>
            <w:tcBorders>
              <w:bottom w:val="single" w:sz="8" w:color="auto"/>
              <w:right w:val="single" w:sz="8" w:color="auto"/>
            </w:tcBorders>
            <w:shd w:val="clear" w:color="auto" w:fill="CCEEFF"/>
          </w:tcPr>
          <w:p>
            <w:pPr>
              <w:jc w:val="right"/>
              <w:ind w:right="1910"/>
              <w:spacing w:after="0"/>
              <w:rPr>
                <w:sz w:val="20"/>
                <w:szCs w:val="20"/>
                <w:color w:val="auto"/>
              </w:rPr>
            </w:pPr>
            <w:r>
              <w:rPr>
                <w:rFonts w:ascii="Arial" w:cs="Arial" w:eastAsia="Arial" w:hAnsi="Arial"/>
                <w:sz w:val="18"/>
                <w:szCs w:val="18"/>
                <w:color w:val="auto"/>
                <w:w w:val="88"/>
              </w:rPr>
              <w:t>11/19/2021</w:t>
            </w:r>
          </w:p>
        </w:tc>
        <w:tc>
          <w:tcPr>
            <w:tcW w:w="2780" w:type="dxa"/>
            <w:vAlign w:val="bottom"/>
            <w:tcBorders>
              <w:bottom w:val="single" w:sz="8" w:color="auto"/>
              <w:right w:val="single" w:sz="8" w:color="auto"/>
            </w:tcBorders>
            <w:shd w:val="clear" w:color="auto" w:fill="CCEEFF"/>
          </w:tcPr>
          <w:p>
            <w:pPr>
              <w:jc w:val="right"/>
              <w:ind w:right="2210"/>
              <w:spacing w:after="0"/>
              <w:rPr>
                <w:sz w:val="20"/>
                <w:szCs w:val="20"/>
                <w:color w:val="auto"/>
              </w:rPr>
            </w:pPr>
            <w:r>
              <w:rPr>
                <w:rFonts w:ascii="Arial" w:cs="Arial" w:eastAsia="Arial" w:hAnsi="Arial"/>
                <w:sz w:val="18"/>
                <w:szCs w:val="18"/>
                <w:color w:val="auto"/>
                <w:w w:val="83"/>
              </w:rPr>
              <w:t>60,000</w:t>
            </w:r>
          </w:p>
        </w:tc>
        <w:tc>
          <w:tcPr>
            <w:tcW w:w="2760" w:type="dxa"/>
            <w:vAlign w:val="bottom"/>
            <w:tcBorders>
              <w:bottom w:val="single" w:sz="8" w:color="auto"/>
              <w:right w:val="single" w:sz="8" w:color="auto"/>
            </w:tcBorders>
            <w:shd w:val="clear" w:color="auto" w:fill="CCEEFF"/>
          </w:tcPr>
          <w:p>
            <w:pPr>
              <w:jc w:val="right"/>
              <w:ind w:right="1870"/>
              <w:spacing w:after="0"/>
              <w:rPr>
                <w:sz w:val="20"/>
                <w:szCs w:val="20"/>
                <w:color w:val="auto"/>
              </w:rPr>
            </w:pPr>
            <w:r>
              <w:rPr>
                <w:rFonts w:ascii="Arial" w:cs="Arial" w:eastAsia="Arial" w:hAnsi="Arial"/>
                <w:sz w:val="18"/>
                <w:szCs w:val="18"/>
                <w:color w:val="auto"/>
                <w:w w:val="89"/>
              </w:rPr>
              <w:t>$6.5031(3)</w:t>
            </w:r>
          </w:p>
        </w:tc>
      </w:tr>
      <w:tr>
        <w:trPr>
          <w:trHeight w:val="223"/>
        </w:trPr>
        <w:tc>
          <w:tcPr>
            <w:tcW w:w="2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Trust</w:t>
            </w:r>
          </w:p>
        </w:tc>
        <w:tc>
          <w:tcPr>
            <w:tcW w:w="2820" w:type="dxa"/>
            <w:vAlign w:val="bottom"/>
            <w:tcBorders>
              <w:bottom w:val="single" w:sz="8" w:color="auto"/>
              <w:right w:val="single" w:sz="8" w:color="auto"/>
            </w:tcBorders>
            <w:shd w:val="clear" w:color="auto" w:fill="CCEEFF"/>
          </w:tcPr>
          <w:p>
            <w:pPr>
              <w:jc w:val="right"/>
              <w:ind w:right="1910"/>
              <w:spacing w:after="0"/>
              <w:rPr>
                <w:sz w:val="20"/>
                <w:szCs w:val="20"/>
                <w:color w:val="auto"/>
              </w:rPr>
            </w:pPr>
            <w:r>
              <w:rPr>
                <w:rFonts w:ascii="Arial" w:cs="Arial" w:eastAsia="Arial" w:hAnsi="Arial"/>
                <w:sz w:val="18"/>
                <w:szCs w:val="18"/>
                <w:color w:val="auto"/>
                <w:w w:val="88"/>
              </w:rPr>
              <w:t>11/22/2021</w:t>
            </w:r>
          </w:p>
        </w:tc>
        <w:tc>
          <w:tcPr>
            <w:tcW w:w="2780" w:type="dxa"/>
            <w:vAlign w:val="bottom"/>
            <w:tcBorders>
              <w:bottom w:val="single" w:sz="8" w:color="auto"/>
              <w:right w:val="single" w:sz="8" w:color="auto"/>
            </w:tcBorders>
            <w:shd w:val="clear" w:color="auto" w:fill="CCEEFF"/>
          </w:tcPr>
          <w:p>
            <w:pPr>
              <w:jc w:val="right"/>
              <w:ind w:right="2210"/>
              <w:spacing w:after="0"/>
              <w:rPr>
                <w:sz w:val="20"/>
                <w:szCs w:val="20"/>
                <w:color w:val="auto"/>
              </w:rPr>
            </w:pPr>
            <w:r>
              <w:rPr>
                <w:rFonts w:ascii="Arial" w:cs="Arial" w:eastAsia="Arial" w:hAnsi="Arial"/>
                <w:sz w:val="18"/>
                <w:szCs w:val="18"/>
                <w:color w:val="auto"/>
                <w:w w:val="83"/>
              </w:rPr>
              <w:t>20,000</w:t>
            </w:r>
          </w:p>
        </w:tc>
        <w:tc>
          <w:tcPr>
            <w:tcW w:w="2760" w:type="dxa"/>
            <w:vAlign w:val="bottom"/>
            <w:tcBorders>
              <w:bottom w:val="single" w:sz="8" w:color="auto"/>
              <w:right w:val="single" w:sz="8" w:color="auto"/>
            </w:tcBorders>
            <w:shd w:val="clear" w:color="auto" w:fill="CCEEFF"/>
          </w:tcPr>
          <w:p>
            <w:pPr>
              <w:jc w:val="right"/>
              <w:ind w:right="1870"/>
              <w:spacing w:after="0"/>
              <w:rPr>
                <w:sz w:val="20"/>
                <w:szCs w:val="20"/>
                <w:color w:val="auto"/>
              </w:rPr>
            </w:pPr>
            <w:r>
              <w:rPr>
                <w:rFonts w:ascii="Arial" w:cs="Arial" w:eastAsia="Arial" w:hAnsi="Arial"/>
                <w:sz w:val="18"/>
                <w:szCs w:val="18"/>
                <w:color w:val="auto"/>
                <w:w w:val="89"/>
              </w:rPr>
              <w:t>$6.3378(4)</w:t>
            </w:r>
          </w:p>
        </w:tc>
      </w:tr>
    </w:tbl>
    <w:p>
      <w:pPr>
        <w:spacing w:after="0" w:line="222" w:lineRule="exact"/>
        <w:rPr>
          <w:sz w:val="20"/>
          <w:szCs w:val="20"/>
          <w:color w:val="auto"/>
        </w:rPr>
      </w:pPr>
    </w:p>
    <w:p>
      <w:pPr>
        <w:jc w:val="both"/>
        <w:ind w:firstLine="8"/>
        <w:spacing w:after="0" w:line="234" w:lineRule="auto"/>
        <w:tabs>
          <w:tab w:leader="none" w:pos="31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This price is a weighted average price. These Shares were purchased in multiple transactions at prices ranging from $6.23 to $6.64, inclusive. The Reporting Persons undertake to provide to the Issuer, any security holder of the Issuer, or the staff of the Securities and Exchange Commission, upon request, full information regarding the number of shares purchased at each separate price within the ranges set forth in footnotes (1) through (4).</w:t>
      </w:r>
    </w:p>
    <w:p>
      <w:pPr>
        <w:spacing w:after="0" w:line="3" w:lineRule="exact"/>
        <w:rPr>
          <w:rFonts w:ascii="Arial" w:cs="Arial" w:eastAsia="Arial" w:hAnsi="Arial"/>
          <w:sz w:val="22"/>
          <w:szCs w:val="22"/>
          <w:color w:val="auto"/>
        </w:rPr>
      </w:pPr>
    </w:p>
    <w:p>
      <w:pPr>
        <w:ind w:firstLine="8"/>
        <w:spacing w:after="0" w:line="230" w:lineRule="auto"/>
        <w:tabs>
          <w:tab w:leader="none" w:pos="31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This price is a weighted average price. These Shares were purchased in multiple transactions at prices ranging from $6.12 to $6.49, inclusive.</w:t>
      </w:r>
    </w:p>
    <w:p>
      <w:pPr>
        <w:spacing w:after="0" w:line="1" w:lineRule="exact"/>
        <w:rPr>
          <w:rFonts w:ascii="Arial" w:cs="Arial" w:eastAsia="Arial" w:hAnsi="Arial"/>
          <w:sz w:val="22"/>
          <w:szCs w:val="22"/>
          <w:color w:val="auto"/>
        </w:rPr>
      </w:pPr>
    </w:p>
    <w:p>
      <w:pPr>
        <w:ind w:firstLine="8"/>
        <w:spacing w:after="0" w:line="230" w:lineRule="auto"/>
        <w:tabs>
          <w:tab w:leader="none" w:pos="31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This price is a weighted average price. These Shares were purchased in multiple transactions at prices ranging from $6.44 to $6.53, inclusive.</w:t>
      </w:r>
    </w:p>
    <w:p>
      <w:pPr>
        <w:spacing w:after="0" w:line="1" w:lineRule="exact"/>
        <w:rPr>
          <w:rFonts w:ascii="Arial" w:cs="Arial" w:eastAsia="Arial" w:hAnsi="Arial"/>
          <w:sz w:val="22"/>
          <w:szCs w:val="22"/>
          <w:color w:val="auto"/>
        </w:rPr>
      </w:pPr>
    </w:p>
    <w:p>
      <w:pPr>
        <w:ind w:firstLine="8"/>
        <w:spacing w:after="0" w:line="236" w:lineRule="auto"/>
        <w:tabs>
          <w:tab w:leader="none" w:pos="31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This price is a weighted average price. These Shares were purchased in multiple transactions at prices ranging from $6.00 to $6.40, inclusive.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color w:val="auto"/>
        </w:rPr>
        <w:t>SCHEDULE 13D</w:t>
      </w:r>
    </w:p>
    <w:p>
      <w:pPr>
        <w:spacing w:after="0" w:line="23" w:lineRule="exact"/>
        <w:rPr>
          <w:sz w:val="20"/>
          <w:szCs w:val="20"/>
          <w:color w:val="auto"/>
        </w:rPr>
      </w:pPr>
    </w:p>
    <w:p>
      <w:pPr>
        <w:spacing w:after="0"/>
        <w:tabs>
          <w:tab w:leader="none" w:pos="9900" w:val="left"/>
        </w:tabs>
        <w:rPr>
          <w:sz w:val="20"/>
          <w:szCs w:val="20"/>
          <w:color w:val="auto"/>
        </w:rPr>
      </w:pPr>
      <w:r>
        <w:rPr>
          <w:rFonts w:ascii="Arial" w:cs="Arial" w:eastAsia="Arial" w:hAnsi="Arial"/>
          <w:sz w:val="18"/>
          <w:szCs w:val="18"/>
          <w:color w:val="auto"/>
        </w:rPr>
        <w:t>CUSIP No: 09075X108</w:t>
      </w:r>
      <w:r>
        <w:rPr>
          <w:sz w:val="20"/>
          <w:szCs w:val="20"/>
          <w:color w:val="auto"/>
        </w:rPr>
        <w:tab/>
      </w:r>
      <w:r>
        <w:rPr>
          <w:rFonts w:ascii="Arial" w:cs="Arial" w:eastAsia="Arial" w:hAnsi="Arial"/>
          <w:sz w:val="15"/>
          <w:szCs w:val="15"/>
          <w:color w:val="auto"/>
        </w:rPr>
        <w:t>Page 6 of 6 Pages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Jack W. Schuler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Jack W. Schuler Living Trust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Schuler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Trustee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Schuler Family Foundation</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Jack W. 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7089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Schuler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January 4, 2022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Attention: Intentional misstatements or omissions of 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2022-01-04T15:35:56Z</dcterms:created>
  <dcterms:modified xsi:type="dcterms:W3CDTF">2022-01-04T15:35:56Z</dcterms:modified>
</cp:coreProperties>
</file>