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ind w:left="47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81915</wp:posOffset>
            </wp:positionV>
            <wp:extent cx="699516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22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2207895</wp:posOffset>
            </wp:positionH>
            <wp:positionV relativeFrom="paragraph">
              <wp:posOffset>151765</wp:posOffset>
            </wp:positionV>
            <wp:extent cx="27260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26055" cy="8255"/>
                    </a:xfrm>
                    <a:prstGeom prst="rect">
                      <a:avLst/>
                    </a:prstGeom>
                    <a:noFill/>
                  </pic:spPr>
                </pic:pic>
              </a:graphicData>
            </a:graphic>
          </wp:anchor>
        </w:drawing>
        <w:drawing>
          <wp:anchor simplePos="0" relativeHeight="251657728" behindDoc="1" locked="0" layoutInCell="0" allowOverlap="1">
            <wp:simplePos x="0" y="0"/>
            <wp:positionH relativeFrom="column">
              <wp:posOffset>3851910</wp:posOffset>
            </wp:positionH>
            <wp:positionV relativeFrom="paragraph">
              <wp:posOffset>-19050</wp:posOffset>
            </wp:positionV>
            <wp:extent cx="2286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ind w:left="560" w:hanging="444"/>
        <w:spacing w:after="0"/>
        <w:tabs>
          <w:tab w:leader="none" w:pos="5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Filed by the Registrant</w:t>
      </w:r>
    </w:p>
    <w:p>
      <w:pPr>
        <w:spacing w:after="0" w:line="75" w:lineRule="exact"/>
        <w:rPr>
          <w:sz w:val="24"/>
          <w:szCs w:val="24"/>
          <w:color w:val="auto"/>
        </w:rPr>
      </w:pPr>
    </w:p>
    <w:p>
      <w:pPr>
        <w:ind w:left="560" w:hanging="444"/>
        <w:spacing w:after="0"/>
        <w:tabs>
          <w:tab w:leader="none" w:pos="5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Filed by a Party other than the Registrant</w:t>
      </w:r>
    </w:p>
    <w:p>
      <w:pPr>
        <w:spacing w:after="0" w:line="22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27" w:lineRule="exact"/>
        <w:rPr>
          <w:sz w:val="24"/>
          <w:szCs w:val="24"/>
          <w:color w:val="auto"/>
        </w:rPr>
      </w:pPr>
    </w:p>
    <w:p>
      <w:pPr>
        <w:ind w:left="560" w:hanging="444"/>
        <w:spacing w:after="0"/>
        <w:tabs>
          <w:tab w:leader="none" w:pos="56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68" w:lineRule="exact"/>
        <w:rPr>
          <w:sz w:val="24"/>
          <w:szCs w:val="24"/>
          <w:color w:val="auto"/>
        </w:rPr>
      </w:pPr>
    </w:p>
    <w:p>
      <w:pPr>
        <w:ind w:left="560" w:hanging="444"/>
        <w:spacing w:after="0"/>
        <w:tabs>
          <w:tab w:leader="none" w:pos="56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Confidential, for Use of the Commission Only (as permitted by Rule 14a-6(e)(2))</w:t>
      </w:r>
    </w:p>
    <w:p>
      <w:pPr>
        <w:spacing w:after="0" w:line="74" w:lineRule="exact"/>
        <w:rPr>
          <w:rFonts w:ascii="MS PGothic" w:cs="MS PGothic" w:eastAsia="MS PGothic" w:hAnsi="MS PGothic"/>
          <w:sz w:val="17"/>
          <w:szCs w:val="17"/>
          <w:color w:val="auto"/>
        </w:rPr>
      </w:pPr>
    </w:p>
    <w:p>
      <w:pPr>
        <w:ind w:left="560" w:hanging="444"/>
        <w:spacing w:after="0"/>
        <w:tabs>
          <w:tab w:leader="none" w:pos="56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Proxy Statement</w:t>
      </w:r>
    </w:p>
    <w:p>
      <w:pPr>
        <w:spacing w:after="0" w:line="74" w:lineRule="exact"/>
        <w:rPr>
          <w:rFonts w:ascii="MS PGothic" w:cs="MS PGothic" w:eastAsia="MS PGothic" w:hAnsi="MS PGothic"/>
          <w:sz w:val="17"/>
          <w:szCs w:val="17"/>
          <w:color w:val="auto"/>
        </w:rPr>
      </w:pPr>
    </w:p>
    <w:p>
      <w:pPr>
        <w:ind w:left="560" w:hanging="444"/>
        <w:spacing w:after="0"/>
        <w:tabs>
          <w:tab w:leader="none" w:pos="56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74" w:lineRule="exact"/>
        <w:rPr>
          <w:rFonts w:ascii="MS PGothic" w:cs="MS PGothic" w:eastAsia="MS PGothic" w:hAnsi="MS PGothic"/>
          <w:sz w:val="17"/>
          <w:szCs w:val="17"/>
          <w:color w:val="auto"/>
        </w:rPr>
      </w:pPr>
    </w:p>
    <w:p>
      <w:pPr>
        <w:ind w:left="560" w:hanging="444"/>
        <w:spacing w:after="0"/>
        <w:tabs>
          <w:tab w:leader="none" w:pos="56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under § 240.14a-12</w:t>
      </w:r>
    </w:p>
    <w:p>
      <w:pPr>
        <w:spacing w:after="0" w:line="19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Biodesix,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62230</wp:posOffset>
            </wp:positionV>
            <wp:extent cx="69951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18"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208915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0"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6"/>
          <w:szCs w:val="16"/>
          <w:color w:val="auto"/>
        </w:rPr>
        <w:t>(Name of Person(s) Filing Proxy Statement, if Other Than the Registrant)</w:t>
      </w:r>
    </w:p>
    <w:p>
      <w:pPr>
        <w:spacing w:after="0" w:line="23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60" w:lineRule="exact"/>
        <w:rPr>
          <w:sz w:val="24"/>
          <w:szCs w:val="24"/>
          <w:color w:val="auto"/>
        </w:rPr>
      </w:pPr>
    </w:p>
    <w:p>
      <w:pPr>
        <w:ind w:left="420" w:hanging="304"/>
        <w:spacing w:after="0"/>
        <w:tabs>
          <w:tab w:leader="none" w:pos="42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129" w:lineRule="exact"/>
        <w:rPr>
          <w:sz w:val="24"/>
          <w:szCs w:val="24"/>
          <w:color w:val="auto"/>
        </w:rPr>
      </w:pPr>
    </w:p>
    <w:p>
      <w:pPr>
        <w:ind w:left="420" w:hanging="304"/>
        <w:spacing w:after="0"/>
        <w:tabs>
          <w:tab w:leader="none" w:pos="420" w:val="left"/>
        </w:tabs>
        <w:numPr>
          <w:ilvl w:val="0"/>
          <w:numId w:val="6"/>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155" w:lineRule="exact"/>
        <w:rPr>
          <w:rFonts w:ascii="MS PGothic" w:cs="MS PGothic" w:eastAsia="MS PGothic" w:hAnsi="MS PGothic"/>
          <w:sz w:val="17"/>
          <w:szCs w:val="17"/>
          <w:color w:val="auto"/>
        </w:rPr>
      </w:pPr>
    </w:p>
    <w:p>
      <w:pPr>
        <w:ind w:left="420" w:hanging="304"/>
        <w:spacing w:after="0"/>
        <w:tabs>
          <w:tab w:leader="none" w:pos="420" w:val="left"/>
        </w:tabs>
        <w:numPr>
          <w:ilvl w:val="0"/>
          <w:numId w:val="6"/>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ectPr>
          <w:pgSz w:w="11900" w:h="16838" w:orient="portrait"/>
          <w:cols w:equalWidth="0" w:num="1">
            <w:col w:w="10139"/>
          </w:cols>
          <w:pgMar w:left="320" w:top="22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FF0000"/>
        </w:rPr>
        <w:t>PRELIMINARY PROXY STATEMENT – SUBJECT TO COMPLETION – DATED APRIL 16,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171450</wp:posOffset>
            </wp:positionV>
            <wp:extent cx="2074545" cy="3511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7454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Biodesix, Inc.</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919 West Dillon Rd.,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Louisville, CO 80027</w:t>
      </w:r>
    </w:p>
    <w:p>
      <w:pPr>
        <w:spacing w:after="0" w:line="1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305494"/>
        </w:rPr>
        <w:t>Notice of 2024 Annual Meeting of Stockholders</w:t>
      </w:r>
    </w:p>
    <w:p>
      <w:pPr>
        <w:spacing w:after="0" w:line="2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Biodesix Stockholders: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 are invited to attend Biodesix, Inc.’s 2024 Annual Meeting of Stockholders (the Annual Meeting).</w:t>
      </w:r>
    </w:p>
    <w:p>
      <w:pPr>
        <w:spacing w:after="0" w:line="248"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305494"/>
              </w:rPr>
              <w:t>Date:</w:t>
            </w:r>
          </w:p>
        </w:tc>
        <w:tc>
          <w:tcPr>
            <w:tcW w:w="93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May 21, 2024 (Tuesday)</w:t>
            </w:r>
          </w:p>
        </w:tc>
        <w:tc>
          <w:tcPr>
            <w:tcW w:w="0" w:type="dxa"/>
            <w:vAlign w:val="bottom"/>
          </w:tcPr>
          <w:p>
            <w:pPr>
              <w:spacing w:after="0"/>
              <w:rPr>
                <w:sz w:val="1"/>
                <w:szCs w:val="1"/>
                <w:color w:val="auto"/>
              </w:rPr>
            </w:pPr>
          </w:p>
        </w:tc>
      </w:tr>
      <w:tr>
        <w:trPr>
          <w:trHeight w:val="392"/>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305494"/>
              </w:rPr>
              <w:t>Time:</w:t>
            </w:r>
          </w:p>
        </w:tc>
        <w:tc>
          <w:tcPr>
            <w:tcW w:w="93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1:00 p.m., Mountain Time</w:t>
            </w:r>
          </w:p>
        </w:tc>
        <w:tc>
          <w:tcPr>
            <w:tcW w:w="0" w:type="dxa"/>
            <w:vAlign w:val="bottom"/>
          </w:tcPr>
          <w:p>
            <w:pPr>
              <w:spacing w:after="0"/>
              <w:rPr>
                <w:sz w:val="1"/>
                <w:szCs w:val="1"/>
                <w:color w:val="auto"/>
              </w:rPr>
            </w:pPr>
          </w:p>
        </w:tc>
      </w:tr>
      <w:tr>
        <w:trPr>
          <w:trHeight w:val="351"/>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305494"/>
              </w:rPr>
              <w:t>Virtual Location:</w:t>
            </w:r>
          </w:p>
        </w:tc>
        <w:tc>
          <w:tcPr>
            <w:tcW w:w="93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xml:space="preserve">You can attend the Annual Meeting online, including to vote and/or submit questions, at </w:t>
            </w:r>
            <w:r>
              <w:rPr>
                <w:rFonts w:ascii="Times New Roman" w:cs="Times New Roman" w:eastAsia="Times New Roman" w:hAnsi="Times New Roman"/>
                <w:sz w:val="18"/>
                <w:szCs w:val="18"/>
                <w:color w:val="2E65AF"/>
              </w:rPr>
              <w:t>www.proxydocs.com/BDSX</w:t>
            </w:r>
            <w:r>
              <w:rPr>
                <w:rFonts w:ascii="Times New Roman" w:cs="Times New Roman" w:eastAsia="Times New Roman" w:hAnsi="Times New Roman"/>
                <w:sz w:val="18"/>
                <w:szCs w:val="18"/>
                <w:color w:val="auto"/>
              </w:rPr>
              <w:t>. See page</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60" w:type="dxa"/>
            <w:vAlign w:val="bottom"/>
            <w:shd w:val="clear" w:color="auto" w:fill="2E65A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60" w:type="dxa"/>
            <w:vAlign w:val="bottom"/>
          </w:tcPr>
          <w:p>
            <w:pPr>
              <w:spacing w:after="0"/>
              <w:rPr>
                <w:sz w:val="20"/>
                <w:szCs w:val="20"/>
                <w:color w:val="auto"/>
              </w:rPr>
            </w:pPr>
          </w:p>
        </w:tc>
        <w:tc>
          <w:tcPr>
            <w:tcW w:w="93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1 of the accompanying proxy statement for additional information regarding participation in the virtual meeting.</w:t>
            </w:r>
          </w:p>
        </w:tc>
        <w:tc>
          <w:tcPr>
            <w:tcW w:w="0" w:type="dxa"/>
            <w:vAlign w:val="bottom"/>
          </w:tcPr>
          <w:p>
            <w:pPr>
              <w:spacing w:after="0"/>
              <w:rPr>
                <w:sz w:val="1"/>
                <w:szCs w:val="1"/>
                <w:color w:val="auto"/>
              </w:rPr>
            </w:pPr>
          </w:p>
        </w:tc>
      </w:tr>
      <w:tr>
        <w:trPr>
          <w:trHeight w:val="369"/>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305494"/>
              </w:rPr>
              <w:t>Items of</w:t>
            </w:r>
          </w:p>
        </w:tc>
        <w:tc>
          <w:tcPr>
            <w:tcW w:w="93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At the Annual Meeting, stockholders will be asked to vote:</w:t>
            </w:r>
          </w:p>
        </w:tc>
        <w:tc>
          <w:tcPr>
            <w:tcW w:w="0" w:type="dxa"/>
            <w:vAlign w:val="bottom"/>
          </w:tcPr>
          <w:p>
            <w:pPr>
              <w:spacing w:after="0"/>
              <w:rPr>
                <w:sz w:val="1"/>
                <w:szCs w:val="1"/>
                <w:color w:val="auto"/>
              </w:rPr>
            </w:pPr>
          </w:p>
        </w:tc>
      </w:tr>
      <w:tr>
        <w:trPr>
          <w:trHeight w:val="238"/>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305494"/>
              </w:rPr>
              <w:t>Business:</w:t>
            </w:r>
          </w:p>
        </w:tc>
        <w:tc>
          <w:tcPr>
            <w:tcW w:w="93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1.    to elect the three Class I directors named in this proxy statement to hold office until the 2027 annual meeting of</w:t>
            </w:r>
          </w:p>
        </w:tc>
        <w:tc>
          <w:tcPr>
            <w:tcW w:w="0" w:type="dxa"/>
            <w:vAlign w:val="bottom"/>
          </w:tcPr>
          <w:p>
            <w:pPr>
              <w:spacing w:after="0"/>
              <w:rPr>
                <w:sz w:val="1"/>
                <w:szCs w:val="1"/>
                <w:color w:val="auto"/>
              </w:rPr>
            </w:pPr>
          </w:p>
        </w:tc>
      </w:tr>
      <w:tr>
        <w:trPr>
          <w:trHeight w:val="103"/>
        </w:trPr>
        <w:tc>
          <w:tcPr>
            <w:tcW w:w="1460" w:type="dxa"/>
            <w:vAlign w:val="bottom"/>
          </w:tcPr>
          <w:p>
            <w:pPr>
              <w:spacing w:after="0"/>
              <w:rPr>
                <w:sz w:val="8"/>
                <w:szCs w:val="8"/>
                <w:color w:val="auto"/>
              </w:rPr>
            </w:pPr>
          </w:p>
        </w:tc>
        <w:tc>
          <w:tcPr>
            <w:tcW w:w="93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3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stockholders;</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3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2.    to ratify the appointment of KPMG LLP as our independent registered public accounting firm for the year ending</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3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December 31, 2024;</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3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3.    To approve, for purposes of complying with Nasdaq Listing Rule 5635(d), the conversion of the Company’s Series A</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3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Non-Voting Convertible Preferred Stock, par value $0.001 per share (“Series A Preferred Stock”) into shares of the</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3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Company’s common stock, par value $0.001 per share (“Common Stock”);</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3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4.    To approve, for purposes of complying with Nasdaq Listing Rule 5635(c), the issuance of the Company’s Series A</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3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Preferred Stock to certain of the Company’s directors and officers and any shares of the Company’s Common Stock</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3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issuable upon the conversion thereof; and</w:t>
            </w:r>
          </w:p>
        </w:tc>
        <w:tc>
          <w:tcPr>
            <w:tcW w:w="0" w:type="dxa"/>
            <w:vAlign w:val="bottom"/>
          </w:tcPr>
          <w:p>
            <w:pPr>
              <w:spacing w:after="0"/>
              <w:rPr>
                <w:sz w:val="1"/>
                <w:szCs w:val="1"/>
                <w:color w:val="auto"/>
              </w:rPr>
            </w:pPr>
          </w:p>
        </w:tc>
      </w:tr>
      <w:tr>
        <w:trPr>
          <w:trHeight w:val="234"/>
        </w:trPr>
        <w:tc>
          <w:tcPr>
            <w:tcW w:w="1460" w:type="dxa"/>
            <w:vAlign w:val="bottom"/>
          </w:tcPr>
          <w:p>
            <w:pPr>
              <w:spacing w:after="0"/>
              <w:rPr>
                <w:sz w:val="20"/>
                <w:szCs w:val="20"/>
                <w:color w:val="auto"/>
              </w:rPr>
            </w:pPr>
          </w:p>
        </w:tc>
        <w:tc>
          <w:tcPr>
            <w:tcW w:w="93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5.    to conduct any other business properly brought before the meeting, or any adjournment or postponement thereof.</w:t>
            </w:r>
          </w:p>
        </w:tc>
        <w:tc>
          <w:tcPr>
            <w:tcW w:w="0" w:type="dxa"/>
            <w:vAlign w:val="bottom"/>
          </w:tcPr>
          <w:p>
            <w:pPr>
              <w:spacing w:after="0"/>
              <w:rPr>
                <w:sz w:val="1"/>
                <w:szCs w:val="1"/>
                <w:color w:val="auto"/>
              </w:rPr>
            </w:pPr>
          </w:p>
        </w:tc>
      </w:tr>
      <w:tr>
        <w:trPr>
          <w:trHeight w:val="387"/>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305494"/>
              </w:rPr>
              <w:t>Record Date:</w:t>
            </w:r>
          </w:p>
        </w:tc>
        <w:tc>
          <w:tcPr>
            <w:tcW w:w="93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9"/>
              </w:rPr>
              <w:t>You can participate in the Annual Meeting and vote if you were a stockholder of record as of the close of business on March 25,</w:t>
            </w:r>
          </w:p>
        </w:tc>
        <w:tc>
          <w:tcPr>
            <w:tcW w:w="0" w:type="dxa"/>
            <w:vAlign w:val="bottom"/>
          </w:tcPr>
          <w:p>
            <w:pPr>
              <w:spacing w:after="0"/>
              <w:rPr>
                <w:sz w:val="1"/>
                <w:szCs w:val="1"/>
                <w:color w:val="auto"/>
              </w:rPr>
            </w:pPr>
          </w:p>
        </w:tc>
      </w:tr>
      <w:tr>
        <w:trPr>
          <w:trHeight w:val="234"/>
        </w:trPr>
        <w:tc>
          <w:tcPr>
            <w:tcW w:w="1460" w:type="dxa"/>
            <w:vAlign w:val="bottom"/>
          </w:tcPr>
          <w:p>
            <w:pPr>
              <w:spacing w:after="0"/>
              <w:rPr>
                <w:sz w:val="20"/>
                <w:szCs w:val="20"/>
                <w:color w:val="auto"/>
              </w:rPr>
            </w:pPr>
          </w:p>
        </w:tc>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2024.</w:t>
            </w:r>
          </w:p>
        </w:tc>
        <w:tc>
          <w:tcPr>
            <w:tcW w:w="2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305494"/>
              </w:rPr>
              <w:t>Voting:</w:t>
            </w:r>
          </w:p>
        </w:tc>
        <w:tc>
          <w:tcPr>
            <w:tcW w:w="936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w w:val="99"/>
              </w:rPr>
              <w:t xml:space="preserve">Your vote is very important to us. </w:t>
            </w:r>
            <w:r>
              <w:rPr>
                <w:rFonts w:ascii="Times New Roman" w:cs="Times New Roman" w:eastAsia="Times New Roman" w:hAnsi="Times New Roman"/>
                <w:sz w:val="18"/>
                <w:szCs w:val="18"/>
                <w:color w:val="auto"/>
                <w:w w:val="99"/>
              </w:rPr>
              <w:t>Whether or not you plan to attend the virtual Annual Meeting, please ensure your shares are</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3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represented by voting promptly. For instructions on how to vote your shares, please refer to the instructions included with this</w:t>
            </w:r>
          </w:p>
        </w:tc>
        <w:tc>
          <w:tcPr>
            <w:tcW w:w="0" w:type="dxa"/>
            <w:vAlign w:val="bottom"/>
          </w:tcPr>
          <w:p>
            <w:pPr>
              <w:spacing w:after="0"/>
              <w:rPr>
                <w:sz w:val="1"/>
                <w:szCs w:val="1"/>
                <w:color w:val="auto"/>
              </w:rPr>
            </w:pPr>
          </w:p>
        </w:tc>
      </w:tr>
      <w:tr>
        <w:trPr>
          <w:trHeight w:val="234"/>
        </w:trPr>
        <w:tc>
          <w:tcPr>
            <w:tcW w:w="1460" w:type="dxa"/>
            <w:vAlign w:val="bottom"/>
          </w:tcPr>
          <w:p>
            <w:pPr>
              <w:spacing w:after="0"/>
              <w:rPr>
                <w:sz w:val="20"/>
                <w:szCs w:val="20"/>
                <w:color w:val="auto"/>
              </w:rPr>
            </w:pPr>
          </w:p>
        </w:tc>
        <w:tc>
          <w:tcPr>
            <w:tcW w:w="93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proxy statement and your proxy card.</w:t>
            </w:r>
          </w:p>
        </w:tc>
        <w:tc>
          <w:tcPr>
            <w:tcW w:w="0" w:type="dxa"/>
            <w:vAlign w:val="bottom"/>
          </w:tcPr>
          <w:p>
            <w:pPr>
              <w:spacing w:after="0"/>
              <w:rPr>
                <w:sz w:val="1"/>
                <w:szCs w:val="1"/>
                <w:color w:val="auto"/>
              </w:rPr>
            </w:pPr>
          </w:p>
        </w:tc>
      </w:tr>
      <w:tr>
        <w:trPr>
          <w:trHeight w:val="648"/>
        </w:trPr>
        <w:tc>
          <w:tcPr>
            <w:tcW w:w="1460" w:type="dxa"/>
            <w:vAlign w:val="bottom"/>
          </w:tcPr>
          <w:p>
            <w:pPr>
              <w:spacing w:after="0"/>
              <w:rPr>
                <w:sz w:val="24"/>
                <w:szCs w:val="24"/>
                <w:color w:val="auto"/>
              </w:rPr>
            </w:pPr>
          </w:p>
        </w:tc>
        <w:tc>
          <w:tcPr>
            <w:tcW w:w="9360" w:type="dxa"/>
            <w:vAlign w:val="bottom"/>
            <w:gridSpan w:val="3"/>
          </w:tcPr>
          <w:p>
            <w:pPr>
              <w:ind w:left="4320"/>
              <w:spacing w:after="0"/>
              <w:rPr>
                <w:sz w:val="20"/>
                <w:szCs w:val="20"/>
                <w:color w:val="auto"/>
              </w:rPr>
            </w:pPr>
            <w:r>
              <w:rPr>
                <w:rFonts w:ascii="Times New Roman" w:cs="Times New Roman" w:eastAsia="Times New Roman" w:hAnsi="Times New Roman"/>
                <w:sz w:val="18"/>
                <w:szCs w:val="18"/>
                <w:color w:val="auto"/>
              </w:rPr>
              <w:t>By order of the Board of Directors,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154305</wp:posOffset>
            </wp:positionV>
            <wp:extent cx="1371600" cy="386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7160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Robin Harper Cowie</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April 16, 2024</w:t>
      </w:r>
    </w:p>
    <w:p>
      <w:pPr>
        <w:spacing w:after="0" w:line="205" w:lineRule="exact"/>
        <w:rPr>
          <w:sz w:val="20"/>
          <w:szCs w:val="20"/>
          <w:color w:val="auto"/>
        </w:rPr>
      </w:pPr>
    </w:p>
    <w:p>
      <w:pPr>
        <w:jc w:val="center"/>
        <w:ind w:left="440" w:right="1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This Notice of 2024 Annual Meeting of Stockholders, the accompanying proxy statement and our 2023 Annual Report on Form 10-K are available on our website at https://investors.biodesix.com/investor-relations in the SEC Filings section, as well as at </w:t>
      </w:r>
      <w:r>
        <w:rPr>
          <w:rFonts w:ascii="Times New Roman" w:cs="Times New Roman" w:eastAsia="Times New Roman" w:hAnsi="Times New Roman"/>
          <w:sz w:val="18"/>
          <w:szCs w:val="18"/>
          <w:i w:val="1"/>
          <w:iCs w:val="1"/>
          <w:u w:val="single" w:color="auto"/>
          <w:color w:val="2E65AF"/>
        </w:rPr>
        <w:t>www.proxydocs.com/BDSX</w:t>
      </w:r>
      <w:r>
        <w:rPr>
          <w:rFonts w:ascii="Times New Roman" w:cs="Times New Roman" w:eastAsia="Times New Roman" w:hAnsi="Times New Roman"/>
          <w:sz w:val="18"/>
          <w:szCs w:val="18"/>
          <w:i w:val="1"/>
          <w:iCs w:val="1"/>
          <w:color w:val="auto"/>
        </w:rPr>
        <w:t>.</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6"/>
          <w:szCs w:val="36"/>
          <w:color w:val="305494"/>
        </w:rPr>
        <w:t>Table of Contents</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38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20"/>
                <w:szCs w:val="20"/>
                <w:b w:val="1"/>
                <w:bCs w:val="1"/>
                <w:color w:val="0000EE"/>
                <w:w w:val="98"/>
              </w:rPr>
              <w:t>ANNUAL MEETING INFORMATION</w:t>
            </w:r>
          </w:p>
        </w:tc>
        <w:tc>
          <w:tcPr>
            <w:tcW w:w="4780" w:type="dxa"/>
            <w:vAlign w:val="bottom"/>
            <w:gridSpan w:val="13"/>
          </w:tcPr>
          <w:p>
            <w:pPr>
              <w:spacing w:after="0"/>
              <w:rPr>
                <w:sz w:val="19"/>
                <w:szCs w:val="19"/>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305494"/>
              </w:rPr>
              <w:t>1</w:t>
            </w:r>
          </w:p>
        </w:tc>
      </w:tr>
      <w:tr>
        <w:trPr>
          <w:trHeight w:val="264"/>
        </w:trPr>
        <w:tc>
          <w:tcPr>
            <w:tcW w:w="4980" w:type="dxa"/>
            <w:vAlign w:val="bottom"/>
            <w:tcBorders>
              <w:bottom w:val="single" w:sz="8" w:color="0000EE"/>
            </w:tcBorders>
            <w:gridSpan w:val="32"/>
          </w:tcPr>
          <w:p>
            <w:pPr>
              <w:spacing w:after="0"/>
              <w:rPr>
                <w:sz w:val="20"/>
                <w:szCs w:val="20"/>
                <w:color w:val="auto"/>
              </w:rPr>
            </w:pPr>
            <w:r>
              <w:rPr>
                <w:rFonts w:ascii="Times New Roman" w:cs="Times New Roman" w:eastAsia="Times New Roman" w:hAnsi="Times New Roman"/>
                <w:sz w:val="20"/>
                <w:szCs w:val="20"/>
                <w:b w:val="1"/>
                <w:bCs w:val="1"/>
                <w:color w:val="0000EE"/>
                <w:w w:val="97"/>
              </w:rPr>
              <w:t>BOARD AND CORPORATE GOVERNANCE MATTERS</w:t>
            </w:r>
          </w:p>
        </w:tc>
        <w:tc>
          <w:tcPr>
            <w:tcW w:w="3180" w:type="dxa"/>
            <w:vAlign w:val="bottom"/>
            <w:gridSpan w:val="3"/>
          </w:tcPr>
          <w:p>
            <w:pPr>
              <w:spacing w:after="0"/>
              <w:rPr>
                <w:sz w:val="22"/>
                <w:szCs w:val="22"/>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305494"/>
              </w:rPr>
              <w:t>8</w:t>
            </w:r>
          </w:p>
        </w:tc>
      </w:tr>
      <w:tr>
        <w:trPr>
          <w:trHeight w:val="263"/>
        </w:trPr>
        <w:tc>
          <w:tcPr>
            <w:tcW w:w="200" w:type="dxa"/>
            <w:vAlign w:val="bottom"/>
          </w:tcPr>
          <w:p>
            <w:pPr>
              <w:spacing w:after="0"/>
              <w:rPr>
                <w:sz w:val="22"/>
                <w:szCs w:val="22"/>
                <w:color w:val="auto"/>
              </w:rPr>
            </w:pPr>
          </w:p>
        </w:tc>
        <w:tc>
          <w:tcPr>
            <w:tcW w:w="7960" w:type="dxa"/>
            <w:vAlign w:val="bottom"/>
            <w:gridSpan w:val="34"/>
          </w:tcPr>
          <w:p>
            <w:pPr>
              <w:spacing w:after="0"/>
              <w:rPr>
                <w:sz w:val="20"/>
                <w:szCs w:val="20"/>
                <w:color w:val="auto"/>
              </w:rPr>
            </w:pPr>
            <w:r>
              <w:rPr>
                <w:rFonts w:ascii="Times New Roman" w:cs="Times New Roman" w:eastAsia="Times New Roman" w:hAnsi="Times New Roman"/>
                <w:sz w:val="20"/>
                <w:szCs w:val="20"/>
                <w:color w:val="0000EE"/>
              </w:rPr>
              <w:t>Proposal One: Election of Directors</w:t>
            </w: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63"/>
        </w:trPr>
        <w:tc>
          <w:tcPr>
            <w:tcW w:w="200" w:type="dxa"/>
            <w:vAlign w:val="bottom"/>
          </w:tcPr>
          <w:p>
            <w:pPr>
              <w:spacing w:after="0"/>
              <w:rPr>
                <w:sz w:val="22"/>
                <w:szCs w:val="22"/>
                <w:color w:val="auto"/>
              </w:rPr>
            </w:pPr>
          </w:p>
        </w:tc>
        <w:tc>
          <w:tcPr>
            <w:tcW w:w="426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20"/>
                <w:szCs w:val="20"/>
                <w:color w:val="0000EE"/>
                <w:w w:val="98"/>
              </w:rPr>
              <w:t>Overview of Our Nominees and Continuing Directors</w:t>
            </w:r>
          </w:p>
        </w:tc>
        <w:tc>
          <w:tcPr>
            <w:tcW w:w="3700" w:type="dxa"/>
            <w:vAlign w:val="bottom"/>
            <w:gridSpan w:val="6"/>
          </w:tcPr>
          <w:p>
            <w:pPr>
              <w:spacing w:after="0"/>
              <w:rPr>
                <w:sz w:val="22"/>
                <w:szCs w:val="22"/>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63"/>
        </w:trPr>
        <w:tc>
          <w:tcPr>
            <w:tcW w:w="200" w:type="dxa"/>
            <w:vAlign w:val="bottom"/>
          </w:tcPr>
          <w:p>
            <w:pPr>
              <w:spacing w:after="0"/>
              <w:rPr>
                <w:sz w:val="22"/>
                <w:szCs w:val="22"/>
                <w:color w:val="auto"/>
              </w:rPr>
            </w:pPr>
          </w:p>
        </w:tc>
        <w:tc>
          <w:tcPr>
            <w:tcW w:w="7960" w:type="dxa"/>
            <w:vAlign w:val="bottom"/>
            <w:gridSpan w:val="34"/>
          </w:tcPr>
          <w:p>
            <w:pPr>
              <w:spacing w:after="0"/>
              <w:rPr>
                <w:sz w:val="20"/>
                <w:szCs w:val="20"/>
                <w:color w:val="auto"/>
              </w:rPr>
            </w:pPr>
            <w:r>
              <w:rPr>
                <w:rFonts w:ascii="Times New Roman" w:cs="Times New Roman" w:eastAsia="Times New Roman" w:hAnsi="Times New Roman"/>
                <w:sz w:val="20"/>
                <w:szCs w:val="20"/>
                <w:color w:val="0000EE"/>
              </w:rPr>
              <w:t>Board Composition</w:t>
            </w: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63"/>
        </w:trPr>
        <w:tc>
          <w:tcPr>
            <w:tcW w:w="200" w:type="dxa"/>
            <w:vAlign w:val="bottom"/>
          </w:tcPr>
          <w:p>
            <w:pPr>
              <w:spacing w:after="0"/>
              <w:rPr>
                <w:sz w:val="22"/>
                <w:szCs w:val="22"/>
                <w:color w:val="auto"/>
              </w:rPr>
            </w:pPr>
          </w:p>
        </w:tc>
        <w:tc>
          <w:tcPr>
            <w:tcW w:w="7960" w:type="dxa"/>
            <w:vAlign w:val="bottom"/>
            <w:gridSpan w:val="34"/>
          </w:tcPr>
          <w:p>
            <w:pPr>
              <w:spacing w:after="0"/>
              <w:rPr>
                <w:sz w:val="20"/>
                <w:szCs w:val="20"/>
                <w:color w:val="auto"/>
              </w:rPr>
            </w:pPr>
            <w:r>
              <w:rPr>
                <w:rFonts w:ascii="Times New Roman" w:cs="Times New Roman" w:eastAsia="Times New Roman" w:hAnsi="Times New Roman"/>
                <w:sz w:val="20"/>
                <w:szCs w:val="20"/>
                <w:color w:val="0000EE"/>
              </w:rPr>
              <w:t>Director Independence</w:t>
            </w: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64"/>
        </w:trPr>
        <w:tc>
          <w:tcPr>
            <w:tcW w:w="200" w:type="dxa"/>
            <w:vAlign w:val="bottom"/>
          </w:tcPr>
          <w:p>
            <w:pPr>
              <w:spacing w:after="0"/>
              <w:rPr>
                <w:sz w:val="22"/>
                <w:szCs w:val="22"/>
                <w:color w:val="auto"/>
              </w:rPr>
            </w:pPr>
          </w:p>
        </w:tc>
        <w:tc>
          <w:tcPr>
            <w:tcW w:w="7960" w:type="dxa"/>
            <w:vAlign w:val="bottom"/>
            <w:gridSpan w:val="34"/>
          </w:tcPr>
          <w:p>
            <w:pPr>
              <w:spacing w:after="0"/>
              <w:rPr>
                <w:sz w:val="20"/>
                <w:szCs w:val="20"/>
                <w:color w:val="auto"/>
              </w:rPr>
            </w:pPr>
            <w:r>
              <w:rPr>
                <w:rFonts w:ascii="Times New Roman" w:cs="Times New Roman" w:eastAsia="Times New Roman" w:hAnsi="Times New Roman"/>
                <w:sz w:val="20"/>
                <w:szCs w:val="20"/>
                <w:color w:val="0000EE"/>
              </w:rPr>
              <w:t>Board Leadership Structure</w:t>
            </w: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63"/>
        </w:trPr>
        <w:tc>
          <w:tcPr>
            <w:tcW w:w="200" w:type="dxa"/>
            <w:vAlign w:val="bottom"/>
          </w:tcPr>
          <w:p>
            <w:pPr>
              <w:spacing w:after="0"/>
              <w:rPr>
                <w:sz w:val="22"/>
                <w:szCs w:val="22"/>
                <w:color w:val="auto"/>
              </w:rPr>
            </w:pPr>
          </w:p>
        </w:tc>
        <w:tc>
          <w:tcPr>
            <w:tcW w:w="388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20"/>
                <w:szCs w:val="20"/>
                <w:color w:val="0000EE"/>
                <w:w w:val="98"/>
              </w:rPr>
              <w:t>Role of our Board of Directors in Risk Oversight</w:t>
            </w:r>
          </w:p>
        </w:tc>
        <w:tc>
          <w:tcPr>
            <w:tcW w:w="4080" w:type="dxa"/>
            <w:vAlign w:val="bottom"/>
            <w:gridSpan w:val="9"/>
          </w:tcPr>
          <w:p>
            <w:pPr>
              <w:spacing w:after="0"/>
              <w:rPr>
                <w:sz w:val="22"/>
                <w:szCs w:val="22"/>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63"/>
        </w:trPr>
        <w:tc>
          <w:tcPr>
            <w:tcW w:w="200" w:type="dxa"/>
            <w:vAlign w:val="bottom"/>
          </w:tcPr>
          <w:p>
            <w:pPr>
              <w:spacing w:after="0"/>
              <w:rPr>
                <w:sz w:val="22"/>
                <w:szCs w:val="22"/>
                <w:color w:val="auto"/>
              </w:rPr>
            </w:pPr>
          </w:p>
        </w:tc>
        <w:tc>
          <w:tcPr>
            <w:tcW w:w="28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20"/>
                <w:szCs w:val="20"/>
                <w:color w:val="0000EE"/>
                <w:w w:val="98"/>
              </w:rPr>
              <w:t>Meetings of our Board of Directors</w:t>
            </w:r>
          </w:p>
        </w:tc>
        <w:tc>
          <w:tcPr>
            <w:tcW w:w="5140" w:type="dxa"/>
            <w:vAlign w:val="bottom"/>
            <w:gridSpan w:val="19"/>
          </w:tcPr>
          <w:p>
            <w:pPr>
              <w:spacing w:after="0"/>
              <w:rPr>
                <w:sz w:val="22"/>
                <w:szCs w:val="22"/>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63"/>
        </w:trPr>
        <w:tc>
          <w:tcPr>
            <w:tcW w:w="200" w:type="dxa"/>
            <w:vAlign w:val="bottom"/>
          </w:tcPr>
          <w:p>
            <w:pPr>
              <w:spacing w:after="0"/>
              <w:rPr>
                <w:sz w:val="22"/>
                <w:szCs w:val="22"/>
                <w:color w:val="auto"/>
              </w:rPr>
            </w:pPr>
          </w:p>
        </w:tc>
        <w:tc>
          <w:tcPr>
            <w:tcW w:w="302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20"/>
                <w:szCs w:val="20"/>
                <w:color w:val="0000EE"/>
                <w:w w:val="98"/>
              </w:rPr>
              <w:t>Committees of our Board of Directors</w:t>
            </w:r>
          </w:p>
        </w:tc>
        <w:tc>
          <w:tcPr>
            <w:tcW w:w="4940" w:type="dxa"/>
            <w:vAlign w:val="bottom"/>
            <w:gridSpan w:val="15"/>
          </w:tcPr>
          <w:p>
            <w:pPr>
              <w:spacing w:after="0"/>
              <w:rPr>
                <w:sz w:val="22"/>
                <w:szCs w:val="22"/>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63"/>
        </w:trPr>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760" w:type="dxa"/>
            <w:vAlign w:val="bottom"/>
            <w:gridSpan w:val="33"/>
          </w:tcPr>
          <w:p>
            <w:pPr>
              <w:spacing w:after="0"/>
              <w:rPr>
                <w:sz w:val="20"/>
                <w:szCs w:val="20"/>
                <w:color w:val="auto"/>
              </w:rPr>
            </w:pPr>
            <w:r>
              <w:rPr>
                <w:rFonts w:ascii="Times New Roman" w:cs="Times New Roman" w:eastAsia="Times New Roman" w:hAnsi="Times New Roman"/>
                <w:sz w:val="20"/>
                <w:szCs w:val="20"/>
                <w:color w:val="0000EE"/>
              </w:rPr>
              <w:t>Committee Composition and Meetings</w:t>
            </w: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63"/>
        </w:trPr>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20"/>
                <w:szCs w:val="20"/>
                <w:color w:val="0000EE"/>
                <w:w w:val="97"/>
              </w:rPr>
              <w:t>Audit Committee</w:t>
            </w:r>
          </w:p>
        </w:tc>
        <w:tc>
          <w:tcPr>
            <w:tcW w:w="1680" w:type="dxa"/>
            <w:vAlign w:val="bottom"/>
            <w:tcBorders>
              <w:top w:val="single" w:sz="8" w:color="0000EE"/>
            </w:tcBorders>
            <w:gridSpan w:val="17"/>
          </w:tcPr>
          <w:p>
            <w:pPr>
              <w:spacing w:after="0"/>
              <w:rPr>
                <w:sz w:val="22"/>
                <w:szCs w:val="22"/>
                <w:color w:val="auto"/>
              </w:rPr>
            </w:pPr>
          </w:p>
        </w:tc>
        <w:tc>
          <w:tcPr>
            <w:tcW w:w="4700" w:type="dxa"/>
            <w:vAlign w:val="bottom"/>
            <w:gridSpan w:val="12"/>
          </w:tcPr>
          <w:p>
            <w:pPr>
              <w:spacing w:after="0"/>
              <w:rPr>
                <w:sz w:val="22"/>
                <w:szCs w:val="22"/>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64"/>
        </w:trPr>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760" w:type="dxa"/>
            <w:vAlign w:val="bottom"/>
            <w:gridSpan w:val="33"/>
          </w:tcPr>
          <w:p>
            <w:pPr>
              <w:spacing w:after="0"/>
              <w:rPr>
                <w:sz w:val="20"/>
                <w:szCs w:val="20"/>
                <w:color w:val="auto"/>
              </w:rPr>
            </w:pPr>
            <w:r>
              <w:rPr>
                <w:rFonts w:ascii="Times New Roman" w:cs="Times New Roman" w:eastAsia="Times New Roman" w:hAnsi="Times New Roman"/>
                <w:sz w:val="20"/>
                <w:szCs w:val="20"/>
                <w:color w:val="0000EE"/>
              </w:rPr>
              <w:t>Compensation Committee</w:t>
            </w: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63"/>
        </w:trPr>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900" w:type="dxa"/>
            <w:vAlign w:val="bottom"/>
            <w:tcBorders>
              <w:bottom w:val="single" w:sz="8" w:color="0000EE"/>
            </w:tcBorders>
            <w:gridSpan w:val="31"/>
          </w:tcPr>
          <w:p>
            <w:pPr>
              <w:spacing w:after="0"/>
              <w:rPr>
                <w:sz w:val="20"/>
                <w:szCs w:val="20"/>
                <w:color w:val="auto"/>
              </w:rPr>
            </w:pPr>
            <w:r>
              <w:rPr>
                <w:rFonts w:ascii="Times New Roman" w:cs="Times New Roman" w:eastAsia="Times New Roman" w:hAnsi="Times New Roman"/>
                <w:sz w:val="20"/>
                <w:szCs w:val="20"/>
                <w:color w:val="0000EE"/>
                <w:w w:val="98"/>
              </w:rPr>
              <w:t>Compensation Committee Interlocks and Insider Participation</w:t>
            </w:r>
          </w:p>
        </w:tc>
        <w:tc>
          <w:tcPr>
            <w:tcW w:w="2860" w:type="dxa"/>
            <w:vAlign w:val="bottom"/>
            <w:gridSpan w:val="2"/>
          </w:tcPr>
          <w:p>
            <w:pPr>
              <w:spacing w:after="0"/>
              <w:rPr>
                <w:sz w:val="22"/>
                <w:szCs w:val="22"/>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63"/>
        </w:trPr>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760" w:type="dxa"/>
            <w:vAlign w:val="bottom"/>
            <w:gridSpan w:val="33"/>
          </w:tcPr>
          <w:p>
            <w:pPr>
              <w:spacing w:after="0"/>
              <w:rPr>
                <w:sz w:val="20"/>
                <w:szCs w:val="20"/>
                <w:color w:val="auto"/>
              </w:rPr>
            </w:pPr>
            <w:r>
              <w:rPr>
                <w:rFonts w:ascii="Times New Roman" w:cs="Times New Roman" w:eastAsia="Times New Roman" w:hAnsi="Times New Roman"/>
                <w:sz w:val="20"/>
                <w:szCs w:val="20"/>
                <w:color w:val="0000EE"/>
              </w:rPr>
              <w:t>Nominating and Corporate Governance Committee</w:t>
            </w: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63"/>
        </w:trPr>
        <w:tc>
          <w:tcPr>
            <w:tcW w:w="200" w:type="dxa"/>
            <w:vAlign w:val="bottom"/>
          </w:tcPr>
          <w:p>
            <w:pPr>
              <w:spacing w:after="0"/>
              <w:rPr>
                <w:sz w:val="22"/>
                <w:szCs w:val="22"/>
                <w:color w:val="auto"/>
              </w:rPr>
            </w:pPr>
          </w:p>
        </w:tc>
        <w:tc>
          <w:tcPr>
            <w:tcW w:w="7960" w:type="dxa"/>
            <w:vAlign w:val="bottom"/>
            <w:gridSpan w:val="34"/>
          </w:tcPr>
          <w:p>
            <w:pPr>
              <w:spacing w:after="0"/>
              <w:rPr>
                <w:sz w:val="20"/>
                <w:szCs w:val="20"/>
                <w:color w:val="auto"/>
              </w:rPr>
            </w:pPr>
            <w:r>
              <w:rPr>
                <w:rFonts w:ascii="Times New Roman" w:cs="Times New Roman" w:eastAsia="Times New Roman" w:hAnsi="Times New Roman"/>
                <w:sz w:val="20"/>
                <w:szCs w:val="20"/>
                <w:color w:val="0000EE"/>
              </w:rPr>
              <w:t>Director Nomination Process</w:t>
            </w: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263"/>
        </w:trPr>
        <w:tc>
          <w:tcPr>
            <w:tcW w:w="200" w:type="dxa"/>
            <w:vAlign w:val="bottom"/>
          </w:tcPr>
          <w:p>
            <w:pPr>
              <w:spacing w:after="0"/>
              <w:rPr>
                <w:sz w:val="22"/>
                <w:szCs w:val="22"/>
                <w:color w:val="auto"/>
              </w:rPr>
            </w:pPr>
          </w:p>
        </w:tc>
        <w:tc>
          <w:tcPr>
            <w:tcW w:w="186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20"/>
                <w:szCs w:val="20"/>
                <w:color w:val="0000EE"/>
                <w:w w:val="97"/>
              </w:rPr>
              <w:t>Board Diversity Matrix</w:t>
            </w:r>
          </w:p>
        </w:tc>
        <w:tc>
          <w:tcPr>
            <w:tcW w:w="440" w:type="dxa"/>
            <w:vAlign w:val="bottom"/>
            <w:tcBorders>
              <w:top w:val="single" w:sz="8" w:color="0000EE"/>
            </w:tcBorders>
            <w:gridSpan w:val="3"/>
          </w:tcPr>
          <w:p>
            <w:pPr>
              <w:spacing w:after="0"/>
              <w:rPr>
                <w:sz w:val="22"/>
                <w:szCs w:val="22"/>
                <w:color w:val="auto"/>
              </w:rPr>
            </w:pPr>
          </w:p>
        </w:tc>
        <w:tc>
          <w:tcPr>
            <w:tcW w:w="5660" w:type="dxa"/>
            <w:vAlign w:val="bottom"/>
            <w:gridSpan w:val="24"/>
          </w:tcPr>
          <w:p>
            <w:pPr>
              <w:spacing w:after="0"/>
              <w:rPr>
                <w:sz w:val="22"/>
                <w:szCs w:val="22"/>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64"/>
        </w:trPr>
        <w:tc>
          <w:tcPr>
            <w:tcW w:w="200" w:type="dxa"/>
            <w:vAlign w:val="bottom"/>
          </w:tcPr>
          <w:p>
            <w:pPr>
              <w:spacing w:after="0"/>
              <w:rPr>
                <w:sz w:val="22"/>
                <w:szCs w:val="22"/>
                <w:color w:val="auto"/>
              </w:rPr>
            </w:pPr>
          </w:p>
        </w:tc>
        <w:tc>
          <w:tcPr>
            <w:tcW w:w="14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20"/>
                <w:szCs w:val="20"/>
                <w:color w:val="0000EE"/>
                <w:w w:val="96"/>
              </w:rPr>
              <w:t>Executive Officers</w:t>
            </w:r>
          </w:p>
        </w:tc>
        <w:tc>
          <w:tcPr>
            <w:tcW w:w="6480" w:type="dxa"/>
            <w:vAlign w:val="bottom"/>
            <w:gridSpan w:val="31"/>
          </w:tcPr>
          <w:p>
            <w:pPr>
              <w:spacing w:after="0"/>
              <w:rPr>
                <w:sz w:val="22"/>
                <w:szCs w:val="22"/>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63"/>
        </w:trPr>
        <w:tc>
          <w:tcPr>
            <w:tcW w:w="200" w:type="dxa"/>
            <w:vAlign w:val="bottom"/>
          </w:tcPr>
          <w:p>
            <w:pPr>
              <w:spacing w:after="0"/>
              <w:rPr>
                <w:sz w:val="22"/>
                <w:szCs w:val="22"/>
                <w:color w:val="auto"/>
              </w:rPr>
            </w:pPr>
          </w:p>
        </w:tc>
        <w:tc>
          <w:tcPr>
            <w:tcW w:w="298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20"/>
                <w:szCs w:val="20"/>
                <w:color w:val="0000EE"/>
                <w:w w:val="98"/>
              </w:rPr>
              <w:t>Code of Business Conduct and Ethics</w:t>
            </w:r>
          </w:p>
        </w:tc>
        <w:tc>
          <w:tcPr>
            <w:tcW w:w="4980" w:type="dxa"/>
            <w:vAlign w:val="bottom"/>
            <w:gridSpan w:val="17"/>
          </w:tcPr>
          <w:p>
            <w:pPr>
              <w:spacing w:after="0"/>
              <w:rPr>
                <w:sz w:val="22"/>
                <w:szCs w:val="22"/>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64"/>
        </w:trPr>
        <w:tc>
          <w:tcPr>
            <w:tcW w:w="200" w:type="dxa"/>
            <w:vAlign w:val="bottom"/>
          </w:tcPr>
          <w:p>
            <w:pPr>
              <w:spacing w:after="0"/>
              <w:rPr>
                <w:sz w:val="22"/>
                <w:szCs w:val="22"/>
                <w:color w:val="auto"/>
              </w:rPr>
            </w:pPr>
          </w:p>
        </w:tc>
        <w:tc>
          <w:tcPr>
            <w:tcW w:w="27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20"/>
                <w:szCs w:val="20"/>
                <w:color w:val="0000EE"/>
                <w:w w:val="98"/>
              </w:rPr>
              <w:t>Corporate Governance Guidelines</w:t>
            </w:r>
          </w:p>
        </w:tc>
        <w:tc>
          <w:tcPr>
            <w:tcW w:w="5260" w:type="dxa"/>
            <w:vAlign w:val="bottom"/>
            <w:gridSpan w:val="21"/>
          </w:tcPr>
          <w:p>
            <w:pPr>
              <w:spacing w:after="0"/>
              <w:rPr>
                <w:sz w:val="22"/>
                <w:szCs w:val="22"/>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63"/>
        </w:trPr>
        <w:tc>
          <w:tcPr>
            <w:tcW w:w="200" w:type="dxa"/>
            <w:vAlign w:val="bottom"/>
          </w:tcPr>
          <w:p>
            <w:pPr>
              <w:spacing w:after="0"/>
              <w:rPr>
                <w:sz w:val="22"/>
                <w:szCs w:val="22"/>
                <w:color w:val="auto"/>
              </w:rPr>
            </w:pPr>
          </w:p>
        </w:tc>
        <w:tc>
          <w:tcPr>
            <w:tcW w:w="316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20"/>
                <w:szCs w:val="20"/>
                <w:color w:val="0000EE"/>
                <w:w w:val="98"/>
              </w:rPr>
              <w:t>Anti-Hedging and Anti-Pledging Policy</w:t>
            </w:r>
          </w:p>
        </w:tc>
        <w:tc>
          <w:tcPr>
            <w:tcW w:w="4800" w:type="dxa"/>
            <w:vAlign w:val="bottom"/>
            <w:gridSpan w:val="14"/>
          </w:tcPr>
          <w:p>
            <w:pPr>
              <w:spacing w:after="0"/>
              <w:rPr>
                <w:sz w:val="22"/>
                <w:szCs w:val="22"/>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63"/>
        </w:trPr>
        <w:tc>
          <w:tcPr>
            <w:tcW w:w="200" w:type="dxa"/>
            <w:vAlign w:val="bottom"/>
          </w:tcPr>
          <w:p>
            <w:pPr>
              <w:spacing w:after="0"/>
              <w:rPr>
                <w:sz w:val="22"/>
                <w:szCs w:val="22"/>
                <w:color w:val="auto"/>
              </w:rPr>
            </w:pPr>
          </w:p>
        </w:tc>
        <w:tc>
          <w:tcPr>
            <w:tcW w:w="4600" w:type="dxa"/>
            <w:vAlign w:val="bottom"/>
            <w:tcBorders>
              <w:bottom w:val="single" w:sz="8" w:color="0000EE"/>
            </w:tcBorders>
            <w:gridSpan w:val="30"/>
          </w:tcPr>
          <w:p>
            <w:pPr>
              <w:spacing w:after="0"/>
              <w:rPr>
                <w:sz w:val="20"/>
                <w:szCs w:val="20"/>
                <w:color w:val="auto"/>
              </w:rPr>
            </w:pPr>
            <w:r>
              <w:rPr>
                <w:rFonts w:ascii="Times New Roman" w:cs="Times New Roman" w:eastAsia="Times New Roman" w:hAnsi="Times New Roman"/>
                <w:sz w:val="20"/>
                <w:szCs w:val="20"/>
                <w:color w:val="0000EE"/>
                <w:w w:val="98"/>
              </w:rPr>
              <w:t>Stockholder Communications with our Board of Directors</w:t>
            </w:r>
          </w:p>
        </w:tc>
        <w:tc>
          <w:tcPr>
            <w:tcW w:w="3360" w:type="dxa"/>
            <w:vAlign w:val="bottom"/>
            <w:gridSpan w:val="4"/>
          </w:tcPr>
          <w:p>
            <w:pPr>
              <w:spacing w:after="0"/>
              <w:rPr>
                <w:sz w:val="22"/>
                <w:szCs w:val="22"/>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64"/>
        </w:trPr>
        <w:tc>
          <w:tcPr>
            <w:tcW w:w="200" w:type="dxa"/>
            <w:vAlign w:val="bottom"/>
          </w:tcPr>
          <w:p>
            <w:pPr>
              <w:spacing w:after="0"/>
              <w:rPr>
                <w:sz w:val="22"/>
                <w:szCs w:val="22"/>
                <w:color w:val="auto"/>
              </w:rPr>
            </w:pPr>
          </w:p>
        </w:tc>
        <w:tc>
          <w:tcPr>
            <w:tcW w:w="424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20"/>
                <w:szCs w:val="20"/>
                <w:color w:val="0000EE"/>
                <w:w w:val="98"/>
              </w:rPr>
              <w:t>Certain Relationships and Related Party Transactions</w:t>
            </w:r>
          </w:p>
        </w:tc>
        <w:tc>
          <w:tcPr>
            <w:tcW w:w="3720" w:type="dxa"/>
            <w:vAlign w:val="bottom"/>
            <w:gridSpan w:val="7"/>
          </w:tcPr>
          <w:p>
            <w:pPr>
              <w:spacing w:after="0"/>
              <w:rPr>
                <w:sz w:val="22"/>
                <w:szCs w:val="22"/>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63"/>
        </w:trPr>
        <w:tc>
          <w:tcPr>
            <w:tcW w:w="8160" w:type="dxa"/>
            <w:vAlign w:val="bottom"/>
            <w:gridSpan w:val="35"/>
          </w:tcPr>
          <w:p>
            <w:pPr>
              <w:spacing w:after="0"/>
              <w:rPr>
                <w:sz w:val="20"/>
                <w:szCs w:val="20"/>
                <w:color w:val="auto"/>
              </w:rPr>
            </w:pPr>
            <w:r>
              <w:rPr>
                <w:rFonts w:ascii="Times New Roman" w:cs="Times New Roman" w:eastAsia="Times New Roman" w:hAnsi="Times New Roman"/>
                <w:sz w:val="20"/>
                <w:szCs w:val="20"/>
                <w:b w:val="1"/>
                <w:bCs w:val="1"/>
                <w:color w:val="0000EE"/>
              </w:rPr>
              <w:t>EQUITY COMPENSATION PLAN INFORMATION</w:t>
            </w: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305494"/>
              </w:rPr>
              <w:t>22</w:t>
            </w:r>
          </w:p>
        </w:tc>
      </w:tr>
      <w:tr>
        <w:trPr>
          <w:trHeight w:val="263"/>
        </w:trPr>
        <w:tc>
          <w:tcPr>
            <w:tcW w:w="274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20"/>
                <w:szCs w:val="20"/>
                <w:b w:val="1"/>
                <w:bCs w:val="1"/>
                <w:color w:val="0000EE"/>
                <w:w w:val="97"/>
              </w:rPr>
              <w:t>DIRECTOR COMPENSATION</w:t>
            </w:r>
          </w:p>
        </w:tc>
        <w:tc>
          <w:tcPr>
            <w:tcW w:w="1800" w:type="dxa"/>
            <w:vAlign w:val="bottom"/>
            <w:tcBorders>
              <w:top w:val="single" w:sz="8" w:color="0000EE"/>
            </w:tcBorders>
            <w:gridSpan w:val="18"/>
          </w:tcPr>
          <w:p>
            <w:pPr>
              <w:spacing w:after="0"/>
              <w:rPr>
                <w:sz w:val="22"/>
                <w:szCs w:val="22"/>
                <w:color w:val="auto"/>
              </w:rPr>
            </w:pPr>
          </w:p>
        </w:tc>
        <w:tc>
          <w:tcPr>
            <w:tcW w:w="3620" w:type="dxa"/>
            <w:vAlign w:val="bottom"/>
            <w:gridSpan w:val="5"/>
          </w:tcPr>
          <w:p>
            <w:pPr>
              <w:spacing w:after="0"/>
              <w:rPr>
                <w:sz w:val="22"/>
                <w:szCs w:val="22"/>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305494"/>
              </w:rPr>
              <w:t>23</w:t>
            </w:r>
          </w:p>
        </w:tc>
      </w:tr>
      <w:tr>
        <w:trPr>
          <w:trHeight w:val="264"/>
        </w:trPr>
        <w:tc>
          <w:tcPr>
            <w:tcW w:w="200" w:type="dxa"/>
            <w:vAlign w:val="bottom"/>
          </w:tcPr>
          <w:p>
            <w:pPr>
              <w:spacing w:after="0"/>
              <w:rPr>
                <w:sz w:val="22"/>
                <w:szCs w:val="22"/>
                <w:color w:val="auto"/>
              </w:rPr>
            </w:pPr>
          </w:p>
        </w:tc>
        <w:tc>
          <w:tcPr>
            <w:tcW w:w="366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20"/>
                <w:szCs w:val="20"/>
                <w:color w:val="0000EE"/>
                <w:w w:val="98"/>
              </w:rPr>
              <w:t>Non-Employee Director Compensation Policy</w:t>
            </w:r>
          </w:p>
        </w:tc>
        <w:tc>
          <w:tcPr>
            <w:tcW w:w="4300" w:type="dxa"/>
            <w:vAlign w:val="bottom"/>
            <w:gridSpan w:val="10"/>
          </w:tcPr>
          <w:p>
            <w:pPr>
              <w:spacing w:after="0"/>
              <w:rPr>
                <w:sz w:val="22"/>
                <w:szCs w:val="22"/>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63"/>
        </w:trPr>
        <w:tc>
          <w:tcPr>
            <w:tcW w:w="200" w:type="dxa"/>
            <w:vAlign w:val="bottom"/>
          </w:tcPr>
          <w:p>
            <w:pPr>
              <w:spacing w:after="0"/>
              <w:rPr>
                <w:sz w:val="22"/>
                <w:szCs w:val="22"/>
                <w:color w:val="auto"/>
              </w:rPr>
            </w:pPr>
          </w:p>
        </w:tc>
        <w:tc>
          <w:tcPr>
            <w:tcW w:w="300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20"/>
                <w:szCs w:val="20"/>
                <w:color w:val="0000EE"/>
                <w:w w:val="98"/>
              </w:rPr>
              <w:t>Director Deferred Compensation Plan</w:t>
            </w:r>
          </w:p>
        </w:tc>
        <w:tc>
          <w:tcPr>
            <w:tcW w:w="4960" w:type="dxa"/>
            <w:vAlign w:val="bottom"/>
            <w:gridSpan w:val="16"/>
          </w:tcPr>
          <w:p>
            <w:pPr>
              <w:spacing w:after="0"/>
              <w:rPr>
                <w:sz w:val="22"/>
                <w:szCs w:val="22"/>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63"/>
        </w:trPr>
        <w:tc>
          <w:tcPr>
            <w:tcW w:w="200" w:type="dxa"/>
            <w:vAlign w:val="bottom"/>
          </w:tcPr>
          <w:p>
            <w:pPr>
              <w:spacing w:after="0"/>
              <w:rPr>
                <w:sz w:val="22"/>
                <w:szCs w:val="22"/>
                <w:color w:val="auto"/>
              </w:rPr>
            </w:pPr>
          </w:p>
        </w:tc>
        <w:tc>
          <w:tcPr>
            <w:tcW w:w="278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20"/>
                <w:szCs w:val="20"/>
                <w:color w:val="0000EE"/>
                <w:w w:val="97"/>
              </w:rPr>
              <w:t>2023 Director Compensation Table</w:t>
            </w:r>
          </w:p>
        </w:tc>
        <w:tc>
          <w:tcPr>
            <w:tcW w:w="5180" w:type="dxa"/>
            <w:vAlign w:val="bottom"/>
            <w:gridSpan w:val="20"/>
          </w:tcPr>
          <w:p>
            <w:pPr>
              <w:spacing w:after="0"/>
              <w:rPr>
                <w:sz w:val="22"/>
                <w:szCs w:val="22"/>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64"/>
        </w:trPr>
        <w:tc>
          <w:tcPr>
            <w:tcW w:w="8160" w:type="dxa"/>
            <w:vAlign w:val="bottom"/>
            <w:gridSpan w:val="35"/>
          </w:tcPr>
          <w:p>
            <w:pPr>
              <w:spacing w:after="0"/>
              <w:rPr>
                <w:sz w:val="20"/>
                <w:szCs w:val="20"/>
                <w:color w:val="auto"/>
              </w:rPr>
            </w:pPr>
            <w:r>
              <w:rPr>
                <w:rFonts w:ascii="Times New Roman" w:cs="Times New Roman" w:eastAsia="Times New Roman" w:hAnsi="Times New Roman"/>
                <w:sz w:val="20"/>
                <w:szCs w:val="20"/>
                <w:b w:val="1"/>
                <w:bCs w:val="1"/>
                <w:color w:val="0000EE"/>
              </w:rPr>
              <w:t>EXECUTIVE COMPENSATION</w:t>
            </w: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305494"/>
              </w:rPr>
              <w:t>27</w:t>
            </w:r>
          </w:p>
        </w:tc>
      </w:tr>
      <w:tr>
        <w:trPr>
          <w:trHeight w:val="263"/>
        </w:trPr>
        <w:tc>
          <w:tcPr>
            <w:tcW w:w="200" w:type="dxa"/>
            <w:vAlign w:val="bottom"/>
            <w:tcBorders>
              <w:top w:val="single" w:sz="8" w:color="0000EE"/>
            </w:tcBorders>
          </w:tcPr>
          <w:p>
            <w:pPr>
              <w:spacing w:after="0"/>
              <w:rPr>
                <w:sz w:val="22"/>
                <w:szCs w:val="22"/>
                <w:color w:val="auto"/>
              </w:rPr>
            </w:pPr>
          </w:p>
        </w:tc>
        <w:tc>
          <w:tcPr>
            <w:tcW w:w="78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20"/>
                <w:szCs w:val="20"/>
                <w:color w:val="0000EE"/>
                <w:w w:val="96"/>
              </w:rPr>
              <w:t>Overview</w:t>
            </w:r>
          </w:p>
        </w:tc>
        <w:tc>
          <w:tcPr>
            <w:tcW w:w="1860" w:type="dxa"/>
            <w:vAlign w:val="bottom"/>
            <w:tcBorders>
              <w:top w:val="single" w:sz="8" w:color="0000EE"/>
            </w:tcBorders>
            <w:gridSpan w:val="10"/>
          </w:tcPr>
          <w:p>
            <w:pPr>
              <w:spacing w:after="0"/>
              <w:rPr>
                <w:sz w:val="22"/>
                <w:szCs w:val="22"/>
                <w:color w:val="auto"/>
              </w:rPr>
            </w:pPr>
          </w:p>
        </w:tc>
        <w:tc>
          <w:tcPr>
            <w:tcW w:w="5320" w:type="dxa"/>
            <w:vAlign w:val="bottom"/>
            <w:gridSpan w:val="22"/>
          </w:tcPr>
          <w:p>
            <w:pPr>
              <w:spacing w:after="0"/>
              <w:rPr>
                <w:sz w:val="22"/>
                <w:szCs w:val="22"/>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63"/>
        </w:trPr>
        <w:tc>
          <w:tcPr>
            <w:tcW w:w="200" w:type="dxa"/>
            <w:vAlign w:val="bottom"/>
          </w:tcPr>
          <w:p>
            <w:pPr>
              <w:spacing w:after="0"/>
              <w:rPr>
                <w:sz w:val="22"/>
                <w:szCs w:val="22"/>
                <w:color w:val="auto"/>
              </w:rPr>
            </w:pPr>
          </w:p>
        </w:tc>
        <w:tc>
          <w:tcPr>
            <w:tcW w:w="7960" w:type="dxa"/>
            <w:vAlign w:val="bottom"/>
            <w:gridSpan w:val="34"/>
          </w:tcPr>
          <w:p>
            <w:pPr>
              <w:spacing w:after="0"/>
              <w:rPr>
                <w:sz w:val="20"/>
                <w:szCs w:val="20"/>
                <w:color w:val="auto"/>
              </w:rPr>
            </w:pPr>
            <w:r>
              <w:rPr>
                <w:rFonts w:ascii="Times New Roman" w:cs="Times New Roman" w:eastAsia="Times New Roman" w:hAnsi="Times New Roman"/>
                <w:sz w:val="20"/>
                <w:szCs w:val="20"/>
                <w:color w:val="0000EE"/>
              </w:rPr>
              <w:t>Compensation of Named Executive Officers</w:t>
            </w: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64"/>
        </w:trPr>
        <w:tc>
          <w:tcPr>
            <w:tcW w:w="200" w:type="dxa"/>
            <w:vAlign w:val="bottom"/>
          </w:tcPr>
          <w:p>
            <w:pPr>
              <w:spacing w:after="0"/>
              <w:rPr>
                <w:sz w:val="22"/>
                <w:szCs w:val="22"/>
                <w:color w:val="auto"/>
              </w:rPr>
            </w:pPr>
          </w:p>
        </w:tc>
        <w:tc>
          <w:tcPr>
            <w:tcW w:w="3500" w:type="dxa"/>
            <w:vAlign w:val="bottom"/>
            <w:tcBorders>
              <w:top w:val="single" w:sz="8" w:color="0000EE"/>
            </w:tcBorders>
            <w:gridSpan w:val="23"/>
          </w:tcPr>
          <w:p>
            <w:pPr>
              <w:spacing w:after="0"/>
              <w:rPr>
                <w:sz w:val="20"/>
                <w:szCs w:val="20"/>
                <w:color w:val="auto"/>
              </w:rPr>
            </w:pPr>
            <w:r>
              <w:rPr>
                <w:rFonts w:ascii="Times New Roman" w:cs="Times New Roman" w:eastAsia="Times New Roman" w:hAnsi="Times New Roman"/>
                <w:sz w:val="20"/>
                <w:szCs w:val="20"/>
                <w:color w:val="0000EE"/>
              </w:rPr>
              <w:t>2023 Summary Compensation Table</w:t>
            </w:r>
          </w:p>
        </w:tc>
        <w:tc>
          <w:tcPr>
            <w:tcW w:w="4460" w:type="dxa"/>
            <w:vAlign w:val="bottom"/>
            <w:gridSpan w:val="11"/>
          </w:tcPr>
          <w:p>
            <w:pPr>
              <w:spacing w:after="0"/>
              <w:rPr>
                <w:sz w:val="22"/>
                <w:szCs w:val="22"/>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20"/>
        </w:trPr>
        <w:tc>
          <w:tcPr>
            <w:tcW w:w="200" w:type="dxa"/>
            <w:vAlign w:val="bottom"/>
          </w:tcPr>
          <w:p>
            <w:pPr>
              <w:spacing w:after="0" w:line="20" w:lineRule="exact"/>
              <w:rPr>
                <w:sz w:val="1"/>
                <w:szCs w:val="1"/>
                <w:color w:val="auto"/>
              </w:rPr>
            </w:pPr>
          </w:p>
        </w:tc>
        <w:tc>
          <w:tcPr>
            <w:tcW w:w="15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80" w:type="dxa"/>
            <w:vAlign w:val="bottom"/>
            <w:tcBorders>
              <w:left w:val="single" w:sz="8" w:color="0000EE"/>
            </w:tcBorders>
            <w:gridSpan w:val="6"/>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260" w:type="dxa"/>
            <w:vAlign w:val="bottom"/>
            <w:gridSpan w:val="10"/>
          </w:tcPr>
          <w:p>
            <w:pPr>
              <w:spacing w:after="0" w:line="20" w:lineRule="exact"/>
              <w:rPr>
                <w:sz w:val="1"/>
                <w:szCs w:val="1"/>
                <w:color w:val="auto"/>
              </w:rPr>
            </w:pPr>
          </w:p>
        </w:tc>
        <w:tc>
          <w:tcPr>
            <w:tcW w:w="1220" w:type="dxa"/>
            <w:vAlign w:val="bottom"/>
            <w:gridSpan w:val="7"/>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63"/>
        </w:trPr>
        <w:tc>
          <w:tcPr>
            <w:tcW w:w="200" w:type="dxa"/>
            <w:vAlign w:val="bottom"/>
          </w:tcPr>
          <w:p>
            <w:pPr>
              <w:spacing w:after="0"/>
              <w:rPr>
                <w:sz w:val="22"/>
                <w:szCs w:val="22"/>
                <w:color w:val="auto"/>
              </w:rPr>
            </w:pPr>
          </w:p>
        </w:tc>
        <w:tc>
          <w:tcPr>
            <w:tcW w:w="414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20"/>
                <w:szCs w:val="20"/>
                <w:color w:val="0000EE"/>
                <w:w w:val="97"/>
              </w:rPr>
              <w:t>Outstanding Equity Awards at 2023 Fiscal Year-End</w:t>
            </w:r>
          </w:p>
        </w:tc>
        <w:tc>
          <w:tcPr>
            <w:tcW w:w="3820" w:type="dxa"/>
            <w:vAlign w:val="bottom"/>
            <w:gridSpan w:val="8"/>
          </w:tcPr>
          <w:p>
            <w:pPr>
              <w:spacing w:after="0"/>
              <w:rPr>
                <w:sz w:val="22"/>
                <w:szCs w:val="22"/>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263"/>
        </w:trPr>
        <w:tc>
          <w:tcPr>
            <w:tcW w:w="200" w:type="dxa"/>
            <w:vAlign w:val="bottom"/>
          </w:tcPr>
          <w:p>
            <w:pPr>
              <w:spacing w:after="0"/>
              <w:rPr>
                <w:sz w:val="22"/>
                <w:szCs w:val="22"/>
                <w:color w:val="auto"/>
              </w:rPr>
            </w:pPr>
          </w:p>
        </w:tc>
        <w:tc>
          <w:tcPr>
            <w:tcW w:w="15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20"/>
                <w:szCs w:val="20"/>
                <w:color w:val="0000EE"/>
                <w:w w:val="98"/>
              </w:rPr>
              <w:t>Additional Matters</w:t>
            </w:r>
          </w:p>
        </w:tc>
        <w:tc>
          <w:tcPr>
            <w:tcW w:w="6420" w:type="dxa"/>
            <w:vAlign w:val="bottom"/>
            <w:gridSpan w:val="30"/>
          </w:tcPr>
          <w:p>
            <w:pPr>
              <w:spacing w:after="0"/>
              <w:rPr>
                <w:sz w:val="22"/>
                <w:szCs w:val="22"/>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r>
      <w:tr>
        <w:trPr>
          <w:trHeight w:val="264"/>
        </w:trPr>
        <w:tc>
          <w:tcPr>
            <w:tcW w:w="8160" w:type="dxa"/>
            <w:vAlign w:val="bottom"/>
            <w:gridSpan w:val="35"/>
          </w:tcPr>
          <w:p>
            <w:pPr>
              <w:spacing w:after="0"/>
              <w:rPr>
                <w:sz w:val="20"/>
                <w:szCs w:val="20"/>
                <w:color w:val="auto"/>
              </w:rPr>
            </w:pPr>
            <w:r>
              <w:rPr>
                <w:rFonts w:ascii="Times New Roman" w:cs="Times New Roman" w:eastAsia="Times New Roman" w:hAnsi="Times New Roman"/>
                <w:sz w:val="20"/>
                <w:szCs w:val="20"/>
                <w:b w:val="1"/>
                <w:bCs w:val="1"/>
                <w:color w:val="0000EE"/>
              </w:rPr>
              <w:t>STOCK OWNERSHIP</w:t>
            </w: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305494"/>
              </w:rPr>
              <w:t>36</w:t>
            </w:r>
          </w:p>
        </w:tc>
      </w:tr>
      <w:tr>
        <w:trPr>
          <w:trHeight w:val="20"/>
        </w:trPr>
        <w:tc>
          <w:tcPr>
            <w:tcW w:w="200" w:type="dxa"/>
            <w:vAlign w:val="bottom"/>
            <w:shd w:val="clear" w:color="auto" w:fill="0000EE"/>
          </w:tcPr>
          <w:p>
            <w:pPr>
              <w:spacing w:after="0" w:line="20" w:lineRule="exact"/>
              <w:rPr>
                <w:sz w:val="1"/>
                <w:szCs w:val="1"/>
                <w:color w:val="auto"/>
              </w:rPr>
            </w:pPr>
          </w:p>
        </w:tc>
        <w:tc>
          <w:tcPr>
            <w:tcW w:w="1760" w:type="dxa"/>
            <w:vAlign w:val="bottom"/>
            <w:gridSpan w:val="6"/>
            <w:shd w:val="clear" w:color="auto" w:fill="0000EE"/>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2720" w:type="dxa"/>
            <w:vAlign w:val="bottom"/>
            <w:gridSpan w:val="21"/>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63"/>
        </w:trPr>
        <w:tc>
          <w:tcPr>
            <w:tcW w:w="200" w:type="dxa"/>
            <w:vAlign w:val="bottom"/>
          </w:tcPr>
          <w:p>
            <w:pPr>
              <w:spacing w:after="0"/>
              <w:rPr>
                <w:sz w:val="22"/>
                <w:szCs w:val="22"/>
                <w:color w:val="auto"/>
              </w:rPr>
            </w:pPr>
          </w:p>
        </w:tc>
        <w:tc>
          <w:tcPr>
            <w:tcW w:w="7960" w:type="dxa"/>
            <w:vAlign w:val="bottom"/>
            <w:gridSpan w:val="34"/>
          </w:tcPr>
          <w:p>
            <w:pPr>
              <w:spacing w:after="0"/>
              <w:rPr>
                <w:sz w:val="20"/>
                <w:szCs w:val="20"/>
                <w:color w:val="auto"/>
              </w:rPr>
            </w:pPr>
            <w:r>
              <w:rPr>
                <w:rFonts w:ascii="Times New Roman" w:cs="Times New Roman" w:eastAsia="Times New Roman" w:hAnsi="Times New Roman"/>
                <w:sz w:val="20"/>
                <w:szCs w:val="20"/>
                <w:color w:val="0000EE"/>
              </w:rPr>
              <w:t>Security Ownership of Certain Beneficial Owners and Management</w:t>
            </w: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264"/>
        </w:trPr>
        <w:tc>
          <w:tcPr>
            <w:tcW w:w="200" w:type="dxa"/>
            <w:vAlign w:val="bottom"/>
          </w:tcPr>
          <w:p>
            <w:pPr>
              <w:spacing w:after="0"/>
              <w:rPr>
                <w:sz w:val="22"/>
                <w:szCs w:val="22"/>
                <w:color w:val="auto"/>
              </w:rPr>
            </w:pPr>
          </w:p>
        </w:tc>
        <w:tc>
          <w:tcPr>
            <w:tcW w:w="5360" w:type="dxa"/>
            <w:vAlign w:val="bottom"/>
            <w:tcBorders>
              <w:top w:val="single" w:sz="8" w:color="0000EE"/>
            </w:tcBorders>
            <w:gridSpan w:val="33"/>
          </w:tcPr>
          <w:p>
            <w:pPr>
              <w:spacing w:after="0"/>
              <w:rPr>
                <w:sz w:val="20"/>
                <w:szCs w:val="20"/>
                <w:color w:val="auto"/>
              </w:rPr>
            </w:pPr>
            <w:r>
              <w:rPr>
                <w:rFonts w:ascii="Times New Roman" w:cs="Times New Roman" w:eastAsia="Times New Roman" w:hAnsi="Times New Roman"/>
                <w:sz w:val="20"/>
                <w:szCs w:val="20"/>
                <w:color w:val="0000EE"/>
              </w:rPr>
              <w:t>Delinquent Section 16(a) Reports</w:t>
            </w:r>
          </w:p>
        </w:tc>
        <w:tc>
          <w:tcPr>
            <w:tcW w:w="2600" w:type="dxa"/>
            <w:vAlign w:val="bottom"/>
          </w:tcPr>
          <w:p>
            <w:pPr>
              <w:spacing w:after="0"/>
              <w:rPr>
                <w:sz w:val="22"/>
                <w:szCs w:val="22"/>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bl>
    <w:p>
      <w:pPr>
        <w:sectPr>
          <w:pgSz w:w="11900" w:h="16838" w:orient="portrait"/>
          <w:cols w:equalWidth="0" w:num="1">
            <w:col w:w="11080"/>
          </w:cols>
          <w:pgMar w:left="320" w:top="455" w:right="49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9360" w:type="dxa"/>
            <w:vAlign w:val="bottom"/>
            <w:gridSpan w:val="12"/>
          </w:tcPr>
          <w:p>
            <w:pPr>
              <w:spacing w:after="0"/>
              <w:rPr>
                <w:sz w:val="17"/>
                <w:szCs w:val="17"/>
                <w:color w:val="auto"/>
              </w:rPr>
            </w:pPr>
          </w:p>
        </w:tc>
        <w:tc>
          <w:tcPr>
            <w:tcW w:w="360" w:type="dxa"/>
            <w:vAlign w:val="bottom"/>
          </w:tcPr>
          <w:p>
            <w:pPr>
              <w:spacing w:after="0"/>
              <w:rPr>
                <w:sz w:val="17"/>
                <w:szCs w:val="17"/>
                <w:color w:val="auto"/>
              </w:rPr>
            </w:pPr>
          </w:p>
        </w:tc>
      </w:tr>
      <w:tr>
        <w:trPr>
          <w:trHeight w:val="560"/>
        </w:trPr>
        <w:tc>
          <w:tcPr>
            <w:tcW w:w="120" w:type="dxa"/>
            <w:vAlign w:val="bottom"/>
          </w:tcPr>
          <w:p>
            <w:pPr>
              <w:spacing w:after="0"/>
              <w:rPr>
                <w:sz w:val="24"/>
                <w:szCs w:val="24"/>
                <w:color w:val="auto"/>
              </w:rPr>
            </w:pPr>
          </w:p>
        </w:tc>
        <w:tc>
          <w:tcPr>
            <w:tcW w:w="10600" w:type="dxa"/>
            <w:vAlign w:val="bottom"/>
            <w:gridSpan w:val="15"/>
          </w:tcPr>
          <w:p>
            <w:pPr>
              <w:spacing w:after="0"/>
              <w:rPr>
                <w:sz w:val="20"/>
                <w:szCs w:val="20"/>
                <w:color w:val="auto"/>
              </w:rPr>
            </w:pPr>
            <w:r>
              <w:rPr>
                <w:rFonts w:ascii="Times New Roman" w:cs="Times New Roman" w:eastAsia="Times New Roman" w:hAnsi="Times New Roman"/>
                <w:sz w:val="20"/>
                <w:szCs w:val="20"/>
                <w:b w:val="1"/>
                <w:bCs w:val="1"/>
                <w:color w:val="0000EE"/>
              </w:rPr>
              <w:t>AUDIT MATTERS</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305494"/>
              </w:rPr>
              <w:t>39</w:t>
            </w: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5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20"/>
                <w:szCs w:val="20"/>
                <w:color w:val="0000EE"/>
                <w:w w:val="98"/>
              </w:rPr>
              <w:t>Proposal Two: Ratification of Appointment of Independent Registered Public Accounting Firm</w:t>
            </w:r>
          </w:p>
        </w:tc>
        <w:tc>
          <w:tcPr>
            <w:tcW w:w="2860" w:type="dxa"/>
            <w:vAlign w:val="bottom"/>
            <w:gridSpan w:val="2"/>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0" w:type="dxa"/>
            <w:vAlign w:val="bottom"/>
            <w:gridSpan w:val="14"/>
          </w:tcPr>
          <w:p>
            <w:pPr>
              <w:spacing w:after="0" w:line="209" w:lineRule="exact"/>
              <w:rPr>
                <w:sz w:val="20"/>
                <w:szCs w:val="20"/>
                <w:color w:val="auto"/>
              </w:rPr>
            </w:pPr>
            <w:r>
              <w:rPr>
                <w:rFonts w:ascii="Times New Roman" w:cs="Times New Roman" w:eastAsia="Times New Roman" w:hAnsi="Times New Roman"/>
                <w:sz w:val="20"/>
                <w:szCs w:val="20"/>
                <w:color w:val="0000EE"/>
              </w:rPr>
              <w:t>Report of the Audit Committee</w:t>
            </w:r>
          </w:p>
        </w:tc>
        <w:tc>
          <w:tcPr>
            <w:tcW w:w="36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40</w:t>
            </w: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10600" w:type="dxa"/>
            <w:vAlign w:val="bottom"/>
            <w:gridSpan w:val="15"/>
          </w:tcPr>
          <w:p>
            <w:pPr>
              <w:spacing w:after="0"/>
              <w:rPr>
                <w:sz w:val="20"/>
                <w:szCs w:val="20"/>
                <w:color w:val="auto"/>
              </w:rPr>
            </w:pPr>
            <w:r>
              <w:rPr>
                <w:rFonts w:ascii="Times New Roman" w:cs="Times New Roman" w:eastAsia="Times New Roman" w:hAnsi="Times New Roman"/>
                <w:sz w:val="20"/>
                <w:szCs w:val="20"/>
                <w:b w:val="1"/>
                <w:bCs w:val="1"/>
                <w:color w:val="0000EE"/>
              </w:rPr>
              <w:t>PREFERRED STOCK CONVERSION AND ISSUANCE</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305494"/>
              </w:rPr>
              <w:t>41</w:t>
            </w: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20"/>
                <w:szCs w:val="20"/>
                <w:color w:val="0000EE"/>
                <w:w w:val="98"/>
              </w:rPr>
              <w:t>Proposal Three: Approval of Series A Preferred Stock Conversion into Common Stock</w:t>
            </w:r>
          </w:p>
        </w:tc>
        <w:tc>
          <w:tcPr>
            <w:tcW w:w="3520" w:type="dxa"/>
            <w:vAlign w:val="bottom"/>
            <w:gridSpan w:val="4"/>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64"/>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0" w:type="dxa"/>
            <w:vAlign w:val="bottom"/>
            <w:gridSpan w:val="14"/>
          </w:tcPr>
          <w:p>
            <w:pPr>
              <w:spacing w:after="0"/>
              <w:rPr>
                <w:sz w:val="20"/>
                <w:szCs w:val="20"/>
                <w:color w:val="auto"/>
              </w:rPr>
            </w:pPr>
            <w:r>
              <w:rPr>
                <w:rFonts w:ascii="Times New Roman" w:cs="Times New Roman" w:eastAsia="Times New Roman" w:hAnsi="Times New Roman"/>
                <w:sz w:val="20"/>
                <w:szCs w:val="20"/>
                <w:color w:val="0000EE"/>
              </w:rPr>
              <w:t>Proposal Four: Approval of Issuance of Series A Preferred Stock to Certain Directors and Officers and Conversion into Common</w:t>
            </w:r>
          </w:p>
        </w:tc>
        <w:tc>
          <w:tcPr>
            <w:tcW w:w="360" w:type="dxa"/>
            <w:vAlign w:val="bottom"/>
          </w:tcPr>
          <w:p>
            <w:pPr>
              <w:spacing w:after="0"/>
              <w:rPr>
                <w:sz w:val="22"/>
                <w:szCs w:val="22"/>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120" w:type="dxa"/>
            <w:vAlign w:val="bottom"/>
            <w:tcBorders>
              <w:top w:val="single" w:sz="8" w:color="0000EE"/>
              <w:bottom w:val="single" w:sz="8" w:color="0000EE"/>
            </w:tcBorders>
            <w:gridSpan w:val="3"/>
          </w:tcPr>
          <w:p>
            <w:pPr>
              <w:spacing w:after="0" w:line="209" w:lineRule="exact"/>
              <w:rPr>
                <w:sz w:val="20"/>
                <w:szCs w:val="20"/>
                <w:color w:val="auto"/>
              </w:rPr>
            </w:pPr>
            <w:r>
              <w:rPr>
                <w:rFonts w:ascii="Times New Roman" w:cs="Times New Roman" w:eastAsia="Times New Roman" w:hAnsi="Times New Roman"/>
                <w:sz w:val="20"/>
                <w:szCs w:val="20"/>
                <w:color w:val="0000EE"/>
                <w:w w:val="96"/>
              </w:rPr>
              <w:t>Stock Thereof</w:t>
            </w:r>
          </w:p>
        </w:tc>
        <w:tc>
          <w:tcPr>
            <w:tcW w:w="8900" w:type="dxa"/>
            <w:vAlign w:val="bottom"/>
            <w:tcBorders>
              <w:top w:val="single" w:sz="8" w:color="0000EE"/>
            </w:tcBorders>
            <w:gridSpan w:val="9"/>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63"/>
        </w:trPr>
        <w:tc>
          <w:tcPr>
            <w:tcW w:w="120" w:type="dxa"/>
            <w:vAlign w:val="bottom"/>
          </w:tcPr>
          <w:p>
            <w:pPr>
              <w:spacing w:after="0"/>
              <w:rPr>
                <w:sz w:val="22"/>
                <w:szCs w:val="22"/>
                <w:color w:val="auto"/>
              </w:rPr>
            </w:pPr>
          </w:p>
        </w:tc>
        <w:tc>
          <w:tcPr>
            <w:tcW w:w="10600" w:type="dxa"/>
            <w:vAlign w:val="bottom"/>
            <w:gridSpan w:val="15"/>
          </w:tcPr>
          <w:p>
            <w:pPr>
              <w:spacing w:after="0"/>
              <w:rPr>
                <w:sz w:val="20"/>
                <w:szCs w:val="20"/>
                <w:color w:val="auto"/>
              </w:rPr>
            </w:pPr>
            <w:r>
              <w:rPr>
                <w:rFonts w:ascii="Times New Roman" w:cs="Times New Roman" w:eastAsia="Times New Roman" w:hAnsi="Times New Roman"/>
                <w:sz w:val="20"/>
                <w:szCs w:val="20"/>
                <w:b w:val="1"/>
                <w:bCs w:val="1"/>
                <w:color w:val="0000EE"/>
              </w:rPr>
              <w:t>ADDITIONAL INFORMATION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305494"/>
              </w:rPr>
              <w:t>44</w:t>
            </w:r>
          </w:p>
        </w:tc>
      </w:tr>
      <w:tr>
        <w:trPr>
          <w:trHeight w:val="263"/>
        </w:trPr>
        <w:tc>
          <w:tcPr>
            <w:tcW w:w="120" w:type="dxa"/>
            <w:vAlign w:val="bottom"/>
          </w:tcPr>
          <w:p>
            <w:pPr>
              <w:spacing w:after="0"/>
              <w:rPr>
                <w:sz w:val="22"/>
                <w:szCs w:val="22"/>
                <w:color w:val="auto"/>
              </w:rPr>
            </w:pPr>
          </w:p>
        </w:tc>
        <w:tc>
          <w:tcPr>
            <w:tcW w:w="200" w:type="dxa"/>
            <w:vAlign w:val="bottom"/>
            <w:tcBorders>
              <w:top w:val="single" w:sz="8" w:color="0000EE"/>
            </w:tcBorders>
          </w:tcPr>
          <w:p>
            <w:pPr>
              <w:spacing w:after="0"/>
              <w:rPr>
                <w:sz w:val="22"/>
                <w:szCs w:val="22"/>
                <w:color w:val="auto"/>
              </w:rPr>
            </w:pPr>
          </w:p>
        </w:tc>
        <w:tc>
          <w:tcPr>
            <w:tcW w:w="11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20"/>
                <w:szCs w:val="20"/>
                <w:color w:val="0000EE"/>
                <w:w w:val="96"/>
              </w:rPr>
              <w:t>Other Matters</w:t>
            </w:r>
          </w:p>
        </w:tc>
        <w:tc>
          <w:tcPr>
            <w:tcW w:w="1480" w:type="dxa"/>
            <w:vAlign w:val="bottom"/>
            <w:tcBorders>
              <w:top w:val="single" w:sz="8" w:color="0000EE"/>
            </w:tcBorders>
            <w:gridSpan w:val="4"/>
          </w:tcPr>
          <w:p>
            <w:pPr>
              <w:spacing w:after="0"/>
              <w:rPr>
                <w:sz w:val="22"/>
                <w:szCs w:val="22"/>
                <w:color w:val="auto"/>
              </w:rPr>
            </w:pPr>
          </w:p>
        </w:tc>
        <w:tc>
          <w:tcPr>
            <w:tcW w:w="7820" w:type="dxa"/>
            <w:vAlign w:val="bottom"/>
            <w:gridSpan w:val="7"/>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63"/>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0" w:type="dxa"/>
            <w:vAlign w:val="bottom"/>
            <w:gridSpan w:val="14"/>
          </w:tcPr>
          <w:p>
            <w:pPr>
              <w:spacing w:after="0"/>
              <w:rPr>
                <w:sz w:val="20"/>
                <w:szCs w:val="20"/>
                <w:color w:val="auto"/>
              </w:rPr>
            </w:pPr>
            <w:r>
              <w:rPr>
                <w:rFonts w:ascii="Times New Roman" w:cs="Times New Roman" w:eastAsia="Times New Roman" w:hAnsi="Times New Roman"/>
                <w:sz w:val="20"/>
                <w:szCs w:val="20"/>
                <w:color w:val="0000EE"/>
              </w:rPr>
              <w:t>Stockholder Proposals and Nominations for Next Year’s Annual Meeting of Stockholders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63"/>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8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20"/>
                <w:szCs w:val="20"/>
                <w:color w:val="0000EE"/>
              </w:rPr>
              <w:t>Availability of Annual Report on Form 10-K</w:t>
            </w:r>
          </w:p>
        </w:tc>
        <w:tc>
          <w:tcPr>
            <w:tcW w:w="3320" w:type="dxa"/>
            <w:vAlign w:val="bottom"/>
            <w:gridSpan w:val="3"/>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ectPr>
          <w:pgSz w:w="11900" w:h="16838" w:orient="portrait"/>
          <w:cols w:equalWidth="0" w:num="1">
            <w:col w:w="11080"/>
          </w:cols>
          <w:pgMar w:left="320" w:top="446"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FF0000"/>
        </w:rPr>
        <w:t>PRELIMINARY PROXY STATEMENT – SUBJECT TO COMPLETION – DATED APRIL 16,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171450</wp:posOffset>
            </wp:positionV>
            <wp:extent cx="2074545" cy="3600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7454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50"/>
          <w:szCs w:val="50"/>
          <w:color w:val="305494"/>
        </w:rPr>
        <w:t>Proxy Statement</w:t>
      </w:r>
    </w:p>
    <w:p>
      <w:pPr>
        <w:spacing w:after="0" w:line="8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2024 Annual Meeting of Stockholders</w:t>
      </w:r>
    </w:p>
    <w:p>
      <w:pPr>
        <w:spacing w:after="0" w:line="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May 21, 2024</w:t>
      </w:r>
    </w:p>
    <w:p>
      <w:pPr>
        <w:spacing w:after="0" w:line="18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9"/>
          <w:szCs w:val="29"/>
          <w:b w:val="1"/>
          <w:bCs w:val="1"/>
          <w:color w:val="305494"/>
        </w:rPr>
        <w:t>ANNUAL MEETING INFORMATION</w:t>
      </w:r>
    </w:p>
    <w:p>
      <w:pPr>
        <w:spacing w:after="0" w:line="240" w:lineRule="exact"/>
        <w:rPr>
          <w:sz w:val="20"/>
          <w:szCs w:val="20"/>
          <w:color w:val="auto"/>
        </w:rPr>
      </w:pPr>
    </w:p>
    <w:p>
      <w:pPr>
        <w:ind w:left="120" w:firstLine="771"/>
        <w:spacing w:after="0" w:line="253" w:lineRule="auto"/>
        <w:rPr>
          <w:sz w:val="20"/>
          <w:szCs w:val="20"/>
          <w:color w:val="auto"/>
        </w:rPr>
      </w:pPr>
      <w:r>
        <w:rPr>
          <w:rFonts w:ascii="Times New Roman" w:cs="Times New Roman" w:eastAsia="Times New Roman" w:hAnsi="Times New Roman"/>
          <w:sz w:val="18"/>
          <w:szCs w:val="18"/>
          <w:color w:val="auto"/>
        </w:rPr>
        <w:t xml:space="preserve">Our board of directors is soliciting your proxy for the 2024 Annual Meeting of Stockholders (the Annual Meeting) of Biodesix, Inc. (“Biodesix,” the “Company,” “we,” “us” or “our”) and at any adjournment, continuation or postponement of the meeting for the purposes described in this proxy statement and the accompanying Notice of 2024 Annual Meeting of Stockholders. The Annual Meeting will take place virtually on May 21, 2024 at 1:00 p.m. Mountain Time. You must register to attend the meeting online and/or participate at </w:t>
      </w:r>
      <w:r>
        <w:rPr>
          <w:rFonts w:ascii="Times New Roman" w:cs="Times New Roman" w:eastAsia="Times New Roman" w:hAnsi="Times New Roman"/>
          <w:sz w:val="18"/>
          <w:szCs w:val="18"/>
          <w:u w:val="single" w:color="auto"/>
          <w:color w:val="2E65AF"/>
        </w:rPr>
        <w:t>www.proxydocs.com/BDSX</w:t>
      </w:r>
      <w:r>
        <w:rPr>
          <w:rFonts w:ascii="Times New Roman" w:cs="Times New Roman" w:eastAsia="Times New Roman" w:hAnsi="Times New Roman"/>
          <w:sz w:val="18"/>
          <w:szCs w:val="18"/>
          <w:color w:val="auto"/>
        </w:rPr>
        <w:t xml:space="preserve"> using the control number on your proxy card or notice. You will receive an email one hour prior to the meeting containing a link which will connect you to the meeting portal. If you held shares of our common stock as of the close of business on March 25, 2024, you will be able to vote on the proposals described in this proxy statement and submit questions online through the virtual meeting platform during the Annual Meeting. On or about April [●], 2024, we will be mailing a copy of our Annual Report on Form 10-K for the year ended December 31, 2023 (the 2023 Annual Report), this Proxy Statement and the proxy card (together, the Proxy Materials). The documents will be available at </w:t>
      </w:r>
      <w:r>
        <w:rPr>
          <w:rFonts w:ascii="Times New Roman" w:cs="Times New Roman" w:eastAsia="Times New Roman" w:hAnsi="Times New Roman"/>
          <w:sz w:val="18"/>
          <w:szCs w:val="18"/>
          <w:u w:val="single" w:color="auto"/>
          <w:color w:val="2E65AF"/>
        </w:rPr>
        <w:t>www.proxydocs.com/BDSX</w:t>
      </w:r>
      <w:r>
        <w:rPr>
          <w:rFonts w:ascii="Times New Roman" w:cs="Times New Roman" w:eastAsia="Times New Roman" w:hAnsi="Times New Roman"/>
          <w:sz w:val="18"/>
          <w:szCs w:val="18"/>
          <w:color w:val="auto"/>
        </w:rPr>
        <w:t>. The proxy card will also include information on how to vote online or by telephone or by returning your proxy card by mail.</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Who can vote?</w:t>
      </w:r>
    </w:p>
    <w:p>
      <w:pPr>
        <w:spacing w:after="0" w:line="229" w:lineRule="exact"/>
        <w:rPr>
          <w:sz w:val="20"/>
          <w:szCs w:val="20"/>
          <w:color w:val="auto"/>
        </w:rPr>
      </w:pPr>
    </w:p>
    <w:p>
      <w:pPr>
        <w:ind w:left="120" w:right="20" w:firstLine="771"/>
        <w:spacing w:after="0" w:line="266" w:lineRule="auto"/>
        <w:rPr>
          <w:sz w:val="20"/>
          <w:szCs w:val="20"/>
          <w:color w:val="auto"/>
        </w:rPr>
      </w:pPr>
      <w:r>
        <w:rPr>
          <w:rFonts w:ascii="Times New Roman" w:cs="Times New Roman" w:eastAsia="Times New Roman" w:hAnsi="Times New Roman"/>
          <w:sz w:val="18"/>
          <w:szCs w:val="18"/>
          <w:color w:val="auto"/>
        </w:rPr>
        <w:t>If you were a stockholder of record as of the close of business on March 25, 2024 (the record date), you are entitled to vote your shares at the Annual Meeting. As of the record date, 97,159,448 shares of our common stock were issued and outstanding. Each share of our common stock is entitled to one vote on each matter properly brought before to the meeting.</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What am I voting on?</w:t>
      </w:r>
    </w:p>
    <w:p>
      <w:pPr>
        <w:spacing w:after="0" w:line="22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You are being asked to vote on four proposals:</w:t>
      </w:r>
    </w:p>
    <w:p>
      <w:pPr>
        <w:spacing w:after="0" w:line="131" w:lineRule="exact"/>
        <w:rPr>
          <w:sz w:val="20"/>
          <w:szCs w:val="20"/>
          <w:color w:val="auto"/>
        </w:rPr>
      </w:pPr>
    </w:p>
    <w:p>
      <w:pPr>
        <w:ind w:left="1200" w:right="720" w:hanging="544"/>
        <w:spacing w:after="0" w:line="282" w:lineRule="auto"/>
        <w:tabs>
          <w:tab w:leader="none" w:pos="1200" w:val="left"/>
        </w:tabs>
        <w:numPr>
          <w:ilvl w:val="0"/>
          <w:numId w:val="7"/>
        </w:numPr>
        <w:rPr>
          <w:rFonts w:ascii="Times New Roman" w:cs="Times New Roman" w:eastAsia="Times New Roman" w:hAnsi="Times New Roman"/>
          <w:sz w:val="18"/>
          <w:szCs w:val="18"/>
          <w:color w:val="305494"/>
        </w:rPr>
      </w:pPr>
      <w:r>
        <w:rPr>
          <w:rFonts w:ascii="Times New Roman" w:cs="Times New Roman" w:eastAsia="Times New Roman" w:hAnsi="Times New Roman"/>
          <w:sz w:val="18"/>
          <w:szCs w:val="18"/>
          <w:color w:val="auto"/>
        </w:rPr>
        <w:t>Proposal One: To elect the three Class I directors named in this proxy statement to hold office until the 2027 annual meeting of stockholders;</w:t>
      </w:r>
    </w:p>
    <w:p>
      <w:pPr>
        <w:spacing w:after="0" w:line="188" w:lineRule="exact"/>
        <w:rPr>
          <w:rFonts w:ascii="Times New Roman" w:cs="Times New Roman" w:eastAsia="Times New Roman" w:hAnsi="Times New Roman"/>
          <w:sz w:val="18"/>
          <w:szCs w:val="18"/>
          <w:color w:val="305494"/>
        </w:rPr>
      </w:pPr>
    </w:p>
    <w:p>
      <w:pPr>
        <w:ind w:left="1200" w:hanging="544"/>
        <w:spacing w:after="0"/>
        <w:tabs>
          <w:tab w:leader="none" w:pos="1200" w:val="left"/>
        </w:tabs>
        <w:numPr>
          <w:ilvl w:val="0"/>
          <w:numId w:val="7"/>
        </w:numPr>
        <w:rPr>
          <w:rFonts w:ascii="Times New Roman" w:cs="Times New Roman" w:eastAsia="Times New Roman" w:hAnsi="Times New Roman"/>
          <w:sz w:val="18"/>
          <w:szCs w:val="18"/>
          <w:color w:val="305494"/>
        </w:rPr>
      </w:pPr>
      <w:r>
        <w:rPr>
          <w:rFonts w:ascii="Times New Roman" w:cs="Times New Roman" w:eastAsia="Times New Roman" w:hAnsi="Times New Roman"/>
          <w:sz w:val="18"/>
          <w:szCs w:val="18"/>
          <w:color w:val="auto"/>
        </w:rPr>
        <w:t>Proposal Two: To ratify the appointment of KPMG LLP as our independent registered public accounting firm for 2024;</w:t>
      </w:r>
    </w:p>
    <w:p>
      <w:pPr>
        <w:spacing w:after="0" w:line="252" w:lineRule="exact"/>
        <w:rPr>
          <w:rFonts w:ascii="Times New Roman" w:cs="Times New Roman" w:eastAsia="Times New Roman" w:hAnsi="Times New Roman"/>
          <w:sz w:val="18"/>
          <w:szCs w:val="18"/>
          <w:color w:val="305494"/>
        </w:rPr>
      </w:pPr>
    </w:p>
    <w:p>
      <w:pPr>
        <w:ind w:left="1200" w:hanging="544"/>
        <w:spacing w:after="0"/>
        <w:tabs>
          <w:tab w:leader="none" w:pos="1200" w:val="left"/>
        </w:tabs>
        <w:numPr>
          <w:ilvl w:val="0"/>
          <w:numId w:val="7"/>
        </w:numPr>
        <w:rPr>
          <w:rFonts w:ascii="Times New Roman" w:cs="Times New Roman" w:eastAsia="Times New Roman" w:hAnsi="Times New Roman"/>
          <w:sz w:val="18"/>
          <w:szCs w:val="18"/>
          <w:color w:val="305494"/>
        </w:rPr>
      </w:pPr>
      <w:r>
        <w:rPr>
          <w:rFonts w:ascii="Times New Roman" w:cs="Times New Roman" w:eastAsia="Times New Roman" w:hAnsi="Times New Roman"/>
          <w:sz w:val="18"/>
          <w:szCs w:val="18"/>
          <w:color w:val="auto"/>
        </w:rPr>
        <w:t>Proposal Three: To approve of the conversion of the Series A Preferred Stock into shares of Common Stock; and</w:t>
      </w:r>
    </w:p>
    <w:p>
      <w:pPr>
        <w:spacing w:after="0" w:line="252" w:lineRule="exact"/>
        <w:rPr>
          <w:rFonts w:ascii="Times New Roman" w:cs="Times New Roman" w:eastAsia="Times New Roman" w:hAnsi="Times New Roman"/>
          <w:sz w:val="18"/>
          <w:szCs w:val="18"/>
          <w:color w:val="305494"/>
        </w:rPr>
      </w:pPr>
    </w:p>
    <w:p>
      <w:pPr>
        <w:ind w:left="1200" w:right="200" w:hanging="544"/>
        <w:spacing w:after="0" w:line="282" w:lineRule="auto"/>
        <w:tabs>
          <w:tab w:leader="none" w:pos="1200" w:val="left"/>
        </w:tabs>
        <w:numPr>
          <w:ilvl w:val="0"/>
          <w:numId w:val="7"/>
        </w:numPr>
        <w:rPr>
          <w:rFonts w:ascii="Times New Roman" w:cs="Times New Roman" w:eastAsia="Times New Roman" w:hAnsi="Times New Roman"/>
          <w:sz w:val="18"/>
          <w:szCs w:val="18"/>
          <w:color w:val="305494"/>
        </w:rPr>
      </w:pPr>
      <w:r>
        <w:rPr>
          <w:rFonts w:ascii="Times New Roman" w:cs="Times New Roman" w:eastAsia="Times New Roman" w:hAnsi="Times New Roman"/>
          <w:sz w:val="18"/>
          <w:szCs w:val="18"/>
          <w:color w:val="auto"/>
        </w:rPr>
        <w:t>Proposal Four: To approve of the issuance of shares of Series A Preferred Stock to certain of the Company’s directors and officers and any shares of the Company’s Common Stock issuable upon the conversion thereof.</w:t>
      </w:r>
    </w:p>
    <w:p>
      <w:pPr>
        <w:spacing w:after="0" w:line="103"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40" w:type="dxa"/>
            <w:vAlign w:val="bottom"/>
          </w:tcPr>
          <w:p>
            <w:pPr>
              <w:spacing w:after="0"/>
              <w:rPr>
                <w:sz w:val="20"/>
                <w:szCs w:val="20"/>
                <w:color w:val="auto"/>
              </w:rPr>
            </w:pPr>
            <w:r>
              <w:rPr>
                <w:rFonts w:ascii="Arial" w:cs="Arial" w:eastAsia="Arial" w:hAnsi="Arial"/>
                <w:sz w:val="14"/>
                <w:szCs w:val="14"/>
                <w:b w:val="1"/>
                <w:bCs w:val="1"/>
                <w:color w:val="305494"/>
              </w:rPr>
              <w:t>2024 Proxy Statement</w:t>
            </w:r>
          </w:p>
        </w:tc>
        <w:tc>
          <w:tcPr>
            <w:tcW w:w="2240" w:type="dxa"/>
            <w:vAlign w:val="bottom"/>
          </w:tcPr>
          <w:p>
            <w:pPr>
              <w:jc w:val="right"/>
              <w:spacing w:after="0"/>
              <w:rPr>
                <w:sz w:val="20"/>
                <w:szCs w:val="20"/>
                <w:color w:val="auto"/>
              </w:rPr>
            </w:pPr>
            <w:r>
              <w:rPr>
                <w:rFonts w:ascii="Arial" w:cs="Arial" w:eastAsia="Arial" w:hAnsi="Arial"/>
                <w:sz w:val="14"/>
                <w:szCs w:val="14"/>
                <w:b w:val="1"/>
                <w:bCs w:val="1"/>
                <w:color w:val="305494"/>
              </w:rPr>
              <w:t>1</w:t>
            </w:r>
          </w:p>
        </w:tc>
      </w:tr>
    </w:tbl>
    <w:p>
      <w:pPr>
        <w:sectPr>
          <w:pgSz w:w="11900" w:h="16838" w:orient="portrait"/>
          <w:cols w:equalWidth="0" w:num="1">
            <w:col w:w="11060"/>
          </w:cols>
          <w:pgMar w:left="320" w:top="455" w:right="5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How does the board of directors recommend that I vote on each proposal?</w:t>
      </w:r>
    </w:p>
    <w:p>
      <w:pPr>
        <w:spacing w:after="0" w:line="22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board of directors recommends that our stockholders vote:</w:t>
      </w:r>
    </w:p>
    <w:p>
      <w:pPr>
        <w:spacing w:after="0" w:line="127" w:lineRule="exact"/>
        <w:rPr>
          <w:sz w:val="20"/>
          <w:szCs w:val="20"/>
          <w:color w:val="auto"/>
        </w:rPr>
      </w:pPr>
    </w:p>
    <w:p>
      <w:pPr>
        <w:ind w:left="1320" w:right="760" w:hanging="435"/>
        <w:spacing w:after="0" w:line="286" w:lineRule="auto"/>
        <w:tabs>
          <w:tab w:leader="none" w:pos="1320" w:val="left"/>
        </w:tabs>
        <w:numPr>
          <w:ilvl w:val="0"/>
          <w:numId w:val="8"/>
        </w:numPr>
        <w:rPr>
          <w:rFonts w:ascii="Times New Roman" w:cs="Times New Roman" w:eastAsia="Times New Roman" w:hAnsi="Times New Roman"/>
          <w:sz w:val="18"/>
          <w:szCs w:val="18"/>
          <w:color w:val="305494"/>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the three Class I directors named in this proxy statement to hold office until the 2027 annual meeting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w:t>
      </w:r>
    </w:p>
    <w:p>
      <w:pPr>
        <w:spacing w:after="0" w:line="60" w:lineRule="exact"/>
        <w:rPr>
          <w:rFonts w:ascii="Times New Roman" w:cs="Times New Roman" w:eastAsia="Times New Roman" w:hAnsi="Times New Roman"/>
          <w:sz w:val="18"/>
          <w:szCs w:val="18"/>
          <w:color w:val="305494"/>
        </w:rPr>
      </w:pPr>
    </w:p>
    <w:p>
      <w:pPr>
        <w:ind w:left="1320" w:hanging="435"/>
        <w:spacing w:after="0"/>
        <w:tabs>
          <w:tab w:leader="none" w:pos="1320" w:val="left"/>
        </w:tabs>
        <w:numPr>
          <w:ilvl w:val="0"/>
          <w:numId w:val="8"/>
        </w:numPr>
        <w:rPr>
          <w:rFonts w:ascii="Times New Roman" w:cs="Times New Roman" w:eastAsia="Times New Roman" w:hAnsi="Times New Roman"/>
          <w:sz w:val="18"/>
          <w:szCs w:val="18"/>
          <w:color w:val="305494"/>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appointment of KPMG LLP as our independent registered public accounting firm for 2024;</w:t>
      </w:r>
    </w:p>
    <w:p>
      <w:pPr>
        <w:spacing w:after="0" w:line="130" w:lineRule="exact"/>
        <w:rPr>
          <w:rFonts w:ascii="Times New Roman" w:cs="Times New Roman" w:eastAsia="Times New Roman" w:hAnsi="Times New Roman"/>
          <w:sz w:val="18"/>
          <w:szCs w:val="18"/>
          <w:color w:val="305494"/>
        </w:rPr>
      </w:pPr>
    </w:p>
    <w:p>
      <w:pPr>
        <w:ind w:left="1320" w:hanging="435"/>
        <w:spacing w:after="0"/>
        <w:tabs>
          <w:tab w:leader="none" w:pos="1320" w:val="left"/>
        </w:tabs>
        <w:numPr>
          <w:ilvl w:val="0"/>
          <w:numId w:val="8"/>
        </w:numPr>
        <w:rPr>
          <w:rFonts w:ascii="Times New Roman" w:cs="Times New Roman" w:eastAsia="Times New Roman" w:hAnsi="Times New Roman"/>
          <w:sz w:val="18"/>
          <w:szCs w:val="18"/>
          <w:color w:val="305494"/>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the conversion of the Series A Preferred Stock into shares of Common Stock; and</w:t>
      </w:r>
    </w:p>
    <w:p>
      <w:pPr>
        <w:spacing w:after="0" w:line="130" w:lineRule="exact"/>
        <w:rPr>
          <w:rFonts w:ascii="Times New Roman" w:cs="Times New Roman" w:eastAsia="Times New Roman" w:hAnsi="Times New Roman"/>
          <w:sz w:val="18"/>
          <w:szCs w:val="18"/>
          <w:color w:val="305494"/>
        </w:rPr>
      </w:pPr>
    </w:p>
    <w:p>
      <w:pPr>
        <w:ind w:left="1320" w:right="340" w:hanging="435"/>
        <w:spacing w:after="0" w:line="286" w:lineRule="auto"/>
        <w:tabs>
          <w:tab w:leader="none" w:pos="1320" w:val="left"/>
        </w:tabs>
        <w:numPr>
          <w:ilvl w:val="0"/>
          <w:numId w:val="8"/>
        </w:numPr>
        <w:rPr>
          <w:rFonts w:ascii="Times New Roman" w:cs="Times New Roman" w:eastAsia="Times New Roman" w:hAnsi="Times New Roman"/>
          <w:sz w:val="18"/>
          <w:szCs w:val="18"/>
          <w:color w:val="305494"/>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the issuance of shares of Series A Preferred Stock to certain of the Company’s directors and officers and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the Company’s Common Stock issuable upon the conversion thereof.</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What if another matter is properly brought before the meeting?</w:t>
      </w:r>
    </w:p>
    <w:p>
      <w:pPr>
        <w:spacing w:after="0" w:line="121" w:lineRule="exact"/>
        <w:rPr>
          <w:sz w:val="20"/>
          <w:szCs w:val="20"/>
          <w:color w:val="auto"/>
        </w:rPr>
      </w:pPr>
    </w:p>
    <w:p>
      <w:pPr>
        <w:ind w:left="120" w:right="20" w:firstLine="771"/>
        <w:spacing w:after="0" w:line="266" w:lineRule="auto"/>
        <w:rPr>
          <w:sz w:val="20"/>
          <w:szCs w:val="20"/>
          <w:color w:val="auto"/>
        </w:rPr>
      </w:pPr>
      <w:r>
        <w:rPr>
          <w:rFonts w:ascii="Times New Roman" w:cs="Times New Roman" w:eastAsia="Times New Roman" w:hAnsi="Times New Roman"/>
          <w:sz w:val="18"/>
          <w:szCs w:val="18"/>
          <w:color w:val="auto"/>
        </w:rPr>
        <w:t>The board of directors is not aware of any other matters that will be presented for consideration at the Annual Meeting. However, if any other matters are properly brought before the Annual Meeting, the persons named in the accompanying proxy intend to vote on those matters in accordance with their best judgment.</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How do I vote?</w:t>
      </w:r>
    </w:p>
    <w:p>
      <w:pPr>
        <w:spacing w:after="0" w:line="121" w:lineRule="exact"/>
        <w:rPr>
          <w:sz w:val="20"/>
          <w:szCs w:val="20"/>
          <w:color w:val="auto"/>
        </w:rPr>
      </w:pPr>
    </w:p>
    <w:p>
      <w:pPr>
        <w:ind w:left="120" w:right="20" w:firstLine="771"/>
        <w:spacing w:after="0" w:line="261" w:lineRule="auto"/>
        <w:rPr>
          <w:sz w:val="20"/>
          <w:szCs w:val="20"/>
          <w:color w:val="auto"/>
        </w:rPr>
      </w:pPr>
      <w:r>
        <w:rPr>
          <w:rFonts w:ascii="Times New Roman" w:cs="Times New Roman" w:eastAsia="Times New Roman" w:hAnsi="Times New Roman"/>
          <w:sz w:val="18"/>
          <w:szCs w:val="18"/>
          <w:color w:val="auto"/>
        </w:rPr>
        <w:t>The procedures for voting depend on whether your shares are registered in your name or are held by a bank, broker or other nominee. You may also vote your shares electronically during a designated portion of the virtual Annual Meeting after your successful registration at www.proxydocs.com/BDSX. Whether or not you plan to attend the Annual Meeting, we encourage you to vote and submit your proxy in advance of the meeting by one of the methods described below.</w:t>
      </w:r>
    </w:p>
    <w:p>
      <w:pPr>
        <w:spacing w:after="0" w:line="81" w:lineRule="exact"/>
        <w:rPr>
          <w:sz w:val="20"/>
          <w:szCs w:val="20"/>
          <w:color w:val="auto"/>
        </w:rPr>
      </w:pPr>
    </w:p>
    <w:p>
      <w:pPr>
        <w:ind w:left="880" w:hanging="332"/>
        <w:spacing w:after="0"/>
        <w:tabs>
          <w:tab w:leader="none" w:pos="880" w:val="left"/>
        </w:tabs>
        <w:numPr>
          <w:ilvl w:val="0"/>
          <w:numId w:val="9"/>
        </w:numPr>
        <w:rPr>
          <w:rFonts w:ascii="Times New Roman" w:cs="Times New Roman" w:eastAsia="Times New Roman" w:hAnsi="Times New Roman"/>
          <w:sz w:val="18"/>
          <w:szCs w:val="18"/>
          <w:color w:val="305494"/>
        </w:rPr>
      </w:pPr>
      <w:r>
        <w:rPr>
          <w:rFonts w:ascii="Times New Roman" w:cs="Times New Roman" w:eastAsia="Times New Roman" w:hAnsi="Times New Roman"/>
          <w:sz w:val="18"/>
          <w:szCs w:val="18"/>
          <w:b w:val="1"/>
          <w:bCs w:val="1"/>
          <w:color w:val="auto"/>
        </w:rPr>
        <w:t>Stockholders of Record: Shares Registered in Your Name</w:t>
      </w:r>
    </w:p>
    <w:p>
      <w:pPr>
        <w:spacing w:after="0" w:line="121" w:lineRule="exact"/>
        <w:rPr>
          <w:sz w:val="20"/>
          <w:szCs w:val="20"/>
          <w:color w:val="auto"/>
        </w:rPr>
      </w:pPr>
    </w:p>
    <w:p>
      <w:pPr>
        <w:jc w:val="both"/>
        <w:ind w:left="1100"/>
        <w:spacing w:after="0" w:line="266" w:lineRule="auto"/>
        <w:rPr>
          <w:sz w:val="20"/>
          <w:szCs w:val="20"/>
          <w:color w:val="auto"/>
        </w:rPr>
      </w:pPr>
      <w:r>
        <w:rPr>
          <w:rFonts w:ascii="Times New Roman" w:cs="Times New Roman" w:eastAsia="Times New Roman" w:hAnsi="Times New Roman"/>
          <w:sz w:val="18"/>
          <w:szCs w:val="18"/>
          <w:u w:val="single" w:color="auto"/>
          <w:color w:val="auto"/>
        </w:rPr>
        <w:t>Vote by Proxy in Advance of the Annual Meeting</w:t>
      </w:r>
      <w:r>
        <w:rPr>
          <w:rFonts w:ascii="Times New Roman" w:cs="Times New Roman" w:eastAsia="Times New Roman" w:hAnsi="Times New Roman"/>
          <w:sz w:val="18"/>
          <w:szCs w:val="18"/>
          <w:color w:val="auto"/>
        </w:rPr>
        <w:t>: If, on the record date, your shares were registered directly in your name with Biodesix’s transfer agent, Computershare Trust Company, N.A., then you are a “stockholder of record.” As a stockholder of record, you may vote by proxy in advance of the Annual Meeting in three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234950</wp:posOffset>
            </wp:positionV>
            <wp:extent cx="88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252095</wp:posOffset>
            </wp:positionV>
            <wp:extent cx="88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269240</wp:posOffset>
            </wp:positionV>
            <wp:extent cx="88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286385</wp:posOffset>
            </wp:positionV>
            <wp:extent cx="88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303530</wp:posOffset>
            </wp:positionV>
            <wp:extent cx="88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320675</wp:posOffset>
            </wp:positionV>
            <wp:extent cx="88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337820</wp:posOffset>
            </wp:positionV>
            <wp:extent cx="88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354965</wp:posOffset>
            </wp:positionV>
            <wp:extent cx="88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372110</wp:posOffset>
            </wp:positionV>
            <wp:extent cx="88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389255</wp:posOffset>
            </wp:positionV>
            <wp:extent cx="88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406400</wp:posOffset>
            </wp:positionV>
            <wp:extent cx="88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423545</wp:posOffset>
            </wp:positionV>
            <wp:extent cx="88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440690</wp:posOffset>
            </wp:positionV>
            <wp:extent cx="88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457835</wp:posOffset>
            </wp:positionV>
            <wp:extent cx="88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474980</wp:posOffset>
            </wp:positionV>
            <wp:extent cx="88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492125</wp:posOffset>
            </wp:positionV>
            <wp:extent cx="88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509270</wp:posOffset>
            </wp:positionV>
            <wp:extent cx="88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526415</wp:posOffset>
            </wp:positionV>
            <wp:extent cx="88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543560</wp:posOffset>
            </wp:positionV>
            <wp:extent cx="88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560705</wp:posOffset>
            </wp:positionV>
            <wp:extent cx="88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577850</wp:posOffset>
            </wp:positionV>
            <wp:extent cx="88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594995</wp:posOffset>
            </wp:positionV>
            <wp:extent cx="88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612140</wp:posOffset>
            </wp:positionV>
            <wp:extent cx="88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629285</wp:posOffset>
            </wp:positionV>
            <wp:extent cx="88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646430</wp:posOffset>
            </wp:positionV>
            <wp:extent cx="88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663575</wp:posOffset>
            </wp:positionV>
            <wp:extent cx="88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680720</wp:posOffset>
            </wp:positionV>
            <wp:extent cx="88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697865</wp:posOffset>
            </wp:positionV>
            <wp:extent cx="88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715010</wp:posOffset>
            </wp:positionV>
            <wp:extent cx="88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732155</wp:posOffset>
            </wp:positionV>
            <wp:extent cx="88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749300</wp:posOffset>
            </wp:positionV>
            <wp:extent cx="88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766445</wp:posOffset>
            </wp:positionV>
            <wp:extent cx="88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783590</wp:posOffset>
            </wp:positionV>
            <wp:extent cx="88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800735</wp:posOffset>
            </wp:positionV>
            <wp:extent cx="88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817880</wp:posOffset>
            </wp:positionV>
            <wp:extent cx="88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835025</wp:posOffset>
            </wp:positionV>
            <wp:extent cx="88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852170</wp:posOffset>
            </wp:positionV>
            <wp:extent cx="88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869315</wp:posOffset>
            </wp:positionV>
            <wp:extent cx="88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234950</wp:posOffset>
            </wp:positionV>
            <wp:extent cx="82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252095</wp:posOffset>
            </wp:positionV>
            <wp:extent cx="82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269240</wp:posOffset>
            </wp:positionV>
            <wp:extent cx="82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286385</wp:posOffset>
            </wp:positionV>
            <wp:extent cx="82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303530</wp:posOffset>
            </wp:positionV>
            <wp:extent cx="82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320675</wp:posOffset>
            </wp:positionV>
            <wp:extent cx="82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337820</wp:posOffset>
            </wp:positionV>
            <wp:extent cx="82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354965</wp:posOffset>
            </wp:positionV>
            <wp:extent cx="82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372110</wp:posOffset>
            </wp:positionV>
            <wp:extent cx="82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389255</wp:posOffset>
            </wp:positionV>
            <wp:extent cx="82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406400</wp:posOffset>
            </wp:positionV>
            <wp:extent cx="8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423545</wp:posOffset>
            </wp:positionV>
            <wp:extent cx="82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440690</wp:posOffset>
            </wp:positionV>
            <wp:extent cx="82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457835</wp:posOffset>
            </wp:positionV>
            <wp:extent cx="82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474980</wp:posOffset>
            </wp:positionV>
            <wp:extent cx="82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492125</wp:posOffset>
            </wp:positionV>
            <wp:extent cx="82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509270</wp:posOffset>
            </wp:positionV>
            <wp:extent cx="82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526415</wp:posOffset>
            </wp:positionV>
            <wp:extent cx="82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543560</wp:posOffset>
            </wp:positionV>
            <wp:extent cx="82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560705</wp:posOffset>
            </wp:positionV>
            <wp:extent cx="82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577850</wp:posOffset>
            </wp:positionV>
            <wp:extent cx="82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594995</wp:posOffset>
            </wp:positionV>
            <wp:extent cx="825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612140</wp:posOffset>
            </wp:positionV>
            <wp:extent cx="82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629285</wp:posOffset>
            </wp:positionV>
            <wp:extent cx="82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646430</wp:posOffset>
            </wp:positionV>
            <wp:extent cx="82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663575</wp:posOffset>
            </wp:positionV>
            <wp:extent cx="82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680720</wp:posOffset>
            </wp:positionV>
            <wp:extent cx="825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697865</wp:posOffset>
            </wp:positionV>
            <wp:extent cx="82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715010</wp:posOffset>
            </wp:positionV>
            <wp:extent cx="82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732155</wp:posOffset>
            </wp:positionV>
            <wp:extent cx="82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749300</wp:posOffset>
            </wp:positionV>
            <wp:extent cx="825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766445</wp:posOffset>
            </wp:positionV>
            <wp:extent cx="825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783590</wp:posOffset>
            </wp:positionV>
            <wp:extent cx="82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800735</wp:posOffset>
            </wp:positionV>
            <wp:extent cx="82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817880</wp:posOffset>
            </wp:positionV>
            <wp:extent cx="82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835025</wp:posOffset>
            </wp:positionV>
            <wp:extent cx="82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852170</wp:posOffset>
            </wp:positionV>
            <wp:extent cx="82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869315</wp:posOffset>
            </wp:positionV>
            <wp:extent cx="82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166370</wp:posOffset>
            </wp:positionV>
            <wp:extent cx="889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183515</wp:posOffset>
            </wp:positionV>
            <wp:extent cx="88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200660</wp:posOffset>
            </wp:positionV>
            <wp:extent cx="889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166370</wp:posOffset>
            </wp:positionV>
            <wp:extent cx="82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183515</wp:posOffset>
            </wp:positionV>
            <wp:extent cx="82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200660</wp:posOffset>
            </wp:positionV>
            <wp:extent cx="825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140335</wp:posOffset>
            </wp:positionV>
            <wp:extent cx="6369050" cy="23660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369050" cy="236601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140335</wp:posOffset>
            </wp:positionV>
            <wp:extent cx="6369050" cy="23660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369050" cy="2366010"/>
                    </a:xfrm>
                    <a:prstGeom prst="rect">
                      <a:avLst/>
                    </a:prstGeom>
                    <a:noFill/>
                  </pic:spPr>
                </pic:pic>
              </a:graphicData>
            </a:graphic>
          </wp:anchor>
        </w:drawing>
      </w:r>
    </w:p>
    <w:p>
      <w:pPr>
        <w:sectPr>
          <w:pgSz w:w="11900" w:h="16838" w:orient="portrait"/>
          <w:cols w:equalWidth="0" w:num="1">
            <w:col w:w="11100"/>
          </w:cols>
          <w:pgMar w:left="320" w:top="455"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Vote by Internet</w:t>
      </w:r>
    </w:p>
    <w:p>
      <w:pPr>
        <w:spacing w:after="0" w:line="25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Go to</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http://www.proxypush.com/</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BDSX to complete an electronic</w:t>
      </w:r>
    </w:p>
    <w:p>
      <w:pPr>
        <w:spacing w:after="0" w:line="2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proxy card. You will be asked to</w:t>
      </w:r>
    </w:p>
    <w:p>
      <w:pPr>
        <w:spacing w:after="0" w:line="2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provide the Company number</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and control number from your</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proxy card. Your vote must be</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received prior to the meeting</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start time to be counted.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b w:val="1"/>
          <w:bCs w:val="1"/>
          <w:color w:val="auto"/>
        </w:rPr>
        <w:t>Vote by telephone</w:t>
      </w:r>
    </w:p>
    <w:p>
      <w:pPr>
        <w:spacing w:after="0" w:line="268"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7"/>
          <w:szCs w:val="17"/>
          <w:color w:val="auto"/>
        </w:rPr>
        <w:t>Dial toll-free 1-866-291-6774 using a touch-tone phone and follow the recorded instructions. You will be asked to provide the Company number and control number from your proxy card. Your vote must be received prior to the meeting start time to be counted.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61595</wp:posOffset>
            </wp:positionV>
            <wp:extent cx="185991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color w:val="auto"/>
        </w:rPr>
        <w:t>Vote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-125095</wp:posOffset>
            </wp:positionV>
            <wp:extent cx="8890" cy="16198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90" cy="1619885"/>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-125095</wp:posOffset>
            </wp:positionV>
            <wp:extent cx="17145" cy="16198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145" cy="1619885"/>
                    </a:xfrm>
                    <a:prstGeom prst="rect">
                      <a:avLst/>
                    </a:prstGeom>
                    <a:noFill/>
                  </pic:spPr>
                </pic:pic>
              </a:graphicData>
            </a:graphic>
          </wp:anchor>
        </w:drawing>
      </w:r>
    </w:p>
    <w:p>
      <w:pPr>
        <w:spacing w:after="0" w:line="236" w:lineRule="exact"/>
        <w:rPr>
          <w:sz w:val="20"/>
          <w:szCs w:val="20"/>
          <w:color w:val="auto"/>
        </w:rPr>
      </w:pPr>
    </w:p>
    <w:p>
      <w:pPr>
        <w:ind w:right="900"/>
        <w:spacing w:after="0" w:line="254" w:lineRule="auto"/>
        <w:rPr>
          <w:sz w:val="20"/>
          <w:szCs w:val="20"/>
          <w:color w:val="auto"/>
        </w:rPr>
      </w:pPr>
      <w:r>
        <w:rPr>
          <w:rFonts w:ascii="Times New Roman" w:cs="Times New Roman" w:eastAsia="Times New Roman" w:hAnsi="Times New Roman"/>
          <w:sz w:val="18"/>
          <w:szCs w:val="18"/>
          <w:color w:val="auto"/>
        </w:rPr>
        <w:t>Complete, sign and date the proxy card you received as part of the Proxy Materials, and return it promptly in the envelope provided. If your signed proxy card is received prior to the meeting date, we will vote your shares as you direct.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71120</wp:posOffset>
            </wp:positionV>
            <wp:extent cx="237426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3">
            <w:col w:w="3800" w:space="720"/>
            <w:col w:w="2700" w:space="720"/>
            <w:col w:w="3160"/>
          </w:cols>
          <w:pgMar w:left="320" w:top="455" w:right="479" w:bottom="1440" w:gutter="0" w:footer="0" w:header="0"/>
          <w:type w:val="continuous"/>
        </w:sectPr>
      </w:pPr>
    </w:p>
    <w:p>
      <w:pPr>
        <w:spacing w:after="0" w:line="50"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40" w:type="dxa"/>
            <w:vAlign w:val="bottom"/>
          </w:tcPr>
          <w:p>
            <w:pPr>
              <w:spacing w:after="0"/>
              <w:rPr>
                <w:sz w:val="20"/>
                <w:szCs w:val="20"/>
                <w:color w:val="auto"/>
              </w:rPr>
            </w:pPr>
            <w:r>
              <w:rPr>
                <w:rFonts w:ascii="Arial" w:cs="Arial" w:eastAsia="Arial" w:hAnsi="Arial"/>
                <w:sz w:val="14"/>
                <w:szCs w:val="14"/>
                <w:b w:val="1"/>
                <w:bCs w:val="1"/>
                <w:color w:val="305494"/>
              </w:rPr>
              <w:t>2024 Proxy Statement</w:t>
            </w:r>
          </w:p>
        </w:tc>
        <w:tc>
          <w:tcPr>
            <w:tcW w:w="2240" w:type="dxa"/>
            <w:vAlign w:val="bottom"/>
          </w:tcPr>
          <w:p>
            <w:pPr>
              <w:jc w:val="right"/>
              <w:spacing w:after="0"/>
              <w:rPr>
                <w:sz w:val="20"/>
                <w:szCs w:val="20"/>
                <w:color w:val="auto"/>
              </w:rPr>
            </w:pPr>
            <w:r>
              <w:rPr>
                <w:rFonts w:ascii="Arial" w:cs="Arial" w:eastAsia="Arial" w:hAnsi="Arial"/>
                <w:sz w:val="14"/>
                <w:szCs w:val="14"/>
                <w:b w:val="1"/>
                <w:bCs w:val="1"/>
                <w:color w:val="305494"/>
              </w:rPr>
              <w:t>2</w:t>
            </w:r>
          </w:p>
        </w:tc>
      </w:tr>
    </w:tbl>
    <w:p>
      <w:pPr>
        <w:sectPr>
          <w:pgSz w:w="11900" w:h="16838" w:orient="portrait"/>
          <w:cols w:equalWidth="0" w:num="1">
            <w:col w:w="11100"/>
          </w:cols>
          <w:pgMar w:left="320" w:top="455" w:right="47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880" w:hanging="332"/>
        <w:spacing w:after="0"/>
        <w:tabs>
          <w:tab w:leader="none" w:pos="880" w:val="left"/>
        </w:tabs>
        <w:numPr>
          <w:ilvl w:val="0"/>
          <w:numId w:val="10"/>
        </w:numPr>
        <w:rPr>
          <w:rFonts w:ascii="Times New Roman" w:cs="Times New Roman" w:eastAsia="Times New Roman" w:hAnsi="Times New Roman"/>
          <w:sz w:val="18"/>
          <w:szCs w:val="18"/>
          <w:color w:val="305494"/>
        </w:rPr>
      </w:pPr>
      <w:r>
        <w:rPr>
          <w:rFonts w:ascii="Times New Roman" w:cs="Times New Roman" w:eastAsia="Times New Roman" w:hAnsi="Times New Roman"/>
          <w:sz w:val="18"/>
          <w:szCs w:val="18"/>
          <w:b w:val="1"/>
          <w:bCs w:val="1"/>
          <w:color w:val="auto"/>
        </w:rPr>
        <w:t>Beneficial Owner: Shares Registered in the Name of Broker, Bank or Other Nominee</w:t>
      </w:r>
    </w:p>
    <w:p>
      <w:pPr>
        <w:spacing w:after="0" w:line="229" w:lineRule="exact"/>
        <w:rPr>
          <w:sz w:val="20"/>
          <w:szCs w:val="20"/>
          <w:color w:val="auto"/>
        </w:rPr>
      </w:pPr>
    </w:p>
    <w:p>
      <w:pPr>
        <w:ind w:left="1100" w:right="20"/>
        <w:spacing w:after="0" w:line="258" w:lineRule="auto"/>
        <w:rPr>
          <w:sz w:val="20"/>
          <w:szCs w:val="20"/>
          <w:color w:val="auto"/>
        </w:rPr>
      </w:pPr>
      <w:r>
        <w:rPr>
          <w:rFonts w:ascii="Times New Roman" w:cs="Times New Roman" w:eastAsia="Times New Roman" w:hAnsi="Times New Roman"/>
          <w:sz w:val="18"/>
          <w:szCs w:val="18"/>
          <w:color w:val="auto"/>
        </w:rPr>
        <w:t>If, on the record date, your shares were held not in your name, but in an account with a broker, bank or other nominee as custodian on your behalf, then you are considered the “beneficial owner” of shares held in “street name.” The Proxy Materials are being forwarded to you by that broker, bank or other nominee who is considered the stockholder of record of those shares for purposes of voting at the Annual Meeting. As the beneficial owner, you have the right to direct your broker, bank or other nominee on how to vote your shares by following the instructions for voting set forth on that organization’s voting instruction card.</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What is the effect of giving a proxy? What if I return a proxy card or otherwise vote but do not make specific choices?</w:t>
      </w:r>
    </w:p>
    <w:p>
      <w:pPr>
        <w:spacing w:after="0" w:line="229" w:lineRule="exact"/>
        <w:rPr>
          <w:sz w:val="20"/>
          <w:szCs w:val="20"/>
          <w:color w:val="auto"/>
        </w:rPr>
      </w:pPr>
    </w:p>
    <w:p>
      <w:pPr>
        <w:ind w:left="120" w:right="80" w:firstLine="771"/>
        <w:spacing w:after="0" w:line="266" w:lineRule="auto"/>
        <w:rPr>
          <w:sz w:val="20"/>
          <w:szCs w:val="20"/>
          <w:color w:val="auto"/>
        </w:rPr>
      </w:pPr>
      <w:r>
        <w:rPr>
          <w:rFonts w:ascii="Times New Roman" w:cs="Times New Roman" w:eastAsia="Times New Roman" w:hAnsi="Times New Roman"/>
          <w:sz w:val="18"/>
          <w:szCs w:val="18"/>
          <w:color w:val="auto"/>
        </w:rPr>
        <w:t>Proxies are solicited by and on behalf of the board of directors. Robin Harper Cowie (our Chief Financial Officer, Secretary and Treasurer) and Christopher C. Vazquez (our Chief Accounting Officer) have been designated as proxy holders by the board of directors. If you properly grant your proxy, your shares will be voted as you instruct.</w:t>
      </w:r>
    </w:p>
    <w:p>
      <w:pPr>
        <w:spacing w:after="0" w:line="176" w:lineRule="exact"/>
        <w:rPr>
          <w:sz w:val="20"/>
          <w:szCs w:val="20"/>
          <w:color w:val="auto"/>
        </w:rPr>
      </w:pPr>
    </w:p>
    <w:p>
      <w:pPr>
        <w:ind w:left="120" w:right="20" w:firstLine="771"/>
        <w:spacing w:after="0" w:line="256" w:lineRule="auto"/>
        <w:rPr>
          <w:sz w:val="20"/>
          <w:szCs w:val="20"/>
          <w:color w:val="auto"/>
        </w:rPr>
      </w:pPr>
      <w:r>
        <w:rPr>
          <w:rFonts w:ascii="Times New Roman" w:cs="Times New Roman" w:eastAsia="Times New Roman" w:hAnsi="Times New Roman"/>
          <w:sz w:val="18"/>
          <w:szCs w:val="18"/>
          <w:color w:val="auto"/>
        </w:rPr>
        <w:t>If you return a signed proxy card or otherwise vote without marking specific voting selections, your shares will be voted as the board of directors recommends: “For” the election of three Class I directors (Proposal One); “For” the ratification of the appointment of KPMG LLP as our independent registered public accounting firm for 2024 (Proposal Two); “For” the approval of the conversion of the Series A Preferred Stock into shares of Common Stock (Proposal Three); “For” the approval of the issuance of shares of Series A Preferred Stock to certain of the Company’s directors and officers and any shares of the Company’s Common Stock issuable upon the conversion thereof (Proposal Four); and in accordance with the best judgment of your proxy holder for any other matters properly brought before the meeting, if any.</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Can I change my vote or revoke my proxy?</w:t>
      </w:r>
    </w:p>
    <w:p>
      <w:pPr>
        <w:spacing w:after="0" w:line="229" w:lineRule="exact"/>
        <w:rPr>
          <w:sz w:val="20"/>
          <w:szCs w:val="20"/>
          <w:color w:val="auto"/>
        </w:rPr>
      </w:pPr>
    </w:p>
    <w:p>
      <w:pPr>
        <w:ind w:left="120" w:right="60" w:firstLine="771"/>
        <w:spacing w:after="0" w:line="282" w:lineRule="auto"/>
        <w:rPr>
          <w:sz w:val="20"/>
          <w:szCs w:val="20"/>
          <w:color w:val="auto"/>
        </w:rPr>
      </w:pPr>
      <w:r>
        <w:rPr>
          <w:rFonts w:ascii="Times New Roman" w:cs="Times New Roman" w:eastAsia="Times New Roman" w:hAnsi="Times New Roman"/>
          <w:sz w:val="18"/>
          <w:szCs w:val="18"/>
          <w:color w:val="auto"/>
        </w:rPr>
        <w:t>Yes. If you are a stockholder of record, you can change your vote or revoke your proxy and voting instructions at any time prior to the vote at the annual meeting. To do so:</w:t>
      </w:r>
    </w:p>
    <w:p>
      <w:pPr>
        <w:spacing w:after="0" w:line="162" w:lineRule="exact"/>
        <w:rPr>
          <w:sz w:val="20"/>
          <w:szCs w:val="20"/>
          <w:color w:val="auto"/>
        </w:rPr>
      </w:pPr>
    </w:p>
    <w:p>
      <w:pPr>
        <w:ind w:left="1000" w:right="160" w:hanging="307"/>
        <w:spacing w:after="0" w:line="282" w:lineRule="auto"/>
        <w:tabs>
          <w:tab w:leader="none" w:pos="850" w:val="left"/>
        </w:tabs>
        <w:numPr>
          <w:ilvl w:val="0"/>
          <w:numId w:val="11"/>
        </w:numPr>
        <w:rPr>
          <w:rFonts w:ascii="Times New Roman" w:cs="Times New Roman" w:eastAsia="Times New Roman" w:hAnsi="Times New Roman"/>
          <w:sz w:val="18"/>
          <w:szCs w:val="18"/>
          <w:color w:val="2E65AF"/>
        </w:rPr>
      </w:pPr>
      <w:r>
        <w:rPr>
          <w:rFonts w:ascii="Times New Roman" w:cs="Times New Roman" w:eastAsia="Times New Roman" w:hAnsi="Times New Roman"/>
          <w:sz w:val="18"/>
          <w:szCs w:val="18"/>
          <w:color w:val="auto"/>
        </w:rPr>
        <w:t>Submit a new proxy card or voting instructions to the independent tabulator, Mediant Communications Inc. (Mediant), by mail, telephone or through the Internet by the closing of the polls at the annual meeting.</w:t>
      </w:r>
    </w:p>
    <w:p>
      <w:pPr>
        <w:spacing w:after="0" w:line="161" w:lineRule="exact"/>
        <w:rPr>
          <w:rFonts w:ascii="Times New Roman" w:cs="Times New Roman" w:eastAsia="Times New Roman" w:hAnsi="Times New Roman"/>
          <w:sz w:val="18"/>
          <w:szCs w:val="18"/>
          <w:color w:val="2E65AF"/>
        </w:rPr>
      </w:pPr>
    </w:p>
    <w:p>
      <w:pPr>
        <w:ind w:left="1000" w:right="260" w:hanging="307"/>
        <w:spacing w:after="0" w:line="282" w:lineRule="auto"/>
        <w:tabs>
          <w:tab w:leader="none" w:pos="850" w:val="left"/>
        </w:tabs>
        <w:numPr>
          <w:ilvl w:val="0"/>
          <w:numId w:val="11"/>
        </w:numPr>
        <w:rPr>
          <w:rFonts w:ascii="Times New Roman" w:cs="Times New Roman" w:eastAsia="Times New Roman" w:hAnsi="Times New Roman"/>
          <w:sz w:val="18"/>
          <w:szCs w:val="18"/>
          <w:color w:val="2E65AF"/>
        </w:rPr>
      </w:pPr>
      <w:r>
        <w:rPr>
          <w:rFonts w:ascii="Times New Roman" w:cs="Times New Roman" w:eastAsia="Times New Roman" w:hAnsi="Times New Roman"/>
          <w:sz w:val="18"/>
          <w:szCs w:val="18"/>
          <w:color w:val="auto"/>
        </w:rPr>
        <w:t>Attend the virtual Annual Meeting and vote electronically during the meeting. Simply attending the meeting will not, by itself, revoke your proxy.</w:t>
      </w:r>
    </w:p>
    <w:p>
      <w:pPr>
        <w:spacing w:after="0" w:line="162" w:lineRule="exact"/>
        <w:rPr>
          <w:sz w:val="20"/>
          <w:szCs w:val="20"/>
          <w:color w:val="auto"/>
        </w:rPr>
      </w:pPr>
    </w:p>
    <w:p>
      <w:pPr>
        <w:ind w:left="120" w:right="540" w:firstLine="771"/>
        <w:spacing w:after="0" w:line="282" w:lineRule="auto"/>
        <w:rPr>
          <w:sz w:val="20"/>
          <w:szCs w:val="20"/>
          <w:color w:val="auto"/>
        </w:rPr>
      </w:pPr>
      <w:r>
        <w:rPr>
          <w:rFonts w:ascii="Times New Roman" w:cs="Times New Roman" w:eastAsia="Times New Roman" w:hAnsi="Times New Roman"/>
          <w:sz w:val="18"/>
          <w:szCs w:val="18"/>
          <w:color w:val="auto"/>
        </w:rPr>
        <w:t>If you are the beneficial owner of shares held in street name, you should follow the instructions provided by your broker, bank or other nominee to revoke previously submitted voting instructions.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What are broker non-votes?</w:t>
      </w:r>
    </w:p>
    <w:p>
      <w:pPr>
        <w:spacing w:after="0" w:line="229" w:lineRule="exact"/>
        <w:rPr>
          <w:sz w:val="20"/>
          <w:szCs w:val="20"/>
          <w:color w:val="auto"/>
        </w:rPr>
      </w:pPr>
    </w:p>
    <w:p>
      <w:pPr>
        <w:ind w:left="120" w:firstLine="771"/>
        <w:spacing w:after="0" w:line="255" w:lineRule="auto"/>
        <w:rPr>
          <w:sz w:val="20"/>
          <w:szCs w:val="20"/>
          <w:color w:val="auto"/>
        </w:rPr>
      </w:pPr>
      <w:r>
        <w:rPr>
          <w:rFonts w:ascii="Times New Roman" w:cs="Times New Roman" w:eastAsia="Times New Roman" w:hAnsi="Times New Roman"/>
          <w:sz w:val="18"/>
          <w:szCs w:val="18"/>
          <w:color w:val="auto"/>
        </w:rPr>
        <w:t>Brokers, banks or other nominees holding shares on behalf of a beneficial owner may vote those shares in their discretion on certain “routine” matters even if they do not receive timely voting instructions from the beneficial owner. With respect to “non-routine” matters, the broker, bank or other nominee is not permitted to vote shares for a beneficial owner without timely received voting instructions. The only routine matter to be presented at the Annual Meeting is the proposal to ratify the appointment of KPMG LLP as our independent registered public accounting firm for 2024 (Proposal Two). The election of three Class I directors (Proposal One), approval of the conversion of the Series A Preferred Stock into shares of Common Stock (Proposal Three) and the approval of the issuance of shares of Series A Preferred Stock to certain of the Company’s directors and officers and any shares of the Company’s Common Stock issuable upon the conversion thereof (Proposal Four) are non-routine matters.</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40" w:type="dxa"/>
            <w:vAlign w:val="bottom"/>
          </w:tcPr>
          <w:p>
            <w:pPr>
              <w:spacing w:after="0"/>
              <w:rPr>
                <w:sz w:val="20"/>
                <w:szCs w:val="20"/>
                <w:color w:val="auto"/>
              </w:rPr>
            </w:pPr>
            <w:r>
              <w:rPr>
                <w:rFonts w:ascii="Arial" w:cs="Arial" w:eastAsia="Arial" w:hAnsi="Arial"/>
                <w:sz w:val="14"/>
                <w:szCs w:val="14"/>
                <w:b w:val="1"/>
                <w:bCs w:val="1"/>
                <w:color w:val="305494"/>
              </w:rPr>
              <w:t>2024 Proxy Statement</w:t>
            </w:r>
          </w:p>
        </w:tc>
        <w:tc>
          <w:tcPr>
            <w:tcW w:w="2240" w:type="dxa"/>
            <w:vAlign w:val="bottom"/>
          </w:tcPr>
          <w:p>
            <w:pPr>
              <w:jc w:val="right"/>
              <w:spacing w:after="0"/>
              <w:rPr>
                <w:sz w:val="20"/>
                <w:szCs w:val="20"/>
                <w:color w:val="auto"/>
              </w:rPr>
            </w:pPr>
            <w:r>
              <w:rPr>
                <w:rFonts w:ascii="Arial" w:cs="Arial" w:eastAsia="Arial" w:hAnsi="Arial"/>
                <w:sz w:val="14"/>
                <w:szCs w:val="14"/>
                <w:b w:val="1"/>
                <w:bCs w:val="1"/>
                <w:color w:val="305494"/>
              </w:rPr>
              <w:t>3</w:t>
            </w:r>
          </w:p>
        </w:tc>
      </w:tr>
    </w:tbl>
    <w:p>
      <w:pPr>
        <w:sectPr>
          <w:pgSz w:w="11900" w:h="16838" w:orient="portrait"/>
          <w:cols w:equalWidth="0" w:num="1">
            <w:col w:w="11120"/>
          </w:cols>
          <w:pgMar w:left="320" w:top="455"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771"/>
        <w:spacing w:after="0" w:line="258" w:lineRule="auto"/>
        <w:rPr>
          <w:sz w:val="20"/>
          <w:szCs w:val="20"/>
          <w:color w:val="auto"/>
        </w:rPr>
      </w:pPr>
      <w:r>
        <w:rPr>
          <w:rFonts w:ascii="Times New Roman" w:cs="Times New Roman" w:eastAsia="Times New Roman" w:hAnsi="Times New Roman"/>
          <w:sz w:val="18"/>
          <w:szCs w:val="18"/>
          <w:color w:val="auto"/>
        </w:rPr>
        <w:t>A broker non-vote occurs when a broker, bank or other nominee does not vote on a non-routine matter because the beneficial owner of such shares has not provided voting instructions with regard to such matter. If a broker, bank or other nominee exercises discretionary voting authority on Proposal Two, such shares will be considered present at the Annual Meeting for quorum purposes and broker non-votes will occur as to Proposal One, Proposal Three and Proposal Four and any other non-routine matters that are properly presented at the Annual Meeting. Broker non-votes will have no impact on the voting results.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How many shares must be present to hold the Annual Meeting?</w:t>
      </w:r>
    </w:p>
    <w:p>
      <w:pPr>
        <w:spacing w:after="0" w:line="229" w:lineRule="exact"/>
        <w:rPr>
          <w:sz w:val="20"/>
          <w:szCs w:val="20"/>
          <w:color w:val="auto"/>
        </w:rPr>
      </w:pPr>
    </w:p>
    <w:p>
      <w:pPr>
        <w:ind w:left="120" w:firstLine="771"/>
        <w:spacing w:after="0" w:line="256" w:lineRule="auto"/>
        <w:rPr>
          <w:sz w:val="20"/>
          <w:szCs w:val="20"/>
          <w:color w:val="auto"/>
        </w:rPr>
      </w:pPr>
      <w:r>
        <w:rPr>
          <w:rFonts w:ascii="Times New Roman" w:cs="Times New Roman" w:eastAsia="Times New Roman" w:hAnsi="Times New Roman"/>
          <w:sz w:val="18"/>
          <w:szCs w:val="18"/>
          <w:color w:val="auto"/>
        </w:rPr>
        <w:t>A quorum must be present at the Annual Meeting for any business to be conducted. A quorum will be present if the holders of at least a majority of the outstanding shares of our common stock entitled to vote are present at the Annual Meeting online or represented by proxy. On the record date, there were 97,159,448 shares of our common stock outstanding and entitled to vote. Therefore, the holders of 48,579,725 shares must be present online or represented by proxy at the Annual Meeting to have a quorum. For purposes of determining the presence of a quorum, abstentions, withheld votes and broker non-votes are counted. If there is no quorum, the holders of a majority of shares present or represented by proxy at the Annual Meeting may adjourn the meeting to a later date.</w:t>
      </w:r>
    </w:p>
    <w:p>
      <w:pPr>
        <w:spacing w:after="0" w:line="129"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40" w:type="dxa"/>
            <w:vAlign w:val="bottom"/>
          </w:tcPr>
          <w:p>
            <w:pPr>
              <w:spacing w:after="0"/>
              <w:rPr>
                <w:sz w:val="20"/>
                <w:szCs w:val="20"/>
                <w:color w:val="auto"/>
              </w:rPr>
            </w:pPr>
            <w:r>
              <w:rPr>
                <w:rFonts w:ascii="Arial" w:cs="Arial" w:eastAsia="Arial" w:hAnsi="Arial"/>
                <w:sz w:val="14"/>
                <w:szCs w:val="14"/>
                <w:b w:val="1"/>
                <w:bCs w:val="1"/>
                <w:color w:val="305494"/>
              </w:rPr>
              <w:t>2024 Proxy Statement</w:t>
            </w:r>
          </w:p>
        </w:tc>
        <w:tc>
          <w:tcPr>
            <w:tcW w:w="2240" w:type="dxa"/>
            <w:vAlign w:val="bottom"/>
          </w:tcPr>
          <w:p>
            <w:pPr>
              <w:jc w:val="right"/>
              <w:spacing w:after="0"/>
              <w:rPr>
                <w:sz w:val="20"/>
                <w:szCs w:val="20"/>
                <w:color w:val="auto"/>
              </w:rPr>
            </w:pPr>
            <w:r>
              <w:rPr>
                <w:rFonts w:ascii="Arial" w:cs="Arial" w:eastAsia="Arial" w:hAnsi="Arial"/>
                <w:sz w:val="14"/>
                <w:szCs w:val="14"/>
                <w:b w:val="1"/>
                <w:bCs w:val="1"/>
                <w:color w:val="305494"/>
              </w:rPr>
              <w:t>4</w:t>
            </w:r>
          </w:p>
        </w:tc>
      </w:tr>
    </w:tbl>
    <w:p>
      <w:pPr>
        <w:sectPr>
          <w:pgSz w:w="11900" w:h="16838" w:orient="portrait"/>
          <w:cols w:equalWidth="0" w:num="1">
            <w:col w:w="11080"/>
          </w:cols>
          <w:pgMar w:left="320" w:top="455" w:right="4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color w:val="305494"/>
        </w:rPr>
        <w:t>What vote is required for the approval of each proposal? What effect do “withhold” votes, abstentions and broker non-votes have on the proposals?</w:t>
      </w:r>
    </w:p>
    <w:p>
      <w:pPr>
        <w:spacing w:after="0" w:line="51" w:lineRule="exact"/>
        <w:rPr>
          <w:sz w:val="20"/>
          <w:szCs w:val="20"/>
          <w:color w:val="auto"/>
        </w:rPr>
      </w:pPr>
    </w:p>
    <w:p>
      <w:pPr>
        <w:ind w:left="120" w:right="300" w:firstLine="991"/>
        <w:spacing w:after="0" w:line="282" w:lineRule="auto"/>
        <w:rPr>
          <w:sz w:val="20"/>
          <w:szCs w:val="20"/>
          <w:color w:val="auto"/>
        </w:rPr>
      </w:pPr>
      <w:r>
        <w:rPr>
          <w:rFonts w:ascii="Times New Roman" w:cs="Times New Roman" w:eastAsia="Times New Roman" w:hAnsi="Times New Roman"/>
          <w:sz w:val="18"/>
          <w:szCs w:val="18"/>
          <w:color w:val="auto"/>
        </w:rPr>
        <w:t>The following chart summarizes the proposals to be considered at the Annual Meeting, the vote required for approval of each proposal, and the manner in which votes will be counted:</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320" w:type="dxa"/>
            <w:vAlign w:val="bottom"/>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218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Voting Options</w:t>
            </w:r>
          </w:p>
        </w:tc>
        <w:tc>
          <w:tcPr>
            <w:tcW w:w="22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Vote Required to Adopt the</w:t>
            </w:r>
          </w:p>
        </w:tc>
        <w:tc>
          <w:tcPr>
            <w:tcW w:w="216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Effect of “Withheld”</w:t>
            </w:r>
          </w:p>
        </w:tc>
        <w:tc>
          <w:tcPr>
            <w:tcW w:w="216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Effect of “Broker</w:t>
            </w:r>
          </w:p>
        </w:tc>
        <w:tc>
          <w:tcPr>
            <w:tcW w:w="0" w:type="dxa"/>
            <w:vAlign w:val="bottom"/>
          </w:tcPr>
          <w:p>
            <w:pPr>
              <w:spacing w:after="0"/>
              <w:rPr>
                <w:sz w:val="1"/>
                <w:szCs w:val="1"/>
                <w:color w:val="auto"/>
              </w:rPr>
            </w:pPr>
          </w:p>
        </w:tc>
      </w:tr>
      <w:tr>
        <w:trPr>
          <w:trHeight w:val="180"/>
        </w:trPr>
        <w:tc>
          <w:tcPr>
            <w:tcW w:w="2320" w:type="dxa"/>
            <w:vAlign w:val="bottom"/>
            <w:tcBorders>
              <w:bottom w:val="single" w:sz="8" w:color="305494"/>
            </w:tcBorders>
            <w:vMerge w:val="continue"/>
          </w:tcPr>
          <w:p>
            <w:pPr>
              <w:spacing w:after="0"/>
              <w:rPr>
                <w:sz w:val="15"/>
                <w:szCs w:val="15"/>
                <w:color w:val="auto"/>
              </w:rPr>
            </w:pPr>
          </w:p>
        </w:tc>
        <w:tc>
          <w:tcPr>
            <w:tcW w:w="2180" w:type="dxa"/>
            <w:vAlign w:val="bottom"/>
            <w:tcBorders>
              <w:bottom w:val="single" w:sz="8" w:color="305494"/>
            </w:tcBorders>
            <w:vMerge w:val="continue"/>
          </w:tcPr>
          <w:p>
            <w:pPr>
              <w:spacing w:after="0"/>
              <w:rPr>
                <w:sz w:val="15"/>
                <w:szCs w:val="15"/>
                <w:color w:val="auto"/>
              </w:rPr>
            </w:pPr>
          </w:p>
        </w:tc>
        <w:tc>
          <w:tcPr>
            <w:tcW w:w="2200" w:type="dxa"/>
            <w:vAlign w:val="bottom"/>
            <w:tcBorders>
              <w:bottom w:val="single" w:sz="8" w:color="305494"/>
            </w:tcBorders>
          </w:tcPr>
          <w:p>
            <w:pPr>
              <w:ind w:left="880"/>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2160" w:type="dxa"/>
            <w:vAlign w:val="bottom"/>
            <w:tcBorders>
              <w:bottom w:val="single" w:sz="8" w:color="305494"/>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Votes or Abstentions</w:t>
            </w:r>
          </w:p>
        </w:tc>
        <w:tc>
          <w:tcPr>
            <w:tcW w:w="2160" w:type="dxa"/>
            <w:vAlign w:val="bottom"/>
            <w:tcBorders>
              <w:bottom w:val="single" w:sz="8" w:color="305494"/>
            </w:tcBorders>
          </w:tcPr>
          <w:p>
            <w:pPr>
              <w:ind w:left="760"/>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189"/>
        </w:trPr>
        <w:tc>
          <w:tcPr>
            <w:tcW w:w="23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305494"/>
              </w:rPr>
              <w:t xml:space="preserve">Proposal One: </w:t>
            </w:r>
            <w:r>
              <w:rPr>
                <w:rFonts w:ascii="Times New Roman" w:cs="Times New Roman" w:eastAsia="Times New Roman" w:hAnsi="Times New Roman"/>
                <w:sz w:val="16"/>
                <w:szCs w:val="16"/>
                <w:color w:val="000000"/>
              </w:rPr>
              <w:t>Election</w:t>
            </w:r>
          </w:p>
        </w:tc>
        <w:tc>
          <w:tcPr>
            <w:tcW w:w="2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For or</w:t>
            </w:r>
          </w:p>
        </w:tc>
        <w:tc>
          <w:tcPr>
            <w:tcW w:w="2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Plurality of the votes cast.</w:t>
            </w:r>
          </w:p>
        </w:tc>
        <w:tc>
          <w:tcPr>
            <w:tcW w:w="2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“Withheld” votes</w:t>
            </w:r>
          </w:p>
        </w:tc>
        <w:tc>
          <w:tcPr>
            <w:tcW w:w="2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Brokers do not</w:t>
            </w:r>
          </w:p>
        </w:tc>
        <w:tc>
          <w:tcPr>
            <w:tcW w:w="0" w:type="dxa"/>
            <w:vAlign w:val="bottom"/>
          </w:tcPr>
          <w:p>
            <w:pPr>
              <w:spacing w:after="0"/>
              <w:rPr>
                <w:sz w:val="1"/>
                <w:szCs w:val="1"/>
                <w:color w:val="auto"/>
              </w:rPr>
            </w:pPr>
          </w:p>
        </w:tc>
      </w:tr>
      <w:tr>
        <w:trPr>
          <w:trHeight w:val="203"/>
        </w:trPr>
        <w:tc>
          <w:tcPr>
            <w:tcW w:w="2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of the three Class I</w:t>
            </w:r>
          </w:p>
        </w:tc>
        <w:tc>
          <w:tcPr>
            <w:tcW w:w="2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Withhold on</w:t>
            </w:r>
          </w:p>
        </w:tc>
        <w:tc>
          <w:tcPr>
            <w:tcW w:w="2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This means that the three</w:t>
            </w:r>
          </w:p>
        </w:tc>
        <w:tc>
          <w:tcPr>
            <w:tcW w:w="2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have no effect;</w:t>
            </w:r>
          </w:p>
        </w:tc>
        <w:tc>
          <w:tcPr>
            <w:tcW w:w="2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have discretion</w:t>
            </w:r>
          </w:p>
        </w:tc>
        <w:tc>
          <w:tcPr>
            <w:tcW w:w="0" w:type="dxa"/>
            <w:vAlign w:val="bottom"/>
          </w:tcPr>
          <w:p>
            <w:pPr>
              <w:spacing w:after="0"/>
              <w:rPr>
                <w:sz w:val="1"/>
                <w:szCs w:val="1"/>
                <w:color w:val="auto"/>
              </w:rPr>
            </w:pPr>
          </w:p>
        </w:tc>
      </w:tr>
      <w:tr>
        <w:trPr>
          <w:trHeight w:val="203"/>
        </w:trPr>
        <w:tc>
          <w:tcPr>
            <w:tcW w:w="2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directors named in this</w:t>
            </w:r>
          </w:p>
        </w:tc>
        <w:tc>
          <w:tcPr>
            <w:tcW w:w="2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each nominee</w:t>
            </w:r>
          </w:p>
        </w:tc>
        <w:tc>
          <w:tcPr>
            <w:tcW w:w="2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nominees receiving the</w:t>
            </w:r>
          </w:p>
        </w:tc>
        <w:tc>
          <w:tcPr>
            <w:tcW w:w="2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only “For” votes</w:t>
            </w:r>
          </w:p>
        </w:tc>
        <w:tc>
          <w:tcPr>
            <w:tcW w:w="2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 vote. Broker</w:t>
            </w:r>
          </w:p>
        </w:tc>
        <w:tc>
          <w:tcPr>
            <w:tcW w:w="0" w:type="dxa"/>
            <w:vAlign w:val="bottom"/>
          </w:tcPr>
          <w:p>
            <w:pPr>
              <w:spacing w:after="0"/>
              <w:rPr>
                <w:sz w:val="1"/>
                <w:szCs w:val="1"/>
                <w:color w:val="auto"/>
              </w:rPr>
            </w:pPr>
          </w:p>
        </w:tc>
      </w:tr>
      <w:tr>
        <w:trPr>
          <w:trHeight w:val="203"/>
        </w:trPr>
        <w:tc>
          <w:tcPr>
            <w:tcW w:w="2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proxy statement</w:t>
            </w:r>
          </w:p>
        </w:tc>
        <w:tc>
          <w:tcPr>
            <w:tcW w:w="2180" w:type="dxa"/>
            <w:vAlign w:val="bottom"/>
          </w:tcPr>
          <w:p>
            <w:pPr>
              <w:spacing w:after="0"/>
              <w:rPr>
                <w:sz w:val="17"/>
                <w:szCs w:val="17"/>
                <w:color w:val="auto"/>
              </w:rPr>
            </w:pPr>
          </w:p>
        </w:tc>
        <w:tc>
          <w:tcPr>
            <w:tcW w:w="2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highest number of “For”</w:t>
            </w:r>
          </w:p>
        </w:tc>
        <w:tc>
          <w:tcPr>
            <w:tcW w:w="2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affect the outcome</w:t>
            </w:r>
          </w:p>
        </w:tc>
        <w:tc>
          <w:tcPr>
            <w:tcW w:w="2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non-votes will</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votes (from the holders of</w:t>
            </w:r>
          </w:p>
        </w:tc>
        <w:tc>
          <w:tcPr>
            <w:tcW w:w="2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of the election.</w:t>
            </w:r>
          </w:p>
        </w:tc>
        <w:tc>
          <w:tcPr>
            <w:tcW w:w="2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have no effect;</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votes of shares present or</w:t>
            </w:r>
          </w:p>
        </w:tc>
        <w:tc>
          <w:tcPr>
            <w:tcW w:w="2160" w:type="dxa"/>
            <w:vAlign w:val="bottom"/>
          </w:tcPr>
          <w:p>
            <w:pPr>
              <w:spacing w:after="0"/>
              <w:rPr>
                <w:sz w:val="17"/>
                <w:szCs w:val="17"/>
                <w:color w:val="auto"/>
              </w:rPr>
            </w:pPr>
          </w:p>
        </w:tc>
        <w:tc>
          <w:tcPr>
            <w:tcW w:w="2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only “For”</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represented by proxy and</w:t>
            </w:r>
          </w:p>
        </w:tc>
        <w:tc>
          <w:tcPr>
            <w:tcW w:w="2160" w:type="dxa"/>
            <w:vAlign w:val="bottom"/>
          </w:tcPr>
          <w:p>
            <w:pPr>
              <w:spacing w:after="0"/>
              <w:rPr>
                <w:sz w:val="17"/>
                <w:szCs w:val="17"/>
                <w:color w:val="auto"/>
              </w:rPr>
            </w:pPr>
          </w:p>
        </w:tc>
        <w:tc>
          <w:tcPr>
            <w:tcW w:w="2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votes affect the</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entitled to vote on the</w:t>
            </w:r>
          </w:p>
        </w:tc>
        <w:tc>
          <w:tcPr>
            <w:tcW w:w="2160" w:type="dxa"/>
            <w:vAlign w:val="bottom"/>
          </w:tcPr>
          <w:p>
            <w:pPr>
              <w:spacing w:after="0"/>
              <w:rPr>
                <w:sz w:val="17"/>
                <w:szCs w:val="17"/>
                <w:color w:val="auto"/>
              </w:rPr>
            </w:pPr>
          </w:p>
        </w:tc>
        <w:tc>
          <w:tcPr>
            <w:tcW w:w="2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outcome of the</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election of directors) will</w:t>
            </w:r>
          </w:p>
        </w:tc>
        <w:tc>
          <w:tcPr>
            <w:tcW w:w="2160" w:type="dxa"/>
            <w:vAlign w:val="bottom"/>
          </w:tcPr>
          <w:p>
            <w:pPr>
              <w:spacing w:after="0"/>
              <w:rPr>
                <w:sz w:val="17"/>
                <w:szCs w:val="17"/>
                <w:color w:val="auto"/>
              </w:rPr>
            </w:pPr>
          </w:p>
        </w:tc>
        <w:tc>
          <w:tcPr>
            <w:tcW w:w="2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election.</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be elected as Class I</w:t>
            </w:r>
          </w:p>
        </w:tc>
        <w:tc>
          <w:tcPr>
            <w:tcW w:w="21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320" w:type="dxa"/>
            <w:vAlign w:val="bottom"/>
            <w:tcBorders>
              <w:bottom w:val="single" w:sz="8" w:color="305494"/>
            </w:tcBorders>
          </w:tcPr>
          <w:p>
            <w:pPr>
              <w:spacing w:after="0"/>
              <w:rPr>
                <w:sz w:val="18"/>
                <w:szCs w:val="18"/>
                <w:color w:val="auto"/>
              </w:rPr>
            </w:pPr>
          </w:p>
        </w:tc>
        <w:tc>
          <w:tcPr>
            <w:tcW w:w="2180" w:type="dxa"/>
            <w:vAlign w:val="bottom"/>
            <w:tcBorders>
              <w:bottom w:val="single" w:sz="8" w:color="305494"/>
            </w:tcBorders>
          </w:tcPr>
          <w:p>
            <w:pPr>
              <w:spacing w:after="0"/>
              <w:rPr>
                <w:sz w:val="18"/>
                <w:szCs w:val="18"/>
                <w:color w:val="auto"/>
              </w:rPr>
            </w:pPr>
          </w:p>
        </w:tc>
        <w:tc>
          <w:tcPr>
            <w:tcW w:w="2200" w:type="dxa"/>
            <w:vAlign w:val="bottom"/>
            <w:tcBorders>
              <w:bottom w:val="single" w:sz="8" w:color="305494"/>
            </w:tcBorders>
          </w:tcPr>
          <w:p>
            <w:pPr>
              <w:ind w:left="120"/>
              <w:spacing w:after="0"/>
              <w:rPr>
                <w:sz w:val="20"/>
                <w:szCs w:val="20"/>
                <w:color w:val="auto"/>
              </w:rPr>
            </w:pPr>
            <w:r>
              <w:rPr>
                <w:rFonts w:ascii="Times New Roman" w:cs="Times New Roman" w:eastAsia="Times New Roman" w:hAnsi="Times New Roman"/>
                <w:sz w:val="16"/>
                <w:szCs w:val="16"/>
                <w:color w:val="auto"/>
              </w:rPr>
              <w:t>directors.</w:t>
            </w:r>
          </w:p>
        </w:tc>
        <w:tc>
          <w:tcPr>
            <w:tcW w:w="2160" w:type="dxa"/>
            <w:vAlign w:val="bottom"/>
            <w:tcBorders>
              <w:bottom w:val="single" w:sz="8" w:color="305494"/>
            </w:tcBorders>
          </w:tcPr>
          <w:p>
            <w:pPr>
              <w:spacing w:after="0"/>
              <w:rPr>
                <w:sz w:val="18"/>
                <w:szCs w:val="18"/>
                <w:color w:val="auto"/>
              </w:rPr>
            </w:pPr>
          </w:p>
        </w:tc>
        <w:tc>
          <w:tcPr>
            <w:tcW w:w="2160" w:type="dxa"/>
            <w:vAlign w:val="bottom"/>
            <w:tcBorders>
              <w:bottom w:val="single" w:sz="8" w:color="305494"/>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320" w:type="dxa"/>
            <w:vAlign w:val="bottom"/>
            <w:tcBorders>
              <w:right w:val="single" w:sz="8" w:color="305494"/>
            </w:tcBorders>
          </w:tcPr>
          <w:p>
            <w:pPr>
              <w:ind w:left="140"/>
              <w:spacing w:after="0"/>
              <w:rPr>
                <w:sz w:val="20"/>
                <w:szCs w:val="20"/>
                <w:color w:val="auto"/>
              </w:rPr>
            </w:pPr>
            <w:r>
              <w:rPr>
                <w:rFonts w:ascii="Times New Roman" w:cs="Times New Roman" w:eastAsia="Times New Roman" w:hAnsi="Times New Roman"/>
                <w:sz w:val="16"/>
                <w:szCs w:val="16"/>
                <w:b w:val="1"/>
                <w:bCs w:val="1"/>
                <w:color w:val="305494"/>
              </w:rPr>
              <w:t>Proposal Two:</w:t>
            </w:r>
          </w:p>
        </w:tc>
        <w:tc>
          <w:tcPr>
            <w:tcW w:w="2180" w:type="dxa"/>
            <w:vAlign w:val="bottom"/>
            <w:tcBorders>
              <w:right w:val="single" w:sz="8" w:color="305494"/>
            </w:tcBorders>
          </w:tcPr>
          <w:p>
            <w:pPr>
              <w:ind w:left="100"/>
              <w:spacing w:after="0"/>
              <w:rPr>
                <w:sz w:val="20"/>
                <w:szCs w:val="20"/>
                <w:color w:val="auto"/>
              </w:rPr>
            </w:pPr>
            <w:r>
              <w:rPr>
                <w:rFonts w:ascii="Times New Roman" w:cs="Times New Roman" w:eastAsia="Times New Roman" w:hAnsi="Times New Roman"/>
                <w:sz w:val="16"/>
                <w:szCs w:val="16"/>
                <w:color w:val="auto"/>
              </w:rPr>
              <w:t>For, Against or</w:t>
            </w:r>
          </w:p>
        </w:tc>
        <w:tc>
          <w:tcPr>
            <w:tcW w:w="2200" w:type="dxa"/>
            <w:vAlign w:val="bottom"/>
            <w:tcBorders>
              <w:right w:val="single" w:sz="8" w:color="305494"/>
            </w:tcBorders>
          </w:tcPr>
          <w:p>
            <w:pPr>
              <w:ind w:left="120"/>
              <w:spacing w:after="0"/>
              <w:rPr>
                <w:sz w:val="20"/>
                <w:szCs w:val="20"/>
                <w:color w:val="auto"/>
              </w:rPr>
            </w:pPr>
            <w:r>
              <w:rPr>
                <w:rFonts w:ascii="Times New Roman" w:cs="Times New Roman" w:eastAsia="Times New Roman" w:hAnsi="Times New Roman"/>
                <w:sz w:val="16"/>
                <w:szCs w:val="16"/>
                <w:color w:val="auto"/>
              </w:rPr>
              <w:t>Affirmative vote of a</w:t>
            </w:r>
          </w:p>
        </w:tc>
        <w:tc>
          <w:tcPr>
            <w:tcW w:w="2160" w:type="dxa"/>
            <w:vAlign w:val="bottom"/>
            <w:tcBorders>
              <w:right w:val="single" w:sz="8" w:color="305494"/>
            </w:tcBorders>
          </w:tcPr>
          <w:p>
            <w:pPr>
              <w:ind w:left="80"/>
              <w:spacing w:after="0"/>
              <w:rPr>
                <w:sz w:val="20"/>
                <w:szCs w:val="20"/>
                <w:color w:val="auto"/>
              </w:rPr>
            </w:pPr>
            <w:r>
              <w:rPr>
                <w:rFonts w:ascii="Times New Roman" w:cs="Times New Roman" w:eastAsia="Times New Roman" w:hAnsi="Times New Roman"/>
                <w:sz w:val="16"/>
                <w:szCs w:val="16"/>
                <w:color w:val="auto"/>
              </w:rPr>
              <w:t>Abstentions are</w:t>
            </w:r>
          </w:p>
        </w:tc>
        <w:tc>
          <w:tcPr>
            <w:tcW w:w="2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Brokers have</w:t>
            </w:r>
          </w:p>
        </w:tc>
        <w:tc>
          <w:tcPr>
            <w:tcW w:w="0" w:type="dxa"/>
            <w:vAlign w:val="bottom"/>
          </w:tcPr>
          <w:p>
            <w:pPr>
              <w:spacing w:after="0"/>
              <w:rPr>
                <w:sz w:val="1"/>
                <w:szCs w:val="1"/>
                <w:color w:val="auto"/>
              </w:rPr>
            </w:pPr>
          </w:p>
        </w:tc>
      </w:tr>
      <w:tr>
        <w:trPr>
          <w:trHeight w:val="203"/>
        </w:trPr>
        <w:tc>
          <w:tcPr>
            <w:tcW w:w="2320" w:type="dxa"/>
            <w:vAlign w:val="bottom"/>
            <w:tcBorders>
              <w:right w:val="single" w:sz="8" w:color="305494"/>
            </w:tcBorders>
          </w:tcPr>
          <w:p>
            <w:pPr>
              <w:ind w:left="140"/>
              <w:spacing w:after="0"/>
              <w:rPr>
                <w:sz w:val="20"/>
                <w:szCs w:val="20"/>
                <w:color w:val="auto"/>
              </w:rPr>
            </w:pPr>
            <w:r>
              <w:rPr>
                <w:rFonts w:ascii="Times New Roman" w:cs="Times New Roman" w:eastAsia="Times New Roman" w:hAnsi="Times New Roman"/>
                <w:sz w:val="16"/>
                <w:szCs w:val="16"/>
                <w:color w:val="auto"/>
              </w:rPr>
              <w:t>Ratification of</w:t>
            </w:r>
          </w:p>
        </w:tc>
        <w:tc>
          <w:tcPr>
            <w:tcW w:w="2180" w:type="dxa"/>
            <w:vAlign w:val="bottom"/>
            <w:tcBorders>
              <w:right w:val="single" w:sz="8" w:color="305494"/>
            </w:tcBorders>
          </w:tcPr>
          <w:p>
            <w:pPr>
              <w:ind w:left="100"/>
              <w:spacing w:after="0"/>
              <w:rPr>
                <w:sz w:val="20"/>
                <w:szCs w:val="20"/>
                <w:color w:val="auto"/>
              </w:rPr>
            </w:pPr>
            <w:r>
              <w:rPr>
                <w:rFonts w:ascii="Times New Roman" w:cs="Times New Roman" w:eastAsia="Times New Roman" w:hAnsi="Times New Roman"/>
                <w:sz w:val="16"/>
                <w:szCs w:val="16"/>
                <w:color w:val="auto"/>
              </w:rPr>
              <w:t>Abstain</w:t>
            </w:r>
          </w:p>
        </w:tc>
        <w:tc>
          <w:tcPr>
            <w:tcW w:w="2200" w:type="dxa"/>
            <w:vAlign w:val="bottom"/>
            <w:tcBorders>
              <w:right w:val="single" w:sz="8" w:color="305494"/>
            </w:tcBorders>
          </w:tcPr>
          <w:p>
            <w:pPr>
              <w:ind w:left="120"/>
              <w:spacing w:after="0"/>
              <w:rPr>
                <w:sz w:val="20"/>
                <w:szCs w:val="20"/>
                <w:color w:val="auto"/>
              </w:rPr>
            </w:pPr>
            <w:r>
              <w:rPr>
                <w:rFonts w:ascii="Times New Roman" w:cs="Times New Roman" w:eastAsia="Times New Roman" w:hAnsi="Times New Roman"/>
                <w:sz w:val="16"/>
                <w:szCs w:val="16"/>
                <w:color w:val="auto"/>
              </w:rPr>
              <w:t>majority of the shares</w:t>
            </w:r>
          </w:p>
        </w:tc>
        <w:tc>
          <w:tcPr>
            <w:tcW w:w="2160" w:type="dxa"/>
            <w:vAlign w:val="bottom"/>
            <w:tcBorders>
              <w:right w:val="single" w:sz="8" w:color="305494"/>
            </w:tcBorders>
          </w:tcPr>
          <w:p>
            <w:pPr>
              <w:ind w:left="80"/>
              <w:spacing w:after="0"/>
              <w:rPr>
                <w:sz w:val="20"/>
                <w:szCs w:val="20"/>
                <w:color w:val="auto"/>
              </w:rPr>
            </w:pPr>
            <w:r>
              <w:rPr>
                <w:rFonts w:ascii="Times New Roman" w:cs="Times New Roman" w:eastAsia="Times New Roman" w:hAnsi="Times New Roman"/>
                <w:sz w:val="16"/>
                <w:szCs w:val="16"/>
                <w:color w:val="auto"/>
              </w:rPr>
              <w:t>considered shares</w:t>
            </w:r>
          </w:p>
        </w:tc>
        <w:tc>
          <w:tcPr>
            <w:tcW w:w="2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discretion to</w:t>
            </w:r>
          </w:p>
        </w:tc>
        <w:tc>
          <w:tcPr>
            <w:tcW w:w="0" w:type="dxa"/>
            <w:vAlign w:val="bottom"/>
          </w:tcPr>
          <w:p>
            <w:pPr>
              <w:spacing w:after="0"/>
              <w:rPr>
                <w:sz w:val="1"/>
                <w:szCs w:val="1"/>
                <w:color w:val="auto"/>
              </w:rPr>
            </w:pPr>
          </w:p>
        </w:tc>
      </w:tr>
      <w:tr>
        <w:trPr>
          <w:trHeight w:val="203"/>
        </w:trPr>
        <w:tc>
          <w:tcPr>
            <w:tcW w:w="2320" w:type="dxa"/>
            <w:vAlign w:val="bottom"/>
            <w:tcBorders>
              <w:right w:val="single" w:sz="8" w:color="305494"/>
            </w:tcBorders>
          </w:tcPr>
          <w:p>
            <w:pPr>
              <w:ind w:left="140"/>
              <w:spacing w:after="0"/>
              <w:rPr>
                <w:sz w:val="20"/>
                <w:szCs w:val="20"/>
                <w:color w:val="auto"/>
              </w:rPr>
            </w:pPr>
            <w:r>
              <w:rPr>
                <w:rFonts w:ascii="Times New Roman" w:cs="Times New Roman" w:eastAsia="Times New Roman" w:hAnsi="Times New Roman"/>
                <w:sz w:val="16"/>
                <w:szCs w:val="16"/>
                <w:color w:val="auto"/>
              </w:rPr>
              <w:t>appointment of KPMG</w:t>
            </w:r>
          </w:p>
        </w:tc>
        <w:tc>
          <w:tcPr>
            <w:tcW w:w="2180" w:type="dxa"/>
            <w:vAlign w:val="bottom"/>
            <w:tcBorders>
              <w:right w:val="single" w:sz="8" w:color="305494"/>
            </w:tcBorders>
          </w:tcPr>
          <w:p>
            <w:pPr>
              <w:spacing w:after="0"/>
              <w:rPr>
                <w:sz w:val="17"/>
                <w:szCs w:val="17"/>
                <w:color w:val="auto"/>
              </w:rPr>
            </w:pPr>
          </w:p>
        </w:tc>
        <w:tc>
          <w:tcPr>
            <w:tcW w:w="2200" w:type="dxa"/>
            <w:vAlign w:val="bottom"/>
            <w:tcBorders>
              <w:right w:val="single" w:sz="8" w:color="305494"/>
            </w:tcBorders>
          </w:tcPr>
          <w:p>
            <w:pPr>
              <w:ind w:left="120"/>
              <w:spacing w:after="0"/>
              <w:rPr>
                <w:sz w:val="20"/>
                <w:szCs w:val="20"/>
                <w:color w:val="auto"/>
              </w:rPr>
            </w:pPr>
            <w:r>
              <w:rPr>
                <w:rFonts w:ascii="Times New Roman" w:cs="Times New Roman" w:eastAsia="Times New Roman" w:hAnsi="Times New Roman"/>
                <w:sz w:val="16"/>
                <w:szCs w:val="16"/>
                <w:color w:val="auto"/>
              </w:rPr>
              <w:t>present or represented by</w:t>
            </w:r>
          </w:p>
        </w:tc>
        <w:tc>
          <w:tcPr>
            <w:tcW w:w="2160" w:type="dxa"/>
            <w:vAlign w:val="bottom"/>
            <w:tcBorders>
              <w:right w:val="single" w:sz="8" w:color="305494"/>
            </w:tcBorders>
          </w:tcPr>
          <w:p>
            <w:pPr>
              <w:ind w:left="80"/>
              <w:spacing w:after="0"/>
              <w:rPr>
                <w:sz w:val="20"/>
                <w:szCs w:val="20"/>
                <w:color w:val="auto"/>
              </w:rPr>
            </w:pPr>
            <w:r>
              <w:rPr>
                <w:rFonts w:ascii="Times New Roman" w:cs="Times New Roman" w:eastAsia="Times New Roman" w:hAnsi="Times New Roman"/>
                <w:sz w:val="16"/>
                <w:szCs w:val="16"/>
                <w:color w:val="auto"/>
              </w:rPr>
              <w:t>present and entitled</w:t>
            </w:r>
          </w:p>
        </w:tc>
        <w:tc>
          <w:tcPr>
            <w:tcW w:w="2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vote. Therefore,</w:t>
            </w:r>
          </w:p>
        </w:tc>
        <w:tc>
          <w:tcPr>
            <w:tcW w:w="0" w:type="dxa"/>
            <w:vAlign w:val="bottom"/>
          </w:tcPr>
          <w:p>
            <w:pPr>
              <w:spacing w:after="0"/>
              <w:rPr>
                <w:sz w:val="1"/>
                <w:szCs w:val="1"/>
                <w:color w:val="auto"/>
              </w:rPr>
            </w:pPr>
          </w:p>
        </w:tc>
      </w:tr>
      <w:tr>
        <w:trPr>
          <w:trHeight w:val="203"/>
        </w:trPr>
        <w:tc>
          <w:tcPr>
            <w:tcW w:w="2320" w:type="dxa"/>
            <w:vAlign w:val="bottom"/>
            <w:tcBorders>
              <w:right w:val="single" w:sz="8" w:color="305494"/>
            </w:tcBorders>
          </w:tcPr>
          <w:p>
            <w:pPr>
              <w:ind w:left="140"/>
              <w:spacing w:after="0"/>
              <w:rPr>
                <w:sz w:val="20"/>
                <w:szCs w:val="20"/>
                <w:color w:val="auto"/>
              </w:rPr>
            </w:pPr>
            <w:r>
              <w:rPr>
                <w:rFonts w:ascii="Times New Roman" w:cs="Times New Roman" w:eastAsia="Times New Roman" w:hAnsi="Times New Roman"/>
                <w:sz w:val="16"/>
                <w:szCs w:val="16"/>
                <w:color w:val="auto"/>
              </w:rPr>
              <w:t>LLP as our independent</w:t>
            </w:r>
          </w:p>
        </w:tc>
        <w:tc>
          <w:tcPr>
            <w:tcW w:w="2180" w:type="dxa"/>
            <w:vAlign w:val="bottom"/>
            <w:tcBorders>
              <w:right w:val="single" w:sz="8" w:color="305494"/>
            </w:tcBorders>
          </w:tcPr>
          <w:p>
            <w:pPr>
              <w:spacing w:after="0"/>
              <w:rPr>
                <w:sz w:val="17"/>
                <w:szCs w:val="17"/>
                <w:color w:val="auto"/>
              </w:rPr>
            </w:pPr>
          </w:p>
        </w:tc>
        <w:tc>
          <w:tcPr>
            <w:tcW w:w="2200" w:type="dxa"/>
            <w:vAlign w:val="bottom"/>
            <w:tcBorders>
              <w:right w:val="single" w:sz="8" w:color="305494"/>
            </w:tcBorders>
          </w:tcPr>
          <w:p>
            <w:pPr>
              <w:ind w:left="120"/>
              <w:spacing w:after="0"/>
              <w:rPr>
                <w:sz w:val="20"/>
                <w:szCs w:val="20"/>
                <w:color w:val="auto"/>
              </w:rPr>
            </w:pPr>
            <w:r>
              <w:rPr>
                <w:rFonts w:ascii="Times New Roman" w:cs="Times New Roman" w:eastAsia="Times New Roman" w:hAnsi="Times New Roman"/>
                <w:sz w:val="16"/>
                <w:szCs w:val="16"/>
                <w:color w:val="auto"/>
              </w:rPr>
              <w:t>proxy and entitled to vote</w:t>
            </w:r>
          </w:p>
        </w:tc>
        <w:tc>
          <w:tcPr>
            <w:tcW w:w="2160" w:type="dxa"/>
            <w:vAlign w:val="bottom"/>
            <w:tcBorders>
              <w:right w:val="single" w:sz="8" w:color="305494"/>
            </w:tcBorders>
          </w:tcPr>
          <w:p>
            <w:pPr>
              <w:ind w:left="80"/>
              <w:spacing w:after="0"/>
              <w:rPr>
                <w:sz w:val="20"/>
                <w:szCs w:val="20"/>
                <w:color w:val="auto"/>
              </w:rPr>
            </w:pPr>
            <w:r>
              <w:rPr>
                <w:rFonts w:ascii="Times New Roman" w:cs="Times New Roman" w:eastAsia="Times New Roman" w:hAnsi="Times New Roman"/>
                <w:sz w:val="16"/>
                <w:szCs w:val="16"/>
                <w:color w:val="auto"/>
              </w:rPr>
              <w:t>to vote, and</w:t>
            </w:r>
          </w:p>
        </w:tc>
        <w:tc>
          <w:tcPr>
            <w:tcW w:w="2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we do not</w:t>
            </w:r>
          </w:p>
        </w:tc>
        <w:tc>
          <w:tcPr>
            <w:tcW w:w="0" w:type="dxa"/>
            <w:vAlign w:val="bottom"/>
          </w:tcPr>
          <w:p>
            <w:pPr>
              <w:spacing w:after="0"/>
              <w:rPr>
                <w:sz w:val="1"/>
                <w:szCs w:val="1"/>
                <w:color w:val="auto"/>
              </w:rPr>
            </w:pPr>
          </w:p>
        </w:tc>
      </w:tr>
      <w:tr>
        <w:trPr>
          <w:trHeight w:val="203"/>
        </w:trPr>
        <w:tc>
          <w:tcPr>
            <w:tcW w:w="2320" w:type="dxa"/>
            <w:vAlign w:val="bottom"/>
            <w:tcBorders>
              <w:right w:val="single" w:sz="8" w:color="305494"/>
            </w:tcBorders>
          </w:tcPr>
          <w:p>
            <w:pPr>
              <w:ind w:left="140"/>
              <w:spacing w:after="0"/>
              <w:rPr>
                <w:sz w:val="20"/>
                <w:szCs w:val="20"/>
                <w:color w:val="auto"/>
              </w:rPr>
            </w:pPr>
            <w:r>
              <w:rPr>
                <w:rFonts w:ascii="Times New Roman" w:cs="Times New Roman" w:eastAsia="Times New Roman" w:hAnsi="Times New Roman"/>
                <w:sz w:val="16"/>
                <w:szCs w:val="16"/>
                <w:color w:val="auto"/>
              </w:rPr>
              <w:t>registered public</w:t>
            </w:r>
          </w:p>
        </w:tc>
        <w:tc>
          <w:tcPr>
            <w:tcW w:w="2180" w:type="dxa"/>
            <w:vAlign w:val="bottom"/>
            <w:tcBorders>
              <w:right w:val="single" w:sz="8" w:color="305494"/>
            </w:tcBorders>
          </w:tcPr>
          <w:p>
            <w:pPr>
              <w:spacing w:after="0"/>
              <w:rPr>
                <w:sz w:val="17"/>
                <w:szCs w:val="17"/>
                <w:color w:val="auto"/>
              </w:rPr>
            </w:pPr>
          </w:p>
        </w:tc>
        <w:tc>
          <w:tcPr>
            <w:tcW w:w="2200" w:type="dxa"/>
            <w:vAlign w:val="bottom"/>
            <w:tcBorders>
              <w:right w:val="single" w:sz="8" w:color="305494"/>
            </w:tcBorders>
          </w:tcPr>
          <w:p>
            <w:pPr>
              <w:ind w:left="120"/>
              <w:spacing w:after="0"/>
              <w:rPr>
                <w:sz w:val="20"/>
                <w:szCs w:val="20"/>
                <w:color w:val="auto"/>
              </w:rPr>
            </w:pPr>
            <w:r>
              <w:rPr>
                <w:rFonts w:ascii="Times New Roman" w:cs="Times New Roman" w:eastAsia="Times New Roman" w:hAnsi="Times New Roman"/>
                <w:sz w:val="16"/>
                <w:szCs w:val="16"/>
                <w:color w:val="auto"/>
              </w:rPr>
              <w:t>on the proposal.</w:t>
            </w:r>
          </w:p>
        </w:tc>
        <w:tc>
          <w:tcPr>
            <w:tcW w:w="2160" w:type="dxa"/>
            <w:vAlign w:val="bottom"/>
            <w:tcBorders>
              <w:right w:val="single" w:sz="8" w:color="305494"/>
            </w:tcBorders>
          </w:tcPr>
          <w:p>
            <w:pPr>
              <w:ind w:left="80"/>
              <w:spacing w:after="0"/>
              <w:rPr>
                <w:sz w:val="20"/>
                <w:szCs w:val="20"/>
                <w:color w:val="auto"/>
              </w:rPr>
            </w:pPr>
            <w:r>
              <w:rPr>
                <w:rFonts w:ascii="Times New Roman" w:cs="Times New Roman" w:eastAsia="Times New Roman" w:hAnsi="Times New Roman"/>
                <w:sz w:val="16"/>
                <w:szCs w:val="16"/>
                <w:color w:val="auto"/>
              </w:rPr>
              <w:t>therefore have the</w:t>
            </w:r>
          </w:p>
        </w:tc>
        <w:tc>
          <w:tcPr>
            <w:tcW w:w="2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expect any</w:t>
            </w:r>
          </w:p>
        </w:tc>
        <w:tc>
          <w:tcPr>
            <w:tcW w:w="0" w:type="dxa"/>
            <w:vAlign w:val="bottom"/>
          </w:tcPr>
          <w:p>
            <w:pPr>
              <w:spacing w:after="0"/>
              <w:rPr>
                <w:sz w:val="1"/>
                <w:szCs w:val="1"/>
                <w:color w:val="auto"/>
              </w:rPr>
            </w:pPr>
          </w:p>
        </w:tc>
      </w:tr>
      <w:tr>
        <w:trPr>
          <w:trHeight w:val="203"/>
        </w:trPr>
        <w:tc>
          <w:tcPr>
            <w:tcW w:w="2320" w:type="dxa"/>
            <w:vAlign w:val="bottom"/>
            <w:tcBorders>
              <w:right w:val="single" w:sz="8" w:color="305494"/>
            </w:tcBorders>
          </w:tcPr>
          <w:p>
            <w:pPr>
              <w:ind w:left="140"/>
              <w:spacing w:after="0"/>
              <w:rPr>
                <w:sz w:val="20"/>
                <w:szCs w:val="20"/>
                <w:color w:val="auto"/>
              </w:rPr>
            </w:pPr>
            <w:r>
              <w:rPr>
                <w:rFonts w:ascii="Times New Roman" w:cs="Times New Roman" w:eastAsia="Times New Roman" w:hAnsi="Times New Roman"/>
                <w:sz w:val="16"/>
                <w:szCs w:val="16"/>
                <w:color w:val="auto"/>
              </w:rPr>
              <w:t>accounting firm for the</w:t>
            </w:r>
          </w:p>
        </w:tc>
        <w:tc>
          <w:tcPr>
            <w:tcW w:w="2180" w:type="dxa"/>
            <w:vAlign w:val="bottom"/>
            <w:tcBorders>
              <w:right w:val="single" w:sz="8" w:color="305494"/>
            </w:tcBorders>
          </w:tcPr>
          <w:p>
            <w:pPr>
              <w:spacing w:after="0"/>
              <w:rPr>
                <w:sz w:val="17"/>
                <w:szCs w:val="17"/>
                <w:color w:val="auto"/>
              </w:rPr>
            </w:pPr>
          </w:p>
        </w:tc>
        <w:tc>
          <w:tcPr>
            <w:tcW w:w="2200" w:type="dxa"/>
            <w:vAlign w:val="bottom"/>
            <w:tcBorders>
              <w:right w:val="single" w:sz="8" w:color="305494"/>
            </w:tcBorders>
          </w:tcPr>
          <w:p>
            <w:pPr>
              <w:spacing w:after="0"/>
              <w:rPr>
                <w:sz w:val="17"/>
                <w:szCs w:val="17"/>
                <w:color w:val="auto"/>
              </w:rPr>
            </w:pPr>
          </w:p>
        </w:tc>
        <w:tc>
          <w:tcPr>
            <w:tcW w:w="2160" w:type="dxa"/>
            <w:vAlign w:val="bottom"/>
            <w:tcBorders>
              <w:right w:val="single" w:sz="8" w:color="305494"/>
            </w:tcBorders>
          </w:tcPr>
          <w:p>
            <w:pPr>
              <w:ind w:left="80"/>
              <w:spacing w:after="0"/>
              <w:rPr>
                <w:sz w:val="20"/>
                <w:szCs w:val="20"/>
                <w:color w:val="auto"/>
              </w:rPr>
            </w:pPr>
            <w:r>
              <w:rPr>
                <w:rFonts w:ascii="Times New Roman" w:cs="Times New Roman" w:eastAsia="Times New Roman" w:hAnsi="Times New Roman"/>
                <w:sz w:val="16"/>
                <w:szCs w:val="16"/>
                <w:color w:val="auto"/>
              </w:rPr>
              <w:t>same impact as</w:t>
            </w:r>
          </w:p>
        </w:tc>
        <w:tc>
          <w:tcPr>
            <w:tcW w:w="2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broker</w:t>
            </w:r>
          </w:p>
        </w:tc>
        <w:tc>
          <w:tcPr>
            <w:tcW w:w="0" w:type="dxa"/>
            <w:vAlign w:val="bottom"/>
          </w:tcPr>
          <w:p>
            <w:pPr>
              <w:spacing w:after="0"/>
              <w:rPr>
                <w:sz w:val="1"/>
                <w:szCs w:val="1"/>
                <w:color w:val="auto"/>
              </w:rPr>
            </w:pPr>
          </w:p>
        </w:tc>
      </w:tr>
      <w:tr>
        <w:trPr>
          <w:trHeight w:val="203"/>
        </w:trPr>
        <w:tc>
          <w:tcPr>
            <w:tcW w:w="2320" w:type="dxa"/>
            <w:vAlign w:val="bottom"/>
            <w:tcBorders>
              <w:right w:val="single" w:sz="8" w:color="305494"/>
            </w:tcBorders>
          </w:tcPr>
          <w:p>
            <w:pPr>
              <w:ind w:left="140"/>
              <w:spacing w:after="0"/>
              <w:rPr>
                <w:sz w:val="20"/>
                <w:szCs w:val="20"/>
                <w:color w:val="auto"/>
              </w:rPr>
            </w:pPr>
            <w:r>
              <w:rPr>
                <w:rFonts w:ascii="Times New Roman" w:cs="Times New Roman" w:eastAsia="Times New Roman" w:hAnsi="Times New Roman"/>
                <w:sz w:val="16"/>
                <w:szCs w:val="16"/>
                <w:color w:val="auto"/>
              </w:rPr>
              <w:t>year ended December 31, 2024</w:t>
            </w:r>
          </w:p>
        </w:tc>
        <w:tc>
          <w:tcPr>
            <w:tcW w:w="2180" w:type="dxa"/>
            <w:vAlign w:val="bottom"/>
            <w:tcBorders>
              <w:right w:val="single" w:sz="8" w:color="305494"/>
            </w:tcBorders>
          </w:tcPr>
          <w:p>
            <w:pPr>
              <w:spacing w:after="0"/>
              <w:rPr>
                <w:sz w:val="17"/>
                <w:szCs w:val="17"/>
                <w:color w:val="auto"/>
              </w:rPr>
            </w:pPr>
          </w:p>
        </w:tc>
        <w:tc>
          <w:tcPr>
            <w:tcW w:w="2200" w:type="dxa"/>
            <w:vAlign w:val="bottom"/>
            <w:tcBorders>
              <w:right w:val="single" w:sz="8" w:color="305494"/>
            </w:tcBorders>
          </w:tcPr>
          <w:p>
            <w:pPr>
              <w:spacing w:after="0"/>
              <w:rPr>
                <w:sz w:val="17"/>
                <w:szCs w:val="17"/>
                <w:color w:val="auto"/>
              </w:rPr>
            </w:pPr>
          </w:p>
        </w:tc>
        <w:tc>
          <w:tcPr>
            <w:tcW w:w="2160" w:type="dxa"/>
            <w:vAlign w:val="bottom"/>
            <w:tcBorders>
              <w:right w:val="single" w:sz="8" w:color="305494"/>
            </w:tcBorders>
          </w:tcPr>
          <w:p>
            <w:pPr>
              <w:ind w:left="80"/>
              <w:spacing w:after="0"/>
              <w:rPr>
                <w:sz w:val="20"/>
                <w:szCs w:val="20"/>
                <w:color w:val="auto"/>
              </w:rPr>
            </w:pPr>
            <w:r>
              <w:rPr>
                <w:rFonts w:ascii="Times New Roman" w:cs="Times New Roman" w:eastAsia="Times New Roman" w:hAnsi="Times New Roman"/>
                <w:sz w:val="16"/>
                <w:szCs w:val="16"/>
                <w:color w:val="auto"/>
              </w:rPr>
              <w:t>votes “Against” the</w:t>
            </w:r>
          </w:p>
        </w:tc>
        <w:tc>
          <w:tcPr>
            <w:tcW w:w="2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non-votes.</w:t>
            </w:r>
          </w:p>
        </w:tc>
        <w:tc>
          <w:tcPr>
            <w:tcW w:w="0" w:type="dxa"/>
            <w:vAlign w:val="bottom"/>
          </w:tcPr>
          <w:p>
            <w:pPr>
              <w:spacing w:after="0"/>
              <w:rPr>
                <w:sz w:val="1"/>
                <w:szCs w:val="1"/>
                <w:color w:val="auto"/>
              </w:rPr>
            </w:pPr>
          </w:p>
        </w:tc>
      </w:tr>
      <w:tr>
        <w:trPr>
          <w:trHeight w:val="213"/>
        </w:trPr>
        <w:tc>
          <w:tcPr>
            <w:tcW w:w="2320" w:type="dxa"/>
            <w:vAlign w:val="bottom"/>
            <w:tcBorders>
              <w:bottom w:val="single" w:sz="8" w:color="305494"/>
              <w:right w:val="single" w:sz="8" w:color="305494"/>
            </w:tcBorders>
          </w:tcPr>
          <w:p>
            <w:pPr>
              <w:spacing w:after="0"/>
              <w:rPr>
                <w:sz w:val="18"/>
                <w:szCs w:val="18"/>
                <w:color w:val="auto"/>
              </w:rPr>
            </w:pPr>
          </w:p>
        </w:tc>
        <w:tc>
          <w:tcPr>
            <w:tcW w:w="2180" w:type="dxa"/>
            <w:vAlign w:val="bottom"/>
            <w:tcBorders>
              <w:bottom w:val="single" w:sz="8" w:color="305494"/>
              <w:right w:val="single" w:sz="8" w:color="305494"/>
            </w:tcBorders>
          </w:tcPr>
          <w:p>
            <w:pPr>
              <w:spacing w:after="0"/>
              <w:rPr>
                <w:sz w:val="18"/>
                <w:szCs w:val="18"/>
                <w:color w:val="auto"/>
              </w:rPr>
            </w:pPr>
          </w:p>
        </w:tc>
        <w:tc>
          <w:tcPr>
            <w:tcW w:w="2200" w:type="dxa"/>
            <w:vAlign w:val="bottom"/>
            <w:tcBorders>
              <w:bottom w:val="single" w:sz="8" w:color="305494"/>
              <w:right w:val="single" w:sz="8" w:color="305494"/>
            </w:tcBorders>
          </w:tcPr>
          <w:p>
            <w:pPr>
              <w:spacing w:after="0"/>
              <w:rPr>
                <w:sz w:val="18"/>
                <w:szCs w:val="18"/>
                <w:color w:val="auto"/>
              </w:rPr>
            </w:pPr>
          </w:p>
        </w:tc>
        <w:tc>
          <w:tcPr>
            <w:tcW w:w="2160" w:type="dxa"/>
            <w:vAlign w:val="bottom"/>
            <w:tcBorders>
              <w:bottom w:val="single" w:sz="8" w:color="305494"/>
              <w:right w:val="single" w:sz="8" w:color="305494"/>
            </w:tcBorders>
          </w:tcPr>
          <w:p>
            <w:pPr>
              <w:ind w:left="80"/>
              <w:spacing w:after="0"/>
              <w:rPr>
                <w:sz w:val="20"/>
                <w:szCs w:val="20"/>
                <w:color w:val="auto"/>
              </w:rPr>
            </w:pPr>
            <w:r>
              <w:rPr>
                <w:rFonts w:ascii="Times New Roman" w:cs="Times New Roman" w:eastAsia="Times New Roman" w:hAnsi="Times New Roman"/>
                <w:sz w:val="16"/>
                <w:szCs w:val="16"/>
                <w:color w:val="auto"/>
              </w:rPr>
              <w:t>proposal.</w:t>
            </w:r>
          </w:p>
        </w:tc>
        <w:tc>
          <w:tcPr>
            <w:tcW w:w="2160" w:type="dxa"/>
            <w:vAlign w:val="bottom"/>
            <w:tcBorders>
              <w:bottom w:val="single" w:sz="8" w:color="305494"/>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320" w:type="dxa"/>
            <w:vAlign w:val="bottom"/>
            <w:tcBorders>
              <w:right w:val="single" w:sz="8" w:color="305494"/>
            </w:tcBorders>
          </w:tcPr>
          <w:p>
            <w:pPr>
              <w:ind w:left="140"/>
              <w:spacing w:after="0"/>
              <w:rPr>
                <w:sz w:val="20"/>
                <w:szCs w:val="20"/>
                <w:color w:val="auto"/>
              </w:rPr>
            </w:pPr>
            <w:r>
              <w:rPr>
                <w:rFonts w:ascii="Times New Roman" w:cs="Times New Roman" w:eastAsia="Times New Roman" w:hAnsi="Times New Roman"/>
                <w:sz w:val="16"/>
                <w:szCs w:val="16"/>
                <w:b w:val="1"/>
                <w:bCs w:val="1"/>
                <w:color w:val="305494"/>
              </w:rPr>
              <w:t>Proposal Three:</w:t>
            </w:r>
          </w:p>
        </w:tc>
        <w:tc>
          <w:tcPr>
            <w:tcW w:w="2180" w:type="dxa"/>
            <w:vAlign w:val="bottom"/>
            <w:tcBorders>
              <w:right w:val="single" w:sz="8" w:color="305494"/>
            </w:tcBorders>
          </w:tcPr>
          <w:p>
            <w:pPr>
              <w:ind w:left="100"/>
              <w:spacing w:after="0"/>
              <w:rPr>
                <w:sz w:val="20"/>
                <w:szCs w:val="20"/>
                <w:color w:val="auto"/>
              </w:rPr>
            </w:pPr>
            <w:r>
              <w:rPr>
                <w:rFonts w:ascii="Times New Roman" w:cs="Times New Roman" w:eastAsia="Times New Roman" w:hAnsi="Times New Roman"/>
                <w:sz w:val="16"/>
                <w:szCs w:val="16"/>
                <w:color w:val="auto"/>
              </w:rPr>
              <w:t>For, Against or</w:t>
            </w:r>
          </w:p>
        </w:tc>
        <w:tc>
          <w:tcPr>
            <w:tcW w:w="2200" w:type="dxa"/>
            <w:vAlign w:val="bottom"/>
            <w:tcBorders>
              <w:right w:val="single" w:sz="8" w:color="305494"/>
            </w:tcBorders>
          </w:tcPr>
          <w:p>
            <w:pPr>
              <w:ind w:left="120"/>
              <w:spacing w:after="0"/>
              <w:rPr>
                <w:sz w:val="20"/>
                <w:szCs w:val="20"/>
                <w:color w:val="auto"/>
              </w:rPr>
            </w:pPr>
            <w:r>
              <w:rPr>
                <w:rFonts w:ascii="Times New Roman" w:cs="Times New Roman" w:eastAsia="Times New Roman" w:hAnsi="Times New Roman"/>
                <w:sz w:val="16"/>
                <w:szCs w:val="16"/>
                <w:color w:val="auto"/>
              </w:rPr>
              <w:t>Affirmative vote of a</w:t>
            </w:r>
          </w:p>
        </w:tc>
        <w:tc>
          <w:tcPr>
            <w:tcW w:w="2160" w:type="dxa"/>
            <w:vAlign w:val="bottom"/>
            <w:tcBorders>
              <w:right w:val="single" w:sz="8" w:color="305494"/>
            </w:tcBorders>
          </w:tcPr>
          <w:p>
            <w:pPr>
              <w:ind w:left="80"/>
              <w:spacing w:after="0"/>
              <w:rPr>
                <w:sz w:val="20"/>
                <w:szCs w:val="20"/>
                <w:color w:val="auto"/>
              </w:rPr>
            </w:pPr>
            <w:r>
              <w:rPr>
                <w:rFonts w:ascii="Times New Roman" w:cs="Times New Roman" w:eastAsia="Times New Roman" w:hAnsi="Times New Roman"/>
                <w:sz w:val="16"/>
                <w:szCs w:val="16"/>
                <w:color w:val="auto"/>
              </w:rPr>
              <w:t>Abstentions are</w:t>
            </w:r>
          </w:p>
        </w:tc>
        <w:tc>
          <w:tcPr>
            <w:tcW w:w="2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Brokers have</w:t>
            </w:r>
          </w:p>
        </w:tc>
        <w:tc>
          <w:tcPr>
            <w:tcW w:w="0" w:type="dxa"/>
            <w:vAlign w:val="bottom"/>
          </w:tcPr>
          <w:p>
            <w:pPr>
              <w:spacing w:after="0"/>
              <w:rPr>
                <w:sz w:val="1"/>
                <w:szCs w:val="1"/>
                <w:color w:val="auto"/>
              </w:rPr>
            </w:pPr>
          </w:p>
        </w:tc>
      </w:tr>
      <w:tr>
        <w:trPr>
          <w:trHeight w:val="203"/>
        </w:trPr>
        <w:tc>
          <w:tcPr>
            <w:tcW w:w="2320" w:type="dxa"/>
            <w:vAlign w:val="bottom"/>
            <w:tcBorders>
              <w:right w:val="single" w:sz="8" w:color="305494"/>
            </w:tcBorders>
          </w:tcPr>
          <w:p>
            <w:pPr>
              <w:ind w:left="140"/>
              <w:spacing w:after="0"/>
              <w:rPr>
                <w:sz w:val="20"/>
                <w:szCs w:val="20"/>
                <w:color w:val="auto"/>
              </w:rPr>
            </w:pPr>
            <w:r>
              <w:rPr>
                <w:rFonts w:ascii="Times New Roman" w:cs="Times New Roman" w:eastAsia="Times New Roman" w:hAnsi="Times New Roman"/>
                <w:sz w:val="16"/>
                <w:szCs w:val="16"/>
                <w:color w:val="auto"/>
              </w:rPr>
              <w:t>Approval of the conversion of</w:t>
            </w:r>
          </w:p>
        </w:tc>
        <w:tc>
          <w:tcPr>
            <w:tcW w:w="2180" w:type="dxa"/>
            <w:vAlign w:val="bottom"/>
            <w:tcBorders>
              <w:right w:val="single" w:sz="8" w:color="305494"/>
            </w:tcBorders>
          </w:tcPr>
          <w:p>
            <w:pPr>
              <w:ind w:left="100"/>
              <w:spacing w:after="0"/>
              <w:rPr>
                <w:sz w:val="20"/>
                <w:szCs w:val="20"/>
                <w:color w:val="auto"/>
              </w:rPr>
            </w:pPr>
            <w:r>
              <w:rPr>
                <w:rFonts w:ascii="Times New Roman" w:cs="Times New Roman" w:eastAsia="Times New Roman" w:hAnsi="Times New Roman"/>
                <w:sz w:val="16"/>
                <w:szCs w:val="16"/>
                <w:color w:val="auto"/>
              </w:rPr>
              <w:t>Abstain</w:t>
            </w:r>
          </w:p>
        </w:tc>
        <w:tc>
          <w:tcPr>
            <w:tcW w:w="2200" w:type="dxa"/>
            <w:vAlign w:val="bottom"/>
            <w:tcBorders>
              <w:right w:val="single" w:sz="8" w:color="305494"/>
            </w:tcBorders>
          </w:tcPr>
          <w:p>
            <w:pPr>
              <w:ind w:left="120"/>
              <w:spacing w:after="0"/>
              <w:rPr>
                <w:sz w:val="20"/>
                <w:szCs w:val="20"/>
                <w:color w:val="auto"/>
              </w:rPr>
            </w:pPr>
            <w:r>
              <w:rPr>
                <w:rFonts w:ascii="Times New Roman" w:cs="Times New Roman" w:eastAsia="Times New Roman" w:hAnsi="Times New Roman"/>
                <w:sz w:val="16"/>
                <w:szCs w:val="16"/>
                <w:color w:val="auto"/>
              </w:rPr>
              <w:t>majority of the shares</w:t>
            </w:r>
          </w:p>
        </w:tc>
        <w:tc>
          <w:tcPr>
            <w:tcW w:w="2160" w:type="dxa"/>
            <w:vAlign w:val="bottom"/>
            <w:tcBorders>
              <w:right w:val="single" w:sz="8" w:color="305494"/>
            </w:tcBorders>
          </w:tcPr>
          <w:p>
            <w:pPr>
              <w:ind w:left="80"/>
              <w:spacing w:after="0"/>
              <w:rPr>
                <w:sz w:val="20"/>
                <w:szCs w:val="20"/>
                <w:color w:val="auto"/>
              </w:rPr>
            </w:pPr>
            <w:r>
              <w:rPr>
                <w:rFonts w:ascii="Times New Roman" w:cs="Times New Roman" w:eastAsia="Times New Roman" w:hAnsi="Times New Roman"/>
                <w:sz w:val="16"/>
                <w:szCs w:val="16"/>
                <w:color w:val="auto"/>
              </w:rPr>
              <w:t>considered shares</w:t>
            </w:r>
          </w:p>
        </w:tc>
        <w:tc>
          <w:tcPr>
            <w:tcW w:w="2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discretion to</w:t>
            </w:r>
          </w:p>
        </w:tc>
        <w:tc>
          <w:tcPr>
            <w:tcW w:w="0" w:type="dxa"/>
            <w:vAlign w:val="bottom"/>
          </w:tcPr>
          <w:p>
            <w:pPr>
              <w:spacing w:after="0"/>
              <w:rPr>
                <w:sz w:val="1"/>
                <w:szCs w:val="1"/>
                <w:color w:val="auto"/>
              </w:rPr>
            </w:pPr>
          </w:p>
        </w:tc>
      </w:tr>
      <w:tr>
        <w:trPr>
          <w:trHeight w:val="203"/>
        </w:trPr>
        <w:tc>
          <w:tcPr>
            <w:tcW w:w="2320" w:type="dxa"/>
            <w:vAlign w:val="bottom"/>
            <w:tcBorders>
              <w:right w:val="single" w:sz="8" w:color="305494"/>
            </w:tcBorders>
          </w:tcPr>
          <w:p>
            <w:pPr>
              <w:ind w:left="140"/>
              <w:spacing w:after="0"/>
              <w:rPr>
                <w:sz w:val="20"/>
                <w:szCs w:val="20"/>
                <w:color w:val="auto"/>
              </w:rPr>
            </w:pPr>
            <w:r>
              <w:rPr>
                <w:rFonts w:ascii="Times New Roman" w:cs="Times New Roman" w:eastAsia="Times New Roman" w:hAnsi="Times New Roman"/>
                <w:sz w:val="16"/>
                <w:szCs w:val="16"/>
                <w:color w:val="auto"/>
              </w:rPr>
              <w:t>the Series A Preferred Stock into</w:t>
            </w:r>
          </w:p>
        </w:tc>
        <w:tc>
          <w:tcPr>
            <w:tcW w:w="2180" w:type="dxa"/>
            <w:vAlign w:val="bottom"/>
            <w:tcBorders>
              <w:right w:val="single" w:sz="8" w:color="305494"/>
            </w:tcBorders>
          </w:tcPr>
          <w:p>
            <w:pPr>
              <w:spacing w:after="0"/>
              <w:rPr>
                <w:sz w:val="17"/>
                <w:szCs w:val="17"/>
                <w:color w:val="auto"/>
              </w:rPr>
            </w:pPr>
          </w:p>
        </w:tc>
        <w:tc>
          <w:tcPr>
            <w:tcW w:w="2200" w:type="dxa"/>
            <w:vAlign w:val="bottom"/>
            <w:tcBorders>
              <w:right w:val="single" w:sz="8" w:color="305494"/>
            </w:tcBorders>
          </w:tcPr>
          <w:p>
            <w:pPr>
              <w:ind w:left="120"/>
              <w:spacing w:after="0"/>
              <w:rPr>
                <w:sz w:val="20"/>
                <w:szCs w:val="20"/>
                <w:color w:val="auto"/>
              </w:rPr>
            </w:pPr>
            <w:r>
              <w:rPr>
                <w:rFonts w:ascii="Times New Roman" w:cs="Times New Roman" w:eastAsia="Times New Roman" w:hAnsi="Times New Roman"/>
                <w:sz w:val="16"/>
                <w:szCs w:val="16"/>
                <w:color w:val="auto"/>
              </w:rPr>
              <w:t>present or represented by</w:t>
            </w:r>
          </w:p>
        </w:tc>
        <w:tc>
          <w:tcPr>
            <w:tcW w:w="2160" w:type="dxa"/>
            <w:vAlign w:val="bottom"/>
            <w:tcBorders>
              <w:right w:val="single" w:sz="8" w:color="305494"/>
            </w:tcBorders>
          </w:tcPr>
          <w:p>
            <w:pPr>
              <w:ind w:left="80"/>
              <w:spacing w:after="0"/>
              <w:rPr>
                <w:sz w:val="20"/>
                <w:szCs w:val="20"/>
                <w:color w:val="auto"/>
              </w:rPr>
            </w:pPr>
            <w:r>
              <w:rPr>
                <w:rFonts w:ascii="Times New Roman" w:cs="Times New Roman" w:eastAsia="Times New Roman" w:hAnsi="Times New Roman"/>
                <w:sz w:val="16"/>
                <w:szCs w:val="16"/>
                <w:color w:val="auto"/>
              </w:rPr>
              <w:t>present and entitled</w:t>
            </w:r>
          </w:p>
        </w:tc>
        <w:tc>
          <w:tcPr>
            <w:tcW w:w="2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vote. Therefore,</w:t>
            </w:r>
          </w:p>
        </w:tc>
        <w:tc>
          <w:tcPr>
            <w:tcW w:w="0" w:type="dxa"/>
            <w:vAlign w:val="bottom"/>
          </w:tcPr>
          <w:p>
            <w:pPr>
              <w:spacing w:after="0"/>
              <w:rPr>
                <w:sz w:val="1"/>
                <w:szCs w:val="1"/>
                <w:color w:val="auto"/>
              </w:rPr>
            </w:pPr>
          </w:p>
        </w:tc>
      </w:tr>
      <w:tr>
        <w:trPr>
          <w:trHeight w:val="203"/>
        </w:trPr>
        <w:tc>
          <w:tcPr>
            <w:tcW w:w="2320" w:type="dxa"/>
            <w:vAlign w:val="bottom"/>
            <w:tcBorders>
              <w:right w:val="single" w:sz="8" w:color="305494"/>
            </w:tcBorders>
          </w:tcPr>
          <w:p>
            <w:pPr>
              <w:ind w:left="140"/>
              <w:spacing w:after="0"/>
              <w:rPr>
                <w:sz w:val="20"/>
                <w:szCs w:val="20"/>
                <w:color w:val="auto"/>
              </w:rPr>
            </w:pPr>
            <w:r>
              <w:rPr>
                <w:rFonts w:ascii="Times New Roman" w:cs="Times New Roman" w:eastAsia="Times New Roman" w:hAnsi="Times New Roman"/>
                <w:sz w:val="16"/>
                <w:szCs w:val="16"/>
                <w:color w:val="auto"/>
              </w:rPr>
              <w:t>shares of Common Stock</w:t>
            </w:r>
          </w:p>
        </w:tc>
        <w:tc>
          <w:tcPr>
            <w:tcW w:w="2180" w:type="dxa"/>
            <w:vAlign w:val="bottom"/>
            <w:tcBorders>
              <w:right w:val="single" w:sz="8" w:color="305494"/>
            </w:tcBorders>
          </w:tcPr>
          <w:p>
            <w:pPr>
              <w:spacing w:after="0"/>
              <w:rPr>
                <w:sz w:val="17"/>
                <w:szCs w:val="17"/>
                <w:color w:val="auto"/>
              </w:rPr>
            </w:pPr>
          </w:p>
        </w:tc>
        <w:tc>
          <w:tcPr>
            <w:tcW w:w="2200" w:type="dxa"/>
            <w:vAlign w:val="bottom"/>
            <w:tcBorders>
              <w:right w:val="single" w:sz="8" w:color="305494"/>
            </w:tcBorders>
          </w:tcPr>
          <w:p>
            <w:pPr>
              <w:ind w:left="120"/>
              <w:spacing w:after="0"/>
              <w:rPr>
                <w:sz w:val="20"/>
                <w:szCs w:val="20"/>
                <w:color w:val="auto"/>
              </w:rPr>
            </w:pPr>
            <w:r>
              <w:rPr>
                <w:rFonts w:ascii="Times New Roman" w:cs="Times New Roman" w:eastAsia="Times New Roman" w:hAnsi="Times New Roman"/>
                <w:sz w:val="16"/>
                <w:szCs w:val="16"/>
                <w:color w:val="auto"/>
              </w:rPr>
              <w:t>proxy and entitled to vote</w:t>
            </w:r>
          </w:p>
        </w:tc>
        <w:tc>
          <w:tcPr>
            <w:tcW w:w="2160" w:type="dxa"/>
            <w:vAlign w:val="bottom"/>
            <w:tcBorders>
              <w:right w:val="single" w:sz="8" w:color="305494"/>
            </w:tcBorders>
          </w:tcPr>
          <w:p>
            <w:pPr>
              <w:ind w:left="80"/>
              <w:spacing w:after="0"/>
              <w:rPr>
                <w:sz w:val="20"/>
                <w:szCs w:val="20"/>
                <w:color w:val="auto"/>
              </w:rPr>
            </w:pPr>
            <w:r>
              <w:rPr>
                <w:rFonts w:ascii="Times New Roman" w:cs="Times New Roman" w:eastAsia="Times New Roman" w:hAnsi="Times New Roman"/>
                <w:sz w:val="16"/>
                <w:szCs w:val="16"/>
                <w:color w:val="auto"/>
              </w:rPr>
              <w:t>to vote, and</w:t>
            </w:r>
          </w:p>
        </w:tc>
        <w:tc>
          <w:tcPr>
            <w:tcW w:w="2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we do not</w:t>
            </w:r>
          </w:p>
        </w:tc>
        <w:tc>
          <w:tcPr>
            <w:tcW w:w="0" w:type="dxa"/>
            <w:vAlign w:val="bottom"/>
          </w:tcPr>
          <w:p>
            <w:pPr>
              <w:spacing w:after="0"/>
              <w:rPr>
                <w:sz w:val="1"/>
                <w:szCs w:val="1"/>
                <w:color w:val="auto"/>
              </w:rPr>
            </w:pPr>
          </w:p>
        </w:tc>
      </w:tr>
      <w:tr>
        <w:trPr>
          <w:trHeight w:val="203"/>
        </w:trPr>
        <w:tc>
          <w:tcPr>
            <w:tcW w:w="2320" w:type="dxa"/>
            <w:vAlign w:val="bottom"/>
            <w:tcBorders>
              <w:right w:val="single" w:sz="8" w:color="305494"/>
            </w:tcBorders>
          </w:tcPr>
          <w:p>
            <w:pPr>
              <w:spacing w:after="0"/>
              <w:rPr>
                <w:sz w:val="17"/>
                <w:szCs w:val="17"/>
                <w:color w:val="auto"/>
              </w:rPr>
            </w:pPr>
          </w:p>
        </w:tc>
        <w:tc>
          <w:tcPr>
            <w:tcW w:w="2180" w:type="dxa"/>
            <w:vAlign w:val="bottom"/>
            <w:tcBorders>
              <w:right w:val="single" w:sz="8" w:color="305494"/>
            </w:tcBorders>
          </w:tcPr>
          <w:p>
            <w:pPr>
              <w:spacing w:after="0"/>
              <w:rPr>
                <w:sz w:val="17"/>
                <w:szCs w:val="17"/>
                <w:color w:val="auto"/>
              </w:rPr>
            </w:pPr>
          </w:p>
        </w:tc>
        <w:tc>
          <w:tcPr>
            <w:tcW w:w="2200" w:type="dxa"/>
            <w:vAlign w:val="bottom"/>
            <w:tcBorders>
              <w:right w:val="single" w:sz="8" w:color="305494"/>
            </w:tcBorders>
          </w:tcPr>
          <w:p>
            <w:pPr>
              <w:ind w:left="120"/>
              <w:spacing w:after="0"/>
              <w:rPr>
                <w:sz w:val="20"/>
                <w:szCs w:val="20"/>
                <w:color w:val="auto"/>
              </w:rPr>
            </w:pPr>
            <w:r>
              <w:rPr>
                <w:rFonts w:ascii="Times New Roman" w:cs="Times New Roman" w:eastAsia="Times New Roman" w:hAnsi="Times New Roman"/>
                <w:sz w:val="16"/>
                <w:szCs w:val="16"/>
                <w:color w:val="auto"/>
              </w:rPr>
              <w:t>on the proposal.</w:t>
            </w:r>
          </w:p>
        </w:tc>
        <w:tc>
          <w:tcPr>
            <w:tcW w:w="2160" w:type="dxa"/>
            <w:vAlign w:val="bottom"/>
            <w:tcBorders>
              <w:right w:val="single" w:sz="8" w:color="305494"/>
            </w:tcBorders>
          </w:tcPr>
          <w:p>
            <w:pPr>
              <w:ind w:left="80"/>
              <w:spacing w:after="0"/>
              <w:rPr>
                <w:sz w:val="20"/>
                <w:szCs w:val="20"/>
                <w:color w:val="auto"/>
              </w:rPr>
            </w:pPr>
            <w:r>
              <w:rPr>
                <w:rFonts w:ascii="Times New Roman" w:cs="Times New Roman" w:eastAsia="Times New Roman" w:hAnsi="Times New Roman"/>
                <w:sz w:val="16"/>
                <w:szCs w:val="16"/>
                <w:color w:val="auto"/>
              </w:rPr>
              <w:t>therefore have the</w:t>
            </w:r>
          </w:p>
        </w:tc>
        <w:tc>
          <w:tcPr>
            <w:tcW w:w="2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expect any</w:t>
            </w:r>
          </w:p>
        </w:tc>
        <w:tc>
          <w:tcPr>
            <w:tcW w:w="0" w:type="dxa"/>
            <w:vAlign w:val="bottom"/>
          </w:tcPr>
          <w:p>
            <w:pPr>
              <w:spacing w:after="0"/>
              <w:rPr>
                <w:sz w:val="1"/>
                <w:szCs w:val="1"/>
                <w:color w:val="auto"/>
              </w:rPr>
            </w:pPr>
          </w:p>
        </w:tc>
      </w:tr>
      <w:tr>
        <w:trPr>
          <w:trHeight w:val="203"/>
        </w:trPr>
        <w:tc>
          <w:tcPr>
            <w:tcW w:w="2320" w:type="dxa"/>
            <w:vAlign w:val="bottom"/>
            <w:tcBorders>
              <w:right w:val="single" w:sz="8" w:color="305494"/>
            </w:tcBorders>
          </w:tcPr>
          <w:p>
            <w:pPr>
              <w:spacing w:after="0"/>
              <w:rPr>
                <w:sz w:val="17"/>
                <w:szCs w:val="17"/>
                <w:color w:val="auto"/>
              </w:rPr>
            </w:pPr>
          </w:p>
        </w:tc>
        <w:tc>
          <w:tcPr>
            <w:tcW w:w="2180" w:type="dxa"/>
            <w:vAlign w:val="bottom"/>
            <w:tcBorders>
              <w:right w:val="single" w:sz="8" w:color="305494"/>
            </w:tcBorders>
          </w:tcPr>
          <w:p>
            <w:pPr>
              <w:spacing w:after="0"/>
              <w:rPr>
                <w:sz w:val="17"/>
                <w:szCs w:val="17"/>
                <w:color w:val="auto"/>
              </w:rPr>
            </w:pPr>
          </w:p>
        </w:tc>
        <w:tc>
          <w:tcPr>
            <w:tcW w:w="2200" w:type="dxa"/>
            <w:vAlign w:val="bottom"/>
            <w:tcBorders>
              <w:right w:val="single" w:sz="8" w:color="305494"/>
            </w:tcBorders>
          </w:tcPr>
          <w:p>
            <w:pPr>
              <w:spacing w:after="0"/>
              <w:rPr>
                <w:sz w:val="17"/>
                <w:szCs w:val="17"/>
                <w:color w:val="auto"/>
              </w:rPr>
            </w:pPr>
          </w:p>
        </w:tc>
        <w:tc>
          <w:tcPr>
            <w:tcW w:w="2160" w:type="dxa"/>
            <w:vAlign w:val="bottom"/>
            <w:tcBorders>
              <w:right w:val="single" w:sz="8" w:color="305494"/>
            </w:tcBorders>
          </w:tcPr>
          <w:p>
            <w:pPr>
              <w:ind w:left="80"/>
              <w:spacing w:after="0"/>
              <w:rPr>
                <w:sz w:val="20"/>
                <w:szCs w:val="20"/>
                <w:color w:val="auto"/>
              </w:rPr>
            </w:pPr>
            <w:r>
              <w:rPr>
                <w:rFonts w:ascii="Times New Roman" w:cs="Times New Roman" w:eastAsia="Times New Roman" w:hAnsi="Times New Roman"/>
                <w:sz w:val="16"/>
                <w:szCs w:val="16"/>
                <w:color w:val="auto"/>
              </w:rPr>
              <w:t>same impact as</w:t>
            </w:r>
          </w:p>
        </w:tc>
        <w:tc>
          <w:tcPr>
            <w:tcW w:w="2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broker</w:t>
            </w:r>
          </w:p>
        </w:tc>
        <w:tc>
          <w:tcPr>
            <w:tcW w:w="0" w:type="dxa"/>
            <w:vAlign w:val="bottom"/>
          </w:tcPr>
          <w:p>
            <w:pPr>
              <w:spacing w:after="0"/>
              <w:rPr>
                <w:sz w:val="1"/>
                <w:szCs w:val="1"/>
                <w:color w:val="auto"/>
              </w:rPr>
            </w:pPr>
          </w:p>
        </w:tc>
      </w:tr>
      <w:tr>
        <w:trPr>
          <w:trHeight w:val="203"/>
        </w:trPr>
        <w:tc>
          <w:tcPr>
            <w:tcW w:w="2320" w:type="dxa"/>
            <w:vAlign w:val="bottom"/>
            <w:tcBorders>
              <w:right w:val="single" w:sz="8" w:color="305494"/>
            </w:tcBorders>
          </w:tcPr>
          <w:p>
            <w:pPr>
              <w:spacing w:after="0"/>
              <w:rPr>
                <w:sz w:val="17"/>
                <w:szCs w:val="17"/>
                <w:color w:val="auto"/>
              </w:rPr>
            </w:pPr>
          </w:p>
        </w:tc>
        <w:tc>
          <w:tcPr>
            <w:tcW w:w="2180" w:type="dxa"/>
            <w:vAlign w:val="bottom"/>
            <w:tcBorders>
              <w:right w:val="single" w:sz="8" w:color="305494"/>
            </w:tcBorders>
          </w:tcPr>
          <w:p>
            <w:pPr>
              <w:spacing w:after="0"/>
              <w:rPr>
                <w:sz w:val="17"/>
                <w:szCs w:val="17"/>
                <w:color w:val="auto"/>
              </w:rPr>
            </w:pPr>
          </w:p>
        </w:tc>
        <w:tc>
          <w:tcPr>
            <w:tcW w:w="2200" w:type="dxa"/>
            <w:vAlign w:val="bottom"/>
            <w:tcBorders>
              <w:right w:val="single" w:sz="8" w:color="305494"/>
            </w:tcBorders>
          </w:tcPr>
          <w:p>
            <w:pPr>
              <w:spacing w:after="0"/>
              <w:rPr>
                <w:sz w:val="17"/>
                <w:szCs w:val="17"/>
                <w:color w:val="auto"/>
              </w:rPr>
            </w:pPr>
          </w:p>
        </w:tc>
        <w:tc>
          <w:tcPr>
            <w:tcW w:w="2160" w:type="dxa"/>
            <w:vAlign w:val="bottom"/>
            <w:tcBorders>
              <w:right w:val="single" w:sz="8" w:color="305494"/>
            </w:tcBorders>
          </w:tcPr>
          <w:p>
            <w:pPr>
              <w:ind w:left="80"/>
              <w:spacing w:after="0"/>
              <w:rPr>
                <w:sz w:val="20"/>
                <w:szCs w:val="20"/>
                <w:color w:val="auto"/>
              </w:rPr>
            </w:pPr>
            <w:r>
              <w:rPr>
                <w:rFonts w:ascii="Times New Roman" w:cs="Times New Roman" w:eastAsia="Times New Roman" w:hAnsi="Times New Roman"/>
                <w:sz w:val="16"/>
                <w:szCs w:val="16"/>
                <w:color w:val="auto"/>
              </w:rPr>
              <w:t>votes “Against” the</w:t>
            </w:r>
          </w:p>
        </w:tc>
        <w:tc>
          <w:tcPr>
            <w:tcW w:w="2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non-votes.</w:t>
            </w:r>
          </w:p>
        </w:tc>
        <w:tc>
          <w:tcPr>
            <w:tcW w:w="0" w:type="dxa"/>
            <w:vAlign w:val="bottom"/>
          </w:tcPr>
          <w:p>
            <w:pPr>
              <w:spacing w:after="0"/>
              <w:rPr>
                <w:sz w:val="1"/>
                <w:szCs w:val="1"/>
                <w:color w:val="auto"/>
              </w:rPr>
            </w:pPr>
          </w:p>
        </w:tc>
      </w:tr>
      <w:tr>
        <w:trPr>
          <w:trHeight w:val="213"/>
        </w:trPr>
        <w:tc>
          <w:tcPr>
            <w:tcW w:w="2320" w:type="dxa"/>
            <w:vAlign w:val="bottom"/>
            <w:tcBorders>
              <w:bottom w:val="single" w:sz="8" w:color="305494"/>
              <w:right w:val="single" w:sz="8" w:color="305494"/>
            </w:tcBorders>
          </w:tcPr>
          <w:p>
            <w:pPr>
              <w:spacing w:after="0"/>
              <w:rPr>
                <w:sz w:val="18"/>
                <w:szCs w:val="18"/>
                <w:color w:val="auto"/>
              </w:rPr>
            </w:pPr>
          </w:p>
        </w:tc>
        <w:tc>
          <w:tcPr>
            <w:tcW w:w="2180" w:type="dxa"/>
            <w:vAlign w:val="bottom"/>
            <w:tcBorders>
              <w:bottom w:val="single" w:sz="8" w:color="305494"/>
              <w:right w:val="single" w:sz="8" w:color="305494"/>
            </w:tcBorders>
          </w:tcPr>
          <w:p>
            <w:pPr>
              <w:spacing w:after="0"/>
              <w:rPr>
                <w:sz w:val="18"/>
                <w:szCs w:val="18"/>
                <w:color w:val="auto"/>
              </w:rPr>
            </w:pPr>
          </w:p>
        </w:tc>
        <w:tc>
          <w:tcPr>
            <w:tcW w:w="2200" w:type="dxa"/>
            <w:vAlign w:val="bottom"/>
            <w:tcBorders>
              <w:bottom w:val="single" w:sz="8" w:color="305494"/>
              <w:right w:val="single" w:sz="8" w:color="305494"/>
            </w:tcBorders>
          </w:tcPr>
          <w:p>
            <w:pPr>
              <w:spacing w:after="0"/>
              <w:rPr>
                <w:sz w:val="18"/>
                <w:szCs w:val="18"/>
                <w:color w:val="auto"/>
              </w:rPr>
            </w:pPr>
          </w:p>
        </w:tc>
        <w:tc>
          <w:tcPr>
            <w:tcW w:w="2160" w:type="dxa"/>
            <w:vAlign w:val="bottom"/>
            <w:tcBorders>
              <w:bottom w:val="single" w:sz="8" w:color="305494"/>
              <w:right w:val="single" w:sz="8" w:color="305494"/>
            </w:tcBorders>
          </w:tcPr>
          <w:p>
            <w:pPr>
              <w:ind w:left="80"/>
              <w:spacing w:after="0"/>
              <w:rPr>
                <w:sz w:val="20"/>
                <w:szCs w:val="20"/>
                <w:color w:val="auto"/>
              </w:rPr>
            </w:pPr>
            <w:r>
              <w:rPr>
                <w:rFonts w:ascii="Times New Roman" w:cs="Times New Roman" w:eastAsia="Times New Roman" w:hAnsi="Times New Roman"/>
                <w:sz w:val="16"/>
                <w:szCs w:val="16"/>
                <w:color w:val="auto"/>
              </w:rPr>
              <w:t>proposal.</w:t>
            </w:r>
          </w:p>
        </w:tc>
        <w:tc>
          <w:tcPr>
            <w:tcW w:w="2160" w:type="dxa"/>
            <w:vAlign w:val="bottom"/>
            <w:tcBorders>
              <w:bottom w:val="single" w:sz="8" w:color="305494"/>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320" w:type="dxa"/>
            <w:vAlign w:val="bottom"/>
            <w:tcBorders>
              <w:right w:val="single" w:sz="8" w:color="305494"/>
            </w:tcBorders>
          </w:tcPr>
          <w:p>
            <w:pPr>
              <w:ind w:left="140"/>
              <w:spacing w:after="0"/>
              <w:rPr>
                <w:sz w:val="20"/>
                <w:szCs w:val="20"/>
                <w:color w:val="auto"/>
              </w:rPr>
            </w:pPr>
            <w:r>
              <w:rPr>
                <w:rFonts w:ascii="Times New Roman" w:cs="Times New Roman" w:eastAsia="Times New Roman" w:hAnsi="Times New Roman"/>
                <w:sz w:val="16"/>
                <w:szCs w:val="16"/>
                <w:b w:val="1"/>
                <w:bCs w:val="1"/>
                <w:color w:val="305494"/>
              </w:rPr>
              <w:t>Proposal Four:</w:t>
            </w:r>
          </w:p>
        </w:tc>
        <w:tc>
          <w:tcPr>
            <w:tcW w:w="2180" w:type="dxa"/>
            <w:vAlign w:val="bottom"/>
            <w:tcBorders>
              <w:right w:val="single" w:sz="8" w:color="305494"/>
            </w:tcBorders>
          </w:tcPr>
          <w:p>
            <w:pPr>
              <w:ind w:left="100"/>
              <w:spacing w:after="0"/>
              <w:rPr>
                <w:sz w:val="20"/>
                <w:szCs w:val="20"/>
                <w:color w:val="auto"/>
              </w:rPr>
            </w:pPr>
            <w:r>
              <w:rPr>
                <w:rFonts w:ascii="Times New Roman" w:cs="Times New Roman" w:eastAsia="Times New Roman" w:hAnsi="Times New Roman"/>
                <w:sz w:val="16"/>
                <w:szCs w:val="16"/>
                <w:color w:val="auto"/>
              </w:rPr>
              <w:t>For, Against or</w:t>
            </w:r>
          </w:p>
        </w:tc>
        <w:tc>
          <w:tcPr>
            <w:tcW w:w="2200" w:type="dxa"/>
            <w:vAlign w:val="bottom"/>
            <w:tcBorders>
              <w:right w:val="single" w:sz="8" w:color="305494"/>
            </w:tcBorders>
          </w:tcPr>
          <w:p>
            <w:pPr>
              <w:ind w:left="120"/>
              <w:spacing w:after="0"/>
              <w:rPr>
                <w:sz w:val="20"/>
                <w:szCs w:val="20"/>
                <w:color w:val="auto"/>
              </w:rPr>
            </w:pPr>
            <w:r>
              <w:rPr>
                <w:rFonts w:ascii="Times New Roman" w:cs="Times New Roman" w:eastAsia="Times New Roman" w:hAnsi="Times New Roman"/>
                <w:sz w:val="16"/>
                <w:szCs w:val="16"/>
                <w:color w:val="auto"/>
              </w:rPr>
              <w:t>Affirmative vote of a</w:t>
            </w:r>
          </w:p>
        </w:tc>
        <w:tc>
          <w:tcPr>
            <w:tcW w:w="2160" w:type="dxa"/>
            <w:vAlign w:val="bottom"/>
            <w:tcBorders>
              <w:right w:val="single" w:sz="8" w:color="305494"/>
            </w:tcBorders>
          </w:tcPr>
          <w:p>
            <w:pPr>
              <w:ind w:left="80"/>
              <w:spacing w:after="0"/>
              <w:rPr>
                <w:sz w:val="20"/>
                <w:szCs w:val="20"/>
                <w:color w:val="auto"/>
              </w:rPr>
            </w:pPr>
            <w:r>
              <w:rPr>
                <w:rFonts w:ascii="Times New Roman" w:cs="Times New Roman" w:eastAsia="Times New Roman" w:hAnsi="Times New Roman"/>
                <w:sz w:val="16"/>
                <w:szCs w:val="16"/>
                <w:color w:val="auto"/>
              </w:rPr>
              <w:t>Abstentions are</w:t>
            </w:r>
          </w:p>
        </w:tc>
        <w:tc>
          <w:tcPr>
            <w:tcW w:w="2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Brokers have</w:t>
            </w:r>
          </w:p>
        </w:tc>
        <w:tc>
          <w:tcPr>
            <w:tcW w:w="0" w:type="dxa"/>
            <w:vAlign w:val="bottom"/>
          </w:tcPr>
          <w:p>
            <w:pPr>
              <w:spacing w:after="0"/>
              <w:rPr>
                <w:sz w:val="1"/>
                <w:szCs w:val="1"/>
                <w:color w:val="auto"/>
              </w:rPr>
            </w:pPr>
          </w:p>
        </w:tc>
      </w:tr>
      <w:tr>
        <w:trPr>
          <w:trHeight w:val="203"/>
        </w:trPr>
        <w:tc>
          <w:tcPr>
            <w:tcW w:w="2320" w:type="dxa"/>
            <w:vAlign w:val="bottom"/>
            <w:tcBorders>
              <w:right w:val="single" w:sz="8" w:color="305494"/>
            </w:tcBorders>
          </w:tcPr>
          <w:p>
            <w:pPr>
              <w:ind w:left="140"/>
              <w:spacing w:after="0"/>
              <w:rPr>
                <w:sz w:val="20"/>
                <w:szCs w:val="20"/>
                <w:color w:val="auto"/>
              </w:rPr>
            </w:pPr>
            <w:r>
              <w:rPr>
                <w:rFonts w:ascii="Times New Roman" w:cs="Times New Roman" w:eastAsia="Times New Roman" w:hAnsi="Times New Roman"/>
                <w:sz w:val="16"/>
                <w:szCs w:val="16"/>
                <w:color w:val="auto"/>
              </w:rPr>
              <w:t>Approval of issuance of shares</w:t>
            </w:r>
          </w:p>
        </w:tc>
        <w:tc>
          <w:tcPr>
            <w:tcW w:w="2180" w:type="dxa"/>
            <w:vAlign w:val="bottom"/>
            <w:tcBorders>
              <w:right w:val="single" w:sz="8" w:color="305494"/>
            </w:tcBorders>
          </w:tcPr>
          <w:p>
            <w:pPr>
              <w:ind w:left="100"/>
              <w:spacing w:after="0"/>
              <w:rPr>
                <w:sz w:val="20"/>
                <w:szCs w:val="20"/>
                <w:color w:val="auto"/>
              </w:rPr>
            </w:pPr>
            <w:r>
              <w:rPr>
                <w:rFonts w:ascii="Times New Roman" w:cs="Times New Roman" w:eastAsia="Times New Roman" w:hAnsi="Times New Roman"/>
                <w:sz w:val="16"/>
                <w:szCs w:val="16"/>
                <w:color w:val="auto"/>
              </w:rPr>
              <w:t>Abstain</w:t>
            </w:r>
          </w:p>
        </w:tc>
        <w:tc>
          <w:tcPr>
            <w:tcW w:w="2200" w:type="dxa"/>
            <w:vAlign w:val="bottom"/>
            <w:tcBorders>
              <w:right w:val="single" w:sz="8" w:color="305494"/>
            </w:tcBorders>
          </w:tcPr>
          <w:p>
            <w:pPr>
              <w:ind w:left="120"/>
              <w:spacing w:after="0"/>
              <w:rPr>
                <w:sz w:val="20"/>
                <w:szCs w:val="20"/>
                <w:color w:val="auto"/>
              </w:rPr>
            </w:pPr>
            <w:r>
              <w:rPr>
                <w:rFonts w:ascii="Times New Roman" w:cs="Times New Roman" w:eastAsia="Times New Roman" w:hAnsi="Times New Roman"/>
                <w:sz w:val="16"/>
                <w:szCs w:val="16"/>
                <w:color w:val="auto"/>
              </w:rPr>
              <w:t>majority of the shares</w:t>
            </w:r>
          </w:p>
        </w:tc>
        <w:tc>
          <w:tcPr>
            <w:tcW w:w="2160" w:type="dxa"/>
            <w:vAlign w:val="bottom"/>
            <w:tcBorders>
              <w:right w:val="single" w:sz="8" w:color="305494"/>
            </w:tcBorders>
          </w:tcPr>
          <w:p>
            <w:pPr>
              <w:ind w:left="80"/>
              <w:spacing w:after="0"/>
              <w:rPr>
                <w:sz w:val="20"/>
                <w:szCs w:val="20"/>
                <w:color w:val="auto"/>
              </w:rPr>
            </w:pPr>
            <w:r>
              <w:rPr>
                <w:rFonts w:ascii="Times New Roman" w:cs="Times New Roman" w:eastAsia="Times New Roman" w:hAnsi="Times New Roman"/>
                <w:sz w:val="16"/>
                <w:szCs w:val="16"/>
                <w:color w:val="auto"/>
              </w:rPr>
              <w:t>considered shares</w:t>
            </w:r>
          </w:p>
        </w:tc>
        <w:tc>
          <w:tcPr>
            <w:tcW w:w="2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discretion to</w:t>
            </w:r>
          </w:p>
        </w:tc>
        <w:tc>
          <w:tcPr>
            <w:tcW w:w="0" w:type="dxa"/>
            <w:vAlign w:val="bottom"/>
          </w:tcPr>
          <w:p>
            <w:pPr>
              <w:spacing w:after="0"/>
              <w:rPr>
                <w:sz w:val="1"/>
                <w:szCs w:val="1"/>
                <w:color w:val="auto"/>
              </w:rPr>
            </w:pPr>
          </w:p>
        </w:tc>
      </w:tr>
      <w:tr>
        <w:trPr>
          <w:trHeight w:val="203"/>
        </w:trPr>
        <w:tc>
          <w:tcPr>
            <w:tcW w:w="2320" w:type="dxa"/>
            <w:vAlign w:val="bottom"/>
            <w:tcBorders>
              <w:right w:val="single" w:sz="8" w:color="305494"/>
            </w:tcBorders>
          </w:tcPr>
          <w:p>
            <w:pPr>
              <w:ind w:left="140"/>
              <w:spacing w:after="0"/>
              <w:rPr>
                <w:sz w:val="20"/>
                <w:szCs w:val="20"/>
                <w:color w:val="auto"/>
              </w:rPr>
            </w:pPr>
            <w:r>
              <w:rPr>
                <w:rFonts w:ascii="Times New Roman" w:cs="Times New Roman" w:eastAsia="Times New Roman" w:hAnsi="Times New Roman"/>
                <w:sz w:val="16"/>
                <w:szCs w:val="16"/>
                <w:color w:val="auto"/>
              </w:rPr>
              <w:t>of Series A Preferred Stock to</w:t>
            </w:r>
          </w:p>
        </w:tc>
        <w:tc>
          <w:tcPr>
            <w:tcW w:w="2180" w:type="dxa"/>
            <w:vAlign w:val="bottom"/>
            <w:tcBorders>
              <w:right w:val="single" w:sz="8" w:color="305494"/>
            </w:tcBorders>
          </w:tcPr>
          <w:p>
            <w:pPr>
              <w:spacing w:after="0"/>
              <w:rPr>
                <w:sz w:val="17"/>
                <w:szCs w:val="17"/>
                <w:color w:val="auto"/>
              </w:rPr>
            </w:pPr>
          </w:p>
        </w:tc>
        <w:tc>
          <w:tcPr>
            <w:tcW w:w="2200" w:type="dxa"/>
            <w:vAlign w:val="bottom"/>
            <w:tcBorders>
              <w:right w:val="single" w:sz="8" w:color="305494"/>
            </w:tcBorders>
          </w:tcPr>
          <w:p>
            <w:pPr>
              <w:ind w:left="120"/>
              <w:spacing w:after="0"/>
              <w:rPr>
                <w:sz w:val="20"/>
                <w:szCs w:val="20"/>
                <w:color w:val="auto"/>
              </w:rPr>
            </w:pPr>
            <w:r>
              <w:rPr>
                <w:rFonts w:ascii="Times New Roman" w:cs="Times New Roman" w:eastAsia="Times New Roman" w:hAnsi="Times New Roman"/>
                <w:sz w:val="16"/>
                <w:szCs w:val="16"/>
                <w:color w:val="auto"/>
              </w:rPr>
              <w:t>present or represented by</w:t>
            </w:r>
          </w:p>
        </w:tc>
        <w:tc>
          <w:tcPr>
            <w:tcW w:w="2160" w:type="dxa"/>
            <w:vAlign w:val="bottom"/>
            <w:tcBorders>
              <w:right w:val="single" w:sz="8" w:color="305494"/>
            </w:tcBorders>
          </w:tcPr>
          <w:p>
            <w:pPr>
              <w:ind w:left="80"/>
              <w:spacing w:after="0"/>
              <w:rPr>
                <w:sz w:val="20"/>
                <w:szCs w:val="20"/>
                <w:color w:val="auto"/>
              </w:rPr>
            </w:pPr>
            <w:r>
              <w:rPr>
                <w:rFonts w:ascii="Times New Roman" w:cs="Times New Roman" w:eastAsia="Times New Roman" w:hAnsi="Times New Roman"/>
                <w:sz w:val="16"/>
                <w:szCs w:val="16"/>
                <w:color w:val="auto"/>
              </w:rPr>
              <w:t>present and entitled</w:t>
            </w:r>
          </w:p>
        </w:tc>
        <w:tc>
          <w:tcPr>
            <w:tcW w:w="2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vote. Therefore,</w:t>
            </w:r>
          </w:p>
        </w:tc>
        <w:tc>
          <w:tcPr>
            <w:tcW w:w="0" w:type="dxa"/>
            <w:vAlign w:val="bottom"/>
          </w:tcPr>
          <w:p>
            <w:pPr>
              <w:spacing w:after="0"/>
              <w:rPr>
                <w:sz w:val="1"/>
                <w:szCs w:val="1"/>
                <w:color w:val="auto"/>
              </w:rPr>
            </w:pPr>
          </w:p>
        </w:tc>
      </w:tr>
      <w:tr>
        <w:trPr>
          <w:trHeight w:val="203"/>
        </w:trPr>
        <w:tc>
          <w:tcPr>
            <w:tcW w:w="2320" w:type="dxa"/>
            <w:vAlign w:val="bottom"/>
            <w:tcBorders>
              <w:right w:val="single" w:sz="8" w:color="305494"/>
            </w:tcBorders>
          </w:tcPr>
          <w:p>
            <w:pPr>
              <w:ind w:left="140"/>
              <w:spacing w:after="0"/>
              <w:rPr>
                <w:sz w:val="20"/>
                <w:szCs w:val="20"/>
                <w:color w:val="auto"/>
              </w:rPr>
            </w:pPr>
            <w:r>
              <w:rPr>
                <w:rFonts w:ascii="Times New Roman" w:cs="Times New Roman" w:eastAsia="Times New Roman" w:hAnsi="Times New Roman"/>
                <w:sz w:val="16"/>
                <w:szCs w:val="16"/>
                <w:color w:val="auto"/>
              </w:rPr>
              <w:t>certain of the Company’s</w:t>
            </w:r>
          </w:p>
        </w:tc>
        <w:tc>
          <w:tcPr>
            <w:tcW w:w="2180" w:type="dxa"/>
            <w:vAlign w:val="bottom"/>
            <w:tcBorders>
              <w:right w:val="single" w:sz="8" w:color="305494"/>
            </w:tcBorders>
          </w:tcPr>
          <w:p>
            <w:pPr>
              <w:spacing w:after="0"/>
              <w:rPr>
                <w:sz w:val="17"/>
                <w:szCs w:val="17"/>
                <w:color w:val="auto"/>
              </w:rPr>
            </w:pPr>
          </w:p>
        </w:tc>
        <w:tc>
          <w:tcPr>
            <w:tcW w:w="2200" w:type="dxa"/>
            <w:vAlign w:val="bottom"/>
            <w:tcBorders>
              <w:right w:val="single" w:sz="8" w:color="305494"/>
            </w:tcBorders>
          </w:tcPr>
          <w:p>
            <w:pPr>
              <w:ind w:left="120"/>
              <w:spacing w:after="0"/>
              <w:rPr>
                <w:sz w:val="20"/>
                <w:szCs w:val="20"/>
                <w:color w:val="auto"/>
              </w:rPr>
            </w:pPr>
            <w:r>
              <w:rPr>
                <w:rFonts w:ascii="Times New Roman" w:cs="Times New Roman" w:eastAsia="Times New Roman" w:hAnsi="Times New Roman"/>
                <w:sz w:val="16"/>
                <w:szCs w:val="16"/>
                <w:color w:val="auto"/>
              </w:rPr>
              <w:t>proxy and entitled to vote</w:t>
            </w:r>
          </w:p>
        </w:tc>
        <w:tc>
          <w:tcPr>
            <w:tcW w:w="2160" w:type="dxa"/>
            <w:vAlign w:val="bottom"/>
            <w:tcBorders>
              <w:right w:val="single" w:sz="8" w:color="305494"/>
            </w:tcBorders>
          </w:tcPr>
          <w:p>
            <w:pPr>
              <w:ind w:left="80"/>
              <w:spacing w:after="0"/>
              <w:rPr>
                <w:sz w:val="20"/>
                <w:szCs w:val="20"/>
                <w:color w:val="auto"/>
              </w:rPr>
            </w:pPr>
            <w:r>
              <w:rPr>
                <w:rFonts w:ascii="Times New Roman" w:cs="Times New Roman" w:eastAsia="Times New Roman" w:hAnsi="Times New Roman"/>
                <w:sz w:val="16"/>
                <w:szCs w:val="16"/>
                <w:color w:val="auto"/>
              </w:rPr>
              <w:t>to vote, and</w:t>
            </w:r>
          </w:p>
        </w:tc>
        <w:tc>
          <w:tcPr>
            <w:tcW w:w="2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we do not</w:t>
            </w:r>
          </w:p>
        </w:tc>
        <w:tc>
          <w:tcPr>
            <w:tcW w:w="0" w:type="dxa"/>
            <w:vAlign w:val="bottom"/>
          </w:tcPr>
          <w:p>
            <w:pPr>
              <w:spacing w:after="0"/>
              <w:rPr>
                <w:sz w:val="1"/>
                <w:szCs w:val="1"/>
                <w:color w:val="auto"/>
              </w:rPr>
            </w:pPr>
          </w:p>
        </w:tc>
      </w:tr>
      <w:tr>
        <w:trPr>
          <w:trHeight w:val="203"/>
        </w:trPr>
        <w:tc>
          <w:tcPr>
            <w:tcW w:w="2320" w:type="dxa"/>
            <w:vAlign w:val="bottom"/>
            <w:tcBorders>
              <w:right w:val="single" w:sz="8" w:color="305494"/>
            </w:tcBorders>
          </w:tcPr>
          <w:p>
            <w:pPr>
              <w:ind w:left="140"/>
              <w:spacing w:after="0"/>
              <w:rPr>
                <w:sz w:val="20"/>
                <w:szCs w:val="20"/>
                <w:color w:val="auto"/>
              </w:rPr>
            </w:pPr>
            <w:r>
              <w:rPr>
                <w:rFonts w:ascii="Times New Roman" w:cs="Times New Roman" w:eastAsia="Times New Roman" w:hAnsi="Times New Roman"/>
                <w:sz w:val="16"/>
                <w:szCs w:val="16"/>
                <w:color w:val="auto"/>
              </w:rPr>
              <w:t>directors and officers and any</w:t>
            </w:r>
          </w:p>
        </w:tc>
        <w:tc>
          <w:tcPr>
            <w:tcW w:w="2180" w:type="dxa"/>
            <w:vAlign w:val="bottom"/>
            <w:tcBorders>
              <w:right w:val="single" w:sz="8" w:color="305494"/>
            </w:tcBorders>
          </w:tcPr>
          <w:p>
            <w:pPr>
              <w:spacing w:after="0"/>
              <w:rPr>
                <w:sz w:val="17"/>
                <w:szCs w:val="17"/>
                <w:color w:val="auto"/>
              </w:rPr>
            </w:pPr>
          </w:p>
        </w:tc>
        <w:tc>
          <w:tcPr>
            <w:tcW w:w="2200" w:type="dxa"/>
            <w:vAlign w:val="bottom"/>
            <w:tcBorders>
              <w:right w:val="single" w:sz="8" w:color="305494"/>
            </w:tcBorders>
          </w:tcPr>
          <w:p>
            <w:pPr>
              <w:ind w:left="120"/>
              <w:spacing w:after="0"/>
              <w:rPr>
                <w:sz w:val="20"/>
                <w:szCs w:val="20"/>
                <w:color w:val="auto"/>
              </w:rPr>
            </w:pPr>
            <w:r>
              <w:rPr>
                <w:rFonts w:ascii="Times New Roman" w:cs="Times New Roman" w:eastAsia="Times New Roman" w:hAnsi="Times New Roman"/>
                <w:sz w:val="16"/>
                <w:szCs w:val="16"/>
                <w:color w:val="auto"/>
              </w:rPr>
              <w:t>on the proposal.</w:t>
            </w:r>
          </w:p>
        </w:tc>
        <w:tc>
          <w:tcPr>
            <w:tcW w:w="2160" w:type="dxa"/>
            <w:vAlign w:val="bottom"/>
            <w:tcBorders>
              <w:right w:val="single" w:sz="8" w:color="305494"/>
            </w:tcBorders>
          </w:tcPr>
          <w:p>
            <w:pPr>
              <w:ind w:left="80"/>
              <w:spacing w:after="0"/>
              <w:rPr>
                <w:sz w:val="20"/>
                <w:szCs w:val="20"/>
                <w:color w:val="auto"/>
              </w:rPr>
            </w:pPr>
            <w:r>
              <w:rPr>
                <w:rFonts w:ascii="Times New Roman" w:cs="Times New Roman" w:eastAsia="Times New Roman" w:hAnsi="Times New Roman"/>
                <w:sz w:val="16"/>
                <w:szCs w:val="16"/>
                <w:color w:val="auto"/>
              </w:rPr>
              <w:t>therefore have the</w:t>
            </w:r>
          </w:p>
        </w:tc>
        <w:tc>
          <w:tcPr>
            <w:tcW w:w="2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expect any</w:t>
            </w:r>
          </w:p>
        </w:tc>
        <w:tc>
          <w:tcPr>
            <w:tcW w:w="0" w:type="dxa"/>
            <w:vAlign w:val="bottom"/>
          </w:tcPr>
          <w:p>
            <w:pPr>
              <w:spacing w:after="0"/>
              <w:rPr>
                <w:sz w:val="1"/>
                <w:szCs w:val="1"/>
                <w:color w:val="auto"/>
              </w:rPr>
            </w:pPr>
          </w:p>
        </w:tc>
      </w:tr>
      <w:tr>
        <w:trPr>
          <w:trHeight w:val="203"/>
        </w:trPr>
        <w:tc>
          <w:tcPr>
            <w:tcW w:w="2320" w:type="dxa"/>
            <w:vAlign w:val="bottom"/>
            <w:tcBorders>
              <w:right w:val="single" w:sz="8" w:color="305494"/>
            </w:tcBorders>
          </w:tcPr>
          <w:p>
            <w:pPr>
              <w:ind w:left="140"/>
              <w:spacing w:after="0"/>
              <w:rPr>
                <w:sz w:val="20"/>
                <w:szCs w:val="20"/>
                <w:color w:val="auto"/>
              </w:rPr>
            </w:pPr>
            <w:r>
              <w:rPr>
                <w:rFonts w:ascii="Times New Roman" w:cs="Times New Roman" w:eastAsia="Times New Roman" w:hAnsi="Times New Roman"/>
                <w:sz w:val="16"/>
                <w:szCs w:val="16"/>
                <w:color w:val="auto"/>
              </w:rPr>
              <w:t>shares of the Company’s</w:t>
            </w:r>
          </w:p>
        </w:tc>
        <w:tc>
          <w:tcPr>
            <w:tcW w:w="2180" w:type="dxa"/>
            <w:vAlign w:val="bottom"/>
            <w:tcBorders>
              <w:right w:val="single" w:sz="8" w:color="305494"/>
            </w:tcBorders>
          </w:tcPr>
          <w:p>
            <w:pPr>
              <w:spacing w:after="0"/>
              <w:rPr>
                <w:sz w:val="17"/>
                <w:szCs w:val="17"/>
                <w:color w:val="auto"/>
              </w:rPr>
            </w:pPr>
          </w:p>
        </w:tc>
        <w:tc>
          <w:tcPr>
            <w:tcW w:w="2200" w:type="dxa"/>
            <w:vAlign w:val="bottom"/>
            <w:tcBorders>
              <w:right w:val="single" w:sz="8" w:color="305494"/>
            </w:tcBorders>
          </w:tcPr>
          <w:p>
            <w:pPr>
              <w:spacing w:after="0"/>
              <w:rPr>
                <w:sz w:val="17"/>
                <w:szCs w:val="17"/>
                <w:color w:val="auto"/>
              </w:rPr>
            </w:pPr>
          </w:p>
        </w:tc>
        <w:tc>
          <w:tcPr>
            <w:tcW w:w="2160" w:type="dxa"/>
            <w:vAlign w:val="bottom"/>
            <w:tcBorders>
              <w:right w:val="single" w:sz="8" w:color="305494"/>
            </w:tcBorders>
          </w:tcPr>
          <w:p>
            <w:pPr>
              <w:ind w:left="80"/>
              <w:spacing w:after="0"/>
              <w:rPr>
                <w:sz w:val="20"/>
                <w:szCs w:val="20"/>
                <w:color w:val="auto"/>
              </w:rPr>
            </w:pPr>
            <w:r>
              <w:rPr>
                <w:rFonts w:ascii="Times New Roman" w:cs="Times New Roman" w:eastAsia="Times New Roman" w:hAnsi="Times New Roman"/>
                <w:sz w:val="16"/>
                <w:szCs w:val="16"/>
                <w:color w:val="auto"/>
              </w:rPr>
              <w:t>same impact as</w:t>
            </w:r>
          </w:p>
        </w:tc>
        <w:tc>
          <w:tcPr>
            <w:tcW w:w="2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broker</w:t>
            </w:r>
          </w:p>
        </w:tc>
        <w:tc>
          <w:tcPr>
            <w:tcW w:w="0" w:type="dxa"/>
            <w:vAlign w:val="bottom"/>
          </w:tcPr>
          <w:p>
            <w:pPr>
              <w:spacing w:after="0"/>
              <w:rPr>
                <w:sz w:val="1"/>
                <w:szCs w:val="1"/>
                <w:color w:val="auto"/>
              </w:rPr>
            </w:pPr>
          </w:p>
        </w:tc>
      </w:tr>
      <w:tr>
        <w:trPr>
          <w:trHeight w:val="203"/>
        </w:trPr>
        <w:tc>
          <w:tcPr>
            <w:tcW w:w="2320" w:type="dxa"/>
            <w:vAlign w:val="bottom"/>
            <w:tcBorders>
              <w:right w:val="single" w:sz="8" w:color="305494"/>
            </w:tcBorders>
          </w:tcPr>
          <w:p>
            <w:pPr>
              <w:ind w:left="140"/>
              <w:spacing w:after="0"/>
              <w:rPr>
                <w:sz w:val="20"/>
                <w:szCs w:val="20"/>
                <w:color w:val="auto"/>
              </w:rPr>
            </w:pPr>
            <w:r>
              <w:rPr>
                <w:rFonts w:ascii="Times New Roman" w:cs="Times New Roman" w:eastAsia="Times New Roman" w:hAnsi="Times New Roman"/>
                <w:sz w:val="16"/>
                <w:szCs w:val="16"/>
                <w:color w:val="auto"/>
              </w:rPr>
              <w:t>Common Stock issuable upon</w:t>
            </w:r>
          </w:p>
        </w:tc>
        <w:tc>
          <w:tcPr>
            <w:tcW w:w="2180" w:type="dxa"/>
            <w:vAlign w:val="bottom"/>
            <w:tcBorders>
              <w:right w:val="single" w:sz="8" w:color="305494"/>
            </w:tcBorders>
          </w:tcPr>
          <w:p>
            <w:pPr>
              <w:spacing w:after="0"/>
              <w:rPr>
                <w:sz w:val="17"/>
                <w:szCs w:val="17"/>
                <w:color w:val="auto"/>
              </w:rPr>
            </w:pPr>
          </w:p>
        </w:tc>
        <w:tc>
          <w:tcPr>
            <w:tcW w:w="2200" w:type="dxa"/>
            <w:vAlign w:val="bottom"/>
            <w:tcBorders>
              <w:right w:val="single" w:sz="8" w:color="305494"/>
            </w:tcBorders>
          </w:tcPr>
          <w:p>
            <w:pPr>
              <w:spacing w:after="0"/>
              <w:rPr>
                <w:sz w:val="17"/>
                <w:szCs w:val="17"/>
                <w:color w:val="auto"/>
              </w:rPr>
            </w:pPr>
          </w:p>
        </w:tc>
        <w:tc>
          <w:tcPr>
            <w:tcW w:w="2160" w:type="dxa"/>
            <w:vAlign w:val="bottom"/>
            <w:tcBorders>
              <w:right w:val="single" w:sz="8" w:color="305494"/>
            </w:tcBorders>
          </w:tcPr>
          <w:p>
            <w:pPr>
              <w:ind w:left="80"/>
              <w:spacing w:after="0"/>
              <w:rPr>
                <w:sz w:val="20"/>
                <w:szCs w:val="20"/>
                <w:color w:val="auto"/>
              </w:rPr>
            </w:pPr>
            <w:r>
              <w:rPr>
                <w:rFonts w:ascii="Times New Roman" w:cs="Times New Roman" w:eastAsia="Times New Roman" w:hAnsi="Times New Roman"/>
                <w:sz w:val="16"/>
                <w:szCs w:val="16"/>
                <w:color w:val="auto"/>
              </w:rPr>
              <w:t>votes “Against” the</w:t>
            </w:r>
          </w:p>
        </w:tc>
        <w:tc>
          <w:tcPr>
            <w:tcW w:w="2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non-votes.</w:t>
            </w:r>
          </w:p>
        </w:tc>
        <w:tc>
          <w:tcPr>
            <w:tcW w:w="0" w:type="dxa"/>
            <w:vAlign w:val="bottom"/>
          </w:tcPr>
          <w:p>
            <w:pPr>
              <w:spacing w:after="0"/>
              <w:rPr>
                <w:sz w:val="1"/>
                <w:szCs w:val="1"/>
                <w:color w:val="auto"/>
              </w:rPr>
            </w:pPr>
          </w:p>
        </w:tc>
      </w:tr>
      <w:tr>
        <w:trPr>
          <w:trHeight w:val="213"/>
        </w:trPr>
        <w:tc>
          <w:tcPr>
            <w:tcW w:w="2320" w:type="dxa"/>
            <w:vAlign w:val="bottom"/>
            <w:tcBorders>
              <w:bottom w:val="single" w:sz="8" w:color="305494"/>
              <w:right w:val="single" w:sz="8" w:color="305494"/>
            </w:tcBorders>
          </w:tcPr>
          <w:p>
            <w:pPr>
              <w:ind w:left="140"/>
              <w:spacing w:after="0"/>
              <w:rPr>
                <w:sz w:val="20"/>
                <w:szCs w:val="20"/>
                <w:color w:val="auto"/>
              </w:rPr>
            </w:pPr>
            <w:r>
              <w:rPr>
                <w:rFonts w:ascii="Times New Roman" w:cs="Times New Roman" w:eastAsia="Times New Roman" w:hAnsi="Times New Roman"/>
                <w:sz w:val="16"/>
                <w:szCs w:val="16"/>
                <w:color w:val="auto"/>
              </w:rPr>
              <w:t>the conversion thereof</w:t>
            </w:r>
          </w:p>
        </w:tc>
        <w:tc>
          <w:tcPr>
            <w:tcW w:w="2180" w:type="dxa"/>
            <w:vAlign w:val="bottom"/>
            <w:tcBorders>
              <w:bottom w:val="single" w:sz="8" w:color="305494"/>
              <w:right w:val="single" w:sz="8" w:color="305494"/>
            </w:tcBorders>
          </w:tcPr>
          <w:p>
            <w:pPr>
              <w:spacing w:after="0"/>
              <w:rPr>
                <w:sz w:val="18"/>
                <w:szCs w:val="18"/>
                <w:color w:val="auto"/>
              </w:rPr>
            </w:pPr>
          </w:p>
        </w:tc>
        <w:tc>
          <w:tcPr>
            <w:tcW w:w="2200" w:type="dxa"/>
            <w:vAlign w:val="bottom"/>
            <w:tcBorders>
              <w:bottom w:val="single" w:sz="8" w:color="305494"/>
              <w:right w:val="single" w:sz="8" w:color="305494"/>
            </w:tcBorders>
          </w:tcPr>
          <w:p>
            <w:pPr>
              <w:spacing w:after="0"/>
              <w:rPr>
                <w:sz w:val="18"/>
                <w:szCs w:val="18"/>
                <w:color w:val="auto"/>
              </w:rPr>
            </w:pPr>
          </w:p>
        </w:tc>
        <w:tc>
          <w:tcPr>
            <w:tcW w:w="2160" w:type="dxa"/>
            <w:vAlign w:val="bottom"/>
            <w:tcBorders>
              <w:bottom w:val="single" w:sz="8" w:color="305494"/>
              <w:right w:val="single" w:sz="8" w:color="305494"/>
            </w:tcBorders>
          </w:tcPr>
          <w:p>
            <w:pPr>
              <w:ind w:left="80"/>
              <w:spacing w:after="0"/>
              <w:rPr>
                <w:sz w:val="20"/>
                <w:szCs w:val="20"/>
                <w:color w:val="auto"/>
              </w:rPr>
            </w:pPr>
            <w:r>
              <w:rPr>
                <w:rFonts w:ascii="Times New Roman" w:cs="Times New Roman" w:eastAsia="Times New Roman" w:hAnsi="Times New Roman"/>
                <w:sz w:val="16"/>
                <w:szCs w:val="16"/>
                <w:color w:val="auto"/>
              </w:rPr>
              <w:t>proposal.</w:t>
            </w:r>
          </w:p>
        </w:tc>
        <w:tc>
          <w:tcPr>
            <w:tcW w:w="2160" w:type="dxa"/>
            <w:vAlign w:val="bottom"/>
            <w:tcBorders>
              <w:bottom w:val="single" w:sz="8" w:color="305494"/>
            </w:tcBorders>
          </w:tcPr>
          <w:p>
            <w:pPr>
              <w:spacing w:after="0"/>
              <w:rPr>
                <w:sz w:val="18"/>
                <w:szCs w:val="18"/>
                <w:color w:val="auto"/>
              </w:rPr>
            </w:pPr>
          </w:p>
        </w:tc>
        <w:tc>
          <w:tcPr>
            <w:tcW w:w="0" w:type="dxa"/>
            <w:vAlign w:val="bottom"/>
          </w:tcPr>
          <w:p>
            <w:pPr>
              <w:spacing w:after="0"/>
              <w:rPr>
                <w:sz w:val="1"/>
                <w:szCs w:val="1"/>
                <w:color w:val="auto"/>
              </w:rPr>
            </w:pPr>
          </w:p>
        </w:tc>
      </w:tr>
      <w:tr>
        <w:trPr>
          <w:trHeight w:val="332"/>
        </w:trPr>
        <w:tc>
          <w:tcPr>
            <w:tcW w:w="2320" w:type="dxa"/>
            <w:vAlign w:val="bottom"/>
          </w:tcPr>
          <w:p>
            <w:pPr>
              <w:spacing w:after="0"/>
              <w:rPr>
                <w:sz w:val="20"/>
                <w:szCs w:val="20"/>
                <w:color w:val="auto"/>
              </w:rPr>
            </w:pPr>
            <w:r>
              <w:rPr>
                <w:rFonts w:ascii="Arial" w:cs="Arial" w:eastAsia="Arial" w:hAnsi="Arial"/>
                <w:sz w:val="14"/>
                <w:szCs w:val="14"/>
                <w:b w:val="1"/>
                <w:bCs w:val="1"/>
                <w:color w:val="305494"/>
              </w:rPr>
              <w:t>2024 Proxy Statement</w:t>
            </w:r>
          </w:p>
        </w:tc>
        <w:tc>
          <w:tcPr>
            <w:tcW w:w="2180" w:type="dxa"/>
            <w:vAlign w:val="bottom"/>
          </w:tcPr>
          <w:p>
            <w:pPr>
              <w:spacing w:after="0"/>
              <w:rPr>
                <w:sz w:val="24"/>
                <w:szCs w:val="24"/>
                <w:color w:val="auto"/>
              </w:rPr>
            </w:pPr>
          </w:p>
        </w:tc>
        <w:tc>
          <w:tcPr>
            <w:tcW w:w="2200" w:type="dxa"/>
            <w:vAlign w:val="bottom"/>
          </w:tcPr>
          <w:p>
            <w:pPr>
              <w:ind w:left="1300"/>
              <w:spacing w:after="0"/>
              <w:rPr>
                <w:sz w:val="20"/>
                <w:szCs w:val="20"/>
                <w:color w:val="auto"/>
              </w:rPr>
            </w:pPr>
            <w:r>
              <w:rPr>
                <w:rFonts w:ascii="Arial" w:cs="Arial" w:eastAsia="Arial" w:hAnsi="Arial"/>
                <w:sz w:val="14"/>
                <w:szCs w:val="14"/>
                <w:b w:val="1"/>
                <w:bCs w:val="1"/>
                <w:color w:val="305494"/>
              </w:rPr>
              <w:t>5</w:t>
            </w:r>
          </w:p>
        </w:tc>
        <w:tc>
          <w:tcPr>
            <w:tcW w:w="21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-4747260</wp:posOffset>
            </wp:positionV>
            <wp:extent cx="82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-4730115</wp:posOffset>
            </wp:positionV>
            <wp:extent cx="82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-4712970</wp:posOffset>
            </wp:positionV>
            <wp:extent cx="82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-4695825</wp:posOffset>
            </wp:positionV>
            <wp:extent cx="82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-4678680</wp:posOffset>
            </wp:positionV>
            <wp:extent cx="82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-4661535</wp:posOffset>
            </wp:positionV>
            <wp:extent cx="82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-4644390</wp:posOffset>
            </wp:positionV>
            <wp:extent cx="82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-4627245</wp:posOffset>
            </wp:positionV>
            <wp:extent cx="82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-4610100</wp:posOffset>
            </wp:positionV>
            <wp:extent cx="82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-4592955</wp:posOffset>
            </wp:positionV>
            <wp:extent cx="825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-4575810</wp:posOffset>
            </wp:positionV>
            <wp:extent cx="82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-4558665</wp:posOffset>
            </wp:positionV>
            <wp:extent cx="82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-4541520</wp:posOffset>
            </wp:positionV>
            <wp:extent cx="82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-4524375</wp:posOffset>
            </wp:positionV>
            <wp:extent cx="82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-4507230</wp:posOffset>
            </wp:positionV>
            <wp:extent cx="825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-4490085</wp:posOffset>
            </wp:positionV>
            <wp:extent cx="82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-4472940</wp:posOffset>
            </wp:positionV>
            <wp:extent cx="82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-4455795</wp:posOffset>
            </wp:positionV>
            <wp:extent cx="825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-4438650</wp:posOffset>
            </wp:positionV>
            <wp:extent cx="82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-4421505</wp:posOffset>
            </wp:positionV>
            <wp:extent cx="82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-4404360</wp:posOffset>
            </wp:positionV>
            <wp:extent cx="82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-4387215</wp:posOffset>
            </wp:positionV>
            <wp:extent cx="82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-4370070</wp:posOffset>
            </wp:positionV>
            <wp:extent cx="825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-4352925</wp:posOffset>
            </wp:positionV>
            <wp:extent cx="82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-4335780</wp:posOffset>
            </wp:positionV>
            <wp:extent cx="82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-4318635</wp:posOffset>
            </wp:positionV>
            <wp:extent cx="82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-4301490</wp:posOffset>
            </wp:positionV>
            <wp:extent cx="82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-4284345</wp:posOffset>
            </wp:positionV>
            <wp:extent cx="825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-4267200</wp:posOffset>
            </wp:positionV>
            <wp:extent cx="82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-4250055</wp:posOffset>
            </wp:positionV>
            <wp:extent cx="82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-4232910</wp:posOffset>
            </wp:positionV>
            <wp:extent cx="82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-4215765</wp:posOffset>
            </wp:positionV>
            <wp:extent cx="82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-4198620</wp:posOffset>
            </wp:positionV>
            <wp:extent cx="825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-4181475</wp:posOffset>
            </wp:positionV>
            <wp:extent cx="82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-4164330</wp:posOffset>
            </wp:positionV>
            <wp:extent cx="82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-4147185</wp:posOffset>
            </wp:positionV>
            <wp:extent cx="825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-4130040</wp:posOffset>
            </wp:positionV>
            <wp:extent cx="82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-4112895</wp:posOffset>
            </wp:positionV>
            <wp:extent cx="825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-4095750</wp:posOffset>
            </wp:positionV>
            <wp:extent cx="82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-4078605</wp:posOffset>
            </wp:positionV>
            <wp:extent cx="82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-4061460</wp:posOffset>
            </wp:positionV>
            <wp:extent cx="82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-4044315</wp:posOffset>
            </wp:positionV>
            <wp:extent cx="82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-4027170</wp:posOffset>
            </wp:positionV>
            <wp:extent cx="825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-4010025</wp:posOffset>
            </wp:positionV>
            <wp:extent cx="82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-3992880</wp:posOffset>
            </wp:positionV>
            <wp:extent cx="825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-3975735</wp:posOffset>
            </wp:positionV>
            <wp:extent cx="825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-3958590</wp:posOffset>
            </wp:positionV>
            <wp:extent cx="82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-3941445</wp:posOffset>
            </wp:positionV>
            <wp:extent cx="825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-3924300</wp:posOffset>
            </wp:positionV>
            <wp:extent cx="82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-3907155</wp:posOffset>
            </wp:positionV>
            <wp:extent cx="825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-3890010</wp:posOffset>
            </wp:positionV>
            <wp:extent cx="82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-3872865</wp:posOffset>
            </wp:positionV>
            <wp:extent cx="825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-3855720</wp:posOffset>
            </wp:positionV>
            <wp:extent cx="825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-3838575</wp:posOffset>
            </wp:positionV>
            <wp:extent cx="82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-3821430</wp:posOffset>
            </wp:positionV>
            <wp:extent cx="82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-3804285</wp:posOffset>
            </wp:positionV>
            <wp:extent cx="82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-3787140</wp:posOffset>
            </wp:positionV>
            <wp:extent cx="82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-3769995</wp:posOffset>
            </wp:positionV>
            <wp:extent cx="825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-3752850</wp:posOffset>
            </wp:positionV>
            <wp:extent cx="825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-3735705</wp:posOffset>
            </wp:positionV>
            <wp:extent cx="825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-3718560</wp:posOffset>
            </wp:positionV>
            <wp:extent cx="82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-3701415</wp:posOffset>
            </wp:positionV>
            <wp:extent cx="825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-3684270</wp:posOffset>
            </wp:positionV>
            <wp:extent cx="825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-3667125</wp:posOffset>
            </wp:positionV>
            <wp:extent cx="82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-3649980</wp:posOffset>
            </wp:positionV>
            <wp:extent cx="825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-3632835</wp:posOffset>
            </wp:positionV>
            <wp:extent cx="82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-3615690</wp:posOffset>
            </wp:positionV>
            <wp:extent cx="825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-3598545</wp:posOffset>
            </wp:positionV>
            <wp:extent cx="825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-3581400</wp:posOffset>
            </wp:positionV>
            <wp:extent cx="82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-3564255</wp:posOffset>
            </wp:positionV>
            <wp:extent cx="825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-3547110</wp:posOffset>
            </wp:positionV>
            <wp:extent cx="82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-3529965</wp:posOffset>
            </wp:positionV>
            <wp:extent cx="825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-3512820</wp:posOffset>
            </wp:positionV>
            <wp:extent cx="825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-3495675</wp:posOffset>
            </wp:positionV>
            <wp:extent cx="825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-3478530</wp:posOffset>
            </wp:positionV>
            <wp:extent cx="825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-3461385</wp:posOffset>
            </wp:positionV>
            <wp:extent cx="82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-3444240</wp:posOffset>
            </wp:positionV>
            <wp:extent cx="825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-3427095</wp:posOffset>
            </wp:positionV>
            <wp:extent cx="825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-3409950</wp:posOffset>
            </wp:positionV>
            <wp:extent cx="825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-3392805</wp:posOffset>
            </wp:positionV>
            <wp:extent cx="825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-3375660</wp:posOffset>
            </wp:positionV>
            <wp:extent cx="825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-3358515</wp:posOffset>
            </wp:positionV>
            <wp:extent cx="825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-4747260</wp:posOffset>
            </wp:positionV>
            <wp:extent cx="825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-4730115</wp:posOffset>
            </wp:positionV>
            <wp:extent cx="825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-4712970</wp:posOffset>
            </wp:positionV>
            <wp:extent cx="82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-4695825</wp:posOffset>
            </wp:positionV>
            <wp:extent cx="825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-4678680</wp:posOffset>
            </wp:positionV>
            <wp:extent cx="825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-4661535</wp:posOffset>
            </wp:positionV>
            <wp:extent cx="825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-4644390</wp:posOffset>
            </wp:positionV>
            <wp:extent cx="825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-4627245</wp:posOffset>
            </wp:positionV>
            <wp:extent cx="82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-4610100</wp:posOffset>
            </wp:positionV>
            <wp:extent cx="82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-4592955</wp:posOffset>
            </wp:positionV>
            <wp:extent cx="825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-4575810</wp:posOffset>
            </wp:positionV>
            <wp:extent cx="825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-4558665</wp:posOffset>
            </wp:positionV>
            <wp:extent cx="82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-4541520</wp:posOffset>
            </wp:positionV>
            <wp:extent cx="82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-4524375</wp:posOffset>
            </wp:positionV>
            <wp:extent cx="82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-4507230</wp:posOffset>
            </wp:positionV>
            <wp:extent cx="825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-4490085</wp:posOffset>
            </wp:positionV>
            <wp:extent cx="825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-4472940</wp:posOffset>
            </wp:positionV>
            <wp:extent cx="82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-4455795</wp:posOffset>
            </wp:positionV>
            <wp:extent cx="825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-4438650</wp:posOffset>
            </wp:positionV>
            <wp:extent cx="82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-4421505</wp:posOffset>
            </wp:positionV>
            <wp:extent cx="825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-4404360</wp:posOffset>
            </wp:positionV>
            <wp:extent cx="82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-4387215</wp:posOffset>
            </wp:positionV>
            <wp:extent cx="825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-4370070</wp:posOffset>
            </wp:positionV>
            <wp:extent cx="825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-4352925</wp:posOffset>
            </wp:positionV>
            <wp:extent cx="825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-4335780</wp:posOffset>
            </wp:positionV>
            <wp:extent cx="82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-4318635</wp:posOffset>
            </wp:positionV>
            <wp:extent cx="825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-4301490</wp:posOffset>
            </wp:positionV>
            <wp:extent cx="82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-4284345</wp:posOffset>
            </wp:positionV>
            <wp:extent cx="825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-4267200</wp:posOffset>
            </wp:positionV>
            <wp:extent cx="825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-4250055</wp:posOffset>
            </wp:positionV>
            <wp:extent cx="825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-4232910</wp:posOffset>
            </wp:positionV>
            <wp:extent cx="825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-4215765</wp:posOffset>
            </wp:positionV>
            <wp:extent cx="82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-4198620</wp:posOffset>
            </wp:positionV>
            <wp:extent cx="825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-4181475</wp:posOffset>
            </wp:positionV>
            <wp:extent cx="825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-4164330</wp:posOffset>
            </wp:positionV>
            <wp:extent cx="825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-4147185</wp:posOffset>
            </wp:positionV>
            <wp:extent cx="825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-4130040</wp:posOffset>
            </wp:positionV>
            <wp:extent cx="825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-4112895</wp:posOffset>
            </wp:positionV>
            <wp:extent cx="825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-4095750</wp:posOffset>
            </wp:positionV>
            <wp:extent cx="825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-4078605</wp:posOffset>
            </wp:positionV>
            <wp:extent cx="825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-4061460</wp:posOffset>
            </wp:positionV>
            <wp:extent cx="825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-4044315</wp:posOffset>
            </wp:positionV>
            <wp:extent cx="82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-4027170</wp:posOffset>
            </wp:positionV>
            <wp:extent cx="825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-4010025</wp:posOffset>
            </wp:positionV>
            <wp:extent cx="825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-3992880</wp:posOffset>
            </wp:positionV>
            <wp:extent cx="825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-3975735</wp:posOffset>
            </wp:positionV>
            <wp:extent cx="825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-3958590</wp:posOffset>
            </wp:positionV>
            <wp:extent cx="82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-3941445</wp:posOffset>
            </wp:positionV>
            <wp:extent cx="825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-3924300</wp:posOffset>
            </wp:positionV>
            <wp:extent cx="825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-3907155</wp:posOffset>
            </wp:positionV>
            <wp:extent cx="825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-3890010</wp:posOffset>
            </wp:positionV>
            <wp:extent cx="82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-3872865</wp:posOffset>
            </wp:positionV>
            <wp:extent cx="825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-3855720</wp:posOffset>
            </wp:positionV>
            <wp:extent cx="825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-3838575</wp:posOffset>
            </wp:positionV>
            <wp:extent cx="825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-3821430</wp:posOffset>
            </wp:positionV>
            <wp:extent cx="825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-3804285</wp:posOffset>
            </wp:positionV>
            <wp:extent cx="825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-3787140</wp:posOffset>
            </wp:positionV>
            <wp:extent cx="825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-3769995</wp:posOffset>
            </wp:positionV>
            <wp:extent cx="825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-3752850</wp:posOffset>
            </wp:positionV>
            <wp:extent cx="825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-3735705</wp:posOffset>
            </wp:positionV>
            <wp:extent cx="825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-3718560</wp:posOffset>
            </wp:positionV>
            <wp:extent cx="825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-3701415</wp:posOffset>
            </wp:positionV>
            <wp:extent cx="825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-3684270</wp:posOffset>
            </wp:positionV>
            <wp:extent cx="825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-3667125</wp:posOffset>
            </wp:positionV>
            <wp:extent cx="825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-3649980</wp:posOffset>
            </wp:positionV>
            <wp:extent cx="825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-3632835</wp:posOffset>
            </wp:positionV>
            <wp:extent cx="825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-3615690</wp:posOffset>
            </wp:positionV>
            <wp:extent cx="825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-3598545</wp:posOffset>
            </wp:positionV>
            <wp:extent cx="825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-3581400</wp:posOffset>
            </wp:positionV>
            <wp:extent cx="825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-3564255</wp:posOffset>
            </wp:positionV>
            <wp:extent cx="825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-3547110</wp:posOffset>
            </wp:positionV>
            <wp:extent cx="825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-3529965</wp:posOffset>
            </wp:positionV>
            <wp:extent cx="825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-3512820</wp:posOffset>
            </wp:positionV>
            <wp:extent cx="825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-3495675</wp:posOffset>
            </wp:positionV>
            <wp:extent cx="825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-3478530</wp:posOffset>
            </wp:positionV>
            <wp:extent cx="825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-3461385</wp:posOffset>
            </wp:positionV>
            <wp:extent cx="825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-3444240</wp:posOffset>
            </wp:positionV>
            <wp:extent cx="825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-3427095</wp:posOffset>
            </wp:positionV>
            <wp:extent cx="825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-3409950</wp:posOffset>
            </wp:positionV>
            <wp:extent cx="825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-3392805</wp:posOffset>
            </wp:positionV>
            <wp:extent cx="825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-3375660</wp:posOffset>
            </wp:positionV>
            <wp:extent cx="825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-3358515</wp:posOffset>
            </wp:positionV>
            <wp:extent cx="825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-4747260</wp:posOffset>
            </wp:positionV>
            <wp:extent cx="825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-4730115</wp:posOffset>
            </wp:positionV>
            <wp:extent cx="825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-4712970</wp:posOffset>
            </wp:positionV>
            <wp:extent cx="825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-4695825</wp:posOffset>
            </wp:positionV>
            <wp:extent cx="825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-4678680</wp:posOffset>
            </wp:positionV>
            <wp:extent cx="825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-4661535</wp:posOffset>
            </wp:positionV>
            <wp:extent cx="825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-4644390</wp:posOffset>
            </wp:positionV>
            <wp:extent cx="825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-4627245</wp:posOffset>
            </wp:positionV>
            <wp:extent cx="825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-4610100</wp:posOffset>
            </wp:positionV>
            <wp:extent cx="825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-4592955</wp:posOffset>
            </wp:positionV>
            <wp:extent cx="825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-4575810</wp:posOffset>
            </wp:positionV>
            <wp:extent cx="825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-4558665</wp:posOffset>
            </wp:positionV>
            <wp:extent cx="825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-4541520</wp:posOffset>
            </wp:positionV>
            <wp:extent cx="825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-4524375</wp:posOffset>
            </wp:positionV>
            <wp:extent cx="825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-4507230</wp:posOffset>
            </wp:positionV>
            <wp:extent cx="825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-4490085</wp:posOffset>
            </wp:positionV>
            <wp:extent cx="825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-4472940</wp:posOffset>
            </wp:positionV>
            <wp:extent cx="825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-4455795</wp:posOffset>
            </wp:positionV>
            <wp:extent cx="825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-4438650</wp:posOffset>
            </wp:positionV>
            <wp:extent cx="825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-4421505</wp:posOffset>
            </wp:positionV>
            <wp:extent cx="825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-4404360</wp:posOffset>
            </wp:positionV>
            <wp:extent cx="825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-4387215</wp:posOffset>
            </wp:positionV>
            <wp:extent cx="825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-4370070</wp:posOffset>
            </wp:positionV>
            <wp:extent cx="825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-4352925</wp:posOffset>
            </wp:positionV>
            <wp:extent cx="825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-4335780</wp:posOffset>
            </wp:positionV>
            <wp:extent cx="825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-4318635</wp:posOffset>
            </wp:positionV>
            <wp:extent cx="825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-4301490</wp:posOffset>
            </wp:positionV>
            <wp:extent cx="825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-4284345</wp:posOffset>
            </wp:positionV>
            <wp:extent cx="825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-4267200</wp:posOffset>
            </wp:positionV>
            <wp:extent cx="825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-4250055</wp:posOffset>
            </wp:positionV>
            <wp:extent cx="825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-4232910</wp:posOffset>
            </wp:positionV>
            <wp:extent cx="825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-4215765</wp:posOffset>
            </wp:positionV>
            <wp:extent cx="825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-4198620</wp:posOffset>
            </wp:positionV>
            <wp:extent cx="825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-4181475</wp:posOffset>
            </wp:positionV>
            <wp:extent cx="825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-4164330</wp:posOffset>
            </wp:positionV>
            <wp:extent cx="825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-4147185</wp:posOffset>
            </wp:positionV>
            <wp:extent cx="825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-4130040</wp:posOffset>
            </wp:positionV>
            <wp:extent cx="825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-4112895</wp:posOffset>
            </wp:positionV>
            <wp:extent cx="825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-4095750</wp:posOffset>
            </wp:positionV>
            <wp:extent cx="825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-4078605</wp:posOffset>
            </wp:positionV>
            <wp:extent cx="825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-4061460</wp:posOffset>
            </wp:positionV>
            <wp:extent cx="825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-4044315</wp:posOffset>
            </wp:positionV>
            <wp:extent cx="825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-4027170</wp:posOffset>
            </wp:positionV>
            <wp:extent cx="825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-4010025</wp:posOffset>
            </wp:positionV>
            <wp:extent cx="825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-3992880</wp:posOffset>
            </wp:positionV>
            <wp:extent cx="825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-3975735</wp:posOffset>
            </wp:positionV>
            <wp:extent cx="825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-3958590</wp:posOffset>
            </wp:positionV>
            <wp:extent cx="825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-3941445</wp:posOffset>
            </wp:positionV>
            <wp:extent cx="825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-3924300</wp:posOffset>
            </wp:positionV>
            <wp:extent cx="825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-3907155</wp:posOffset>
            </wp:positionV>
            <wp:extent cx="825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-3890010</wp:posOffset>
            </wp:positionV>
            <wp:extent cx="825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-3872865</wp:posOffset>
            </wp:positionV>
            <wp:extent cx="825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-3855720</wp:posOffset>
            </wp:positionV>
            <wp:extent cx="825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-3838575</wp:posOffset>
            </wp:positionV>
            <wp:extent cx="825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-3821430</wp:posOffset>
            </wp:positionV>
            <wp:extent cx="825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-3804285</wp:posOffset>
            </wp:positionV>
            <wp:extent cx="825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-3787140</wp:posOffset>
            </wp:positionV>
            <wp:extent cx="825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-3769995</wp:posOffset>
            </wp:positionV>
            <wp:extent cx="825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-3752850</wp:posOffset>
            </wp:positionV>
            <wp:extent cx="825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-3735705</wp:posOffset>
            </wp:positionV>
            <wp:extent cx="825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-3718560</wp:posOffset>
            </wp:positionV>
            <wp:extent cx="825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-3701415</wp:posOffset>
            </wp:positionV>
            <wp:extent cx="825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-3684270</wp:posOffset>
            </wp:positionV>
            <wp:extent cx="825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-3667125</wp:posOffset>
            </wp:positionV>
            <wp:extent cx="825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-3649980</wp:posOffset>
            </wp:positionV>
            <wp:extent cx="825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-3632835</wp:posOffset>
            </wp:positionV>
            <wp:extent cx="825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-3615690</wp:posOffset>
            </wp:positionV>
            <wp:extent cx="825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-3598545</wp:posOffset>
            </wp:positionV>
            <wp:extent cx="825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-3581400</wp:posOffset>
            </wp:positionV>
            <wp:extent cx="825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-3564255</wp:posOffset>
            </wp:positionV>
            <wp:extent cx="825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-3547110</wp:posOffset>
            </wp:positionV>
            <wp:extent cx="825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-3529965</wp:posOffset>
            </wp:positionV>
            <wp:extent cx="825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-3512820</wp:posOffset>
            </wp:positionV>
            <wp:extent cx="825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-3495675</wp:posOffset>
            </wp:positionV>
            <wp:extent cx="825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-3478530</wp:posOffset>
            </wp:positionV>
            <wp:extent cx="825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-3461385</wp:posOffset>
            </wp:positionV>
            <wp:extent cx="825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-3444240</wp:posOffset>
            </wp:positionV>
            <wp:extent cx="825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-3427095</wp:posOffset>
            </wp:positionV>
            <wp:extent cx="825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-3409950</wp:posOffset>
            </wp:positionV>
            <wp:extent cx="825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-3392805</wp:posOffset>
            </wp:positionV>
            <wp:extent cx="825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-3375660</wp:posOffset>
            </wp:positionV>
            <wp:extent cx="825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-3358515</wp:posOffset>
            </wp:positionV>
            <wp:extent cx="825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-4747260</wp:posOffset>
            </wp:positionV>
            <wp:extent cx="889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-4730115</wp:posOffset>
            </wp:positionV>
            <wp:extent cx="889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-4712970</wp:posOffset>
            </wp:positionV>
            <wp:extent cx="889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-4695825</wp:posOffset>
            </wp:positionV>
            <wp:extent cx="889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-4678680</wp:posOffset>
            </wp:positionV>
            <wp:extent cx="889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-4661535</wp:posOffset>
            </wp:positionV>
            <wp:extent cx="889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-4644390</wp:posOffset>
            </wp:positionV>
            <wp:extent cx="889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-4627245</wp:posOffset>
            </wp:positionV>
            <wp:extent cx="88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-4610100</wp:posOffset>
            </wp:positionV>
            <wp:extent cx="889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-4592955</wp:posOffset>
            </wp:positionV>
            <wp:extent cx="889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-4575810</wp:posOffset>
            </wp:positionV>
            <wp:extent cx="889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-4558665</wp:posOffset>
            </wp:positionV>
            <wp:extent cx="889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-4541520</wp:posOffset>
            </wp:positionV>
            <wp:extent cx="889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-4524375</wp:posOffset>
            </wp:positionV>
            <wp:extent cx="889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-4507230</wp:posOffset>
            </wp:positionV>
            <wp:extent cx="889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-4490085</wp:posOffset>
            </wp:positionV>
            <wp:extent cx="889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-4472940</wp:posOffset>
            </wp:positionV>
            <wp:extent cx="889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-4455795</wp:posOffset>
            </wp:positionV>
            <wp:extent cx="889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-4438650</wp:posOffset>
            </wp:positionV>
            <wp:extent cx="889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-4421505</wp:posOffset>
            </wp:positionV>
            <wp:extent cx="889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-4404360</wp:posOffset>
            </wp:positionV>
            <wp:extent cx="889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-4387215</wp:posOffset>
            </wp:positionV>
            <wp:extent cx="889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-4370070</wp:posOffset>
            </wp:positionV>
            <wp:extent cx="889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-4352925</wp:posOffset>
            </wp:positionV>
            <wp:extent cx="889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-4335780</wp:posOffset>
            </wp:positionV>
            <wp:extent cx="889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-4318635</wp:posOffset>
            </wp:positionV>
            <wp:extent cx="889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-4301490</wp:posOffset>
            </wp:positionV>
            <wp:extent cx="889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-4284345</wp:posOffset>
            </wp:positionV>
            <wp:extent cx="889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-4267200</wp:posOffset>
            </wp:positionV>
            <wp:extent cx="889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-4250055</wp:posOffset>
            </wp:positionV>
            <wp:extent cx="889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-4232910</wp:posOffset>
            </wp:positionV>
            <wp:extent cx="889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-4215765</wp:posOffset>
            </wp:positionV>
            <wp:extent cx="889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-4198620</wp:posOffset>
            </wp:positionV>
            <wp:extent cx="889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-4181475</wp:posOffset>
            </wp:positionV>
            <wp:extent cx="88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-4164330</wp:posOffset>
            </wp:positionV>
            <wp:extent cx="889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-4147185</wp:posOffset>
            </wp:positionV>
            <wp:extent cx="889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-4130040</wp:posOffset>
            </wp:positionV>
            <wp:extent cx="889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-4112895</wp:posOffset>
            </wp:positionV>
            <wp:extent cx="889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-4095750</wp:posOffset>
            </wp:positionV>
            <wp:extent cx="889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-4078605</wp:posOffset>
            </wp:positionV>
            <wp:extent cx="889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-4061460</wp:posOffset>
            </wp:positionV>
            <wp:extent cx="889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-4044315</wp:posOffset>
            </wp:positionV>
            <wp:extent cx="889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-4027170</wp:posOffset>
            </wp:positionV>
            <wp:extent cx="889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-4010025</wp:posOffset>
            </wp:positionV>
            <wp:extent cx="889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-3992880</wp:posOffset>
            </wp:positionV>
            <wp:extent cx="889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-3975735</wp:posOffset>
            </wp:positionV>
            <wp:extent cx="889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-3958590</wp:posOffset>
            </wp:positionV>
            <wp:extent cx="889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-3941445</wp:posOffset>
            </wp:positionV>
            <wp:extent cx="889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-3924300</wp:posOffset>
            </wp:positionV>
            <wp:extent cx="889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-3907155</wp:posOffset>
            </wp:positionV>
            <wp:extent cx="889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-3890010</wp:posOffset>
            </wp:positionV>
            <wp:extent cx="889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-3872865</wp:posOffset>
            </wp:positionV>
            <wp:extent cx="889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-3855720</wp:posOffset>
            </wp:positionV>
            <wp:extent cx="889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-3838575</wp:posOffset>
            </wp:positionV>
            <wp:extent cx="889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-3821430</wp:posOffset>
            </wp:positionV>
            <wp:extent cx="889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-3804285</wp:posOffset>
            </wp:positionV>
            <wp:extent cx="889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-3787140</wp:posOffset>
            </wp:positionV>
            <wp:extent cx="889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-3769995</wp:posOffset>
            </wp:positionV>
            <wp:extent cx="889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-3752850</wp:posOffset>
            </wp:positionV>
            <wp:extent cx="889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-3735705</wp:posOffset>
            </wp:positionV>
            <wp:extent cx="889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-3718560</wp:posOffset>
            </wp:positionV>
            <wp:extent cx="889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-3701415</wp:posOffset>
            </wp:positionV>
            <wp:extent cx="889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-3684270</wp:posOffset>
            </wp:positionV>
            <wp:extent cx="889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-3667125</wp:posOffset>
            </wp:positionV>
            <wp:extent cx="889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-3649980</wp:posOffset>
            </wp:positionV>
            <wp:extent cx="889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-3632835</wp:posOffset>
            </wp:positionV>
            <wp:extent cx="889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-3615690</wp:posOffset>
            </wp:positionV>
            <wp:extent cx="889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-3598545</wp:posOffset>
            </wp:positionV>
            <wp:extent cx="889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-3581400</wp:posOffset>
            </wp:positionV>
            <wp:extent cx="889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-3564255</wp:posOffset>
            </wp:positionV>
            <wp:extent cx="889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-3547110</wp:posOffset>
            </wp:positionV>
            <wp:extent cx="889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-3529965</wp:posOffset>
            </wp:positionV>
            <wp:extent cx="889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-3512820</wp:posOffset>
            </wp:positionV>
            <wp:extent cx="889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-3495675</wp:posOffset>
            </wp:positionV>
            <wp:extent cx="889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-3478530</wp:posOffset>
            </wp:positionV>
            <wp:extent cx="889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-3461385</wp:posOffset>
            </wp:positionV>
            <wp:extent cx="889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-3444240</wp:posOffset>
            </wp:positionV>
            <wp:extent cx="889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-3427095</wp:posOffset>
            </wp:positionV>
            <wp:extent cx="889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-3409950</wp:posOffset>
            </wp:positionV>
            <wp:extent cx="889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-3392805</wp:posOffset>
            </wp:positionV>
            <wp:extent cx="889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-3375660</wp:posOffset>
            </wp:positionV>
            <wp:extent cx="889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-3358515</wp:posOffset>
            </wp:positionV>
            <wp:extent cx="889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Important Information About Our Virtual Annual Meeting:</w:t>
      </w:r>
    </w:p>
    <w:p>
      <w:pPr>
        <w:spacing w:after="0" w:line="252" w:lineRule="exact"/>
        <w:rPr>
          <w:sz w:val="20"/>
          <w:szCs w:val="20"/>
          <w:color w:val="auto"/>
        </w:rPr>
      </w:pPr>
    </w:p>
    <w:p>
      <w:pPr>
        <w:ind w:left="440" w:hanging="324"/>
        <w:spacing w:after="0" w:line="262" w:lineRule="auto"/>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305494"/>
        </w:rPr>
        <w:t xml:space="preserve">Why is the Annual Meeting being held in a virtual format this year? </w:t>
      </w:r>
      <w:r>
        <w:rPr>
          <w:rFonts w:ascii="Times New Roman" w:cs="Times New Roman" w:eastAsia="Times New Roman" w:hAnsi="Times New Roman"/>
          <w:sz w:val="18"/>
          <w:szCs w:val="18"/>
          <w:color w:val="000000"/>
        </w:rPr>
        <w:t>The Annual Meeting will be held in a virtual meeting format via live audio</w:t>
      </w:r>
      <w:r>
        <w:rPr>
          <w:rFonts w:ascii="Times New Roman" w:cs="Times New Roman" w:eastAsia="Times New Roman" w:hAnsi="Times New Roman"/>
          <w:sz w:val="18"/>
          <w:szCs w:val="18"/>
          <w:b w:val="1"/>
          <w:bCs w:val="1"/>
          <w:color w:val="305494"/>
        </w:rPr>
        <w:t xml:space="preserve"> </w:t>
      </w:r>
      <w:r>
        <w:rPr>
          <w:rFonts w:ascii="Times New Roman" w:cs="Times New Roman" w:eastAsia="Times New Roman" w:hAnsi="Times New Roman"/>
          <w:sz w:val="18"/>
          <w:szCs w:val="18"/>
          <w:color w:val="000000"/>
        </w:rPr>
        <w:t>webcast, and will provide access to the Annual Meeting for our stockholders regardless of geographic location. We have designed our virtual format to help ensure that our stockholders who attend the Annual Meeting virtually will be afforded similar rights and opportunities to participate as they would at an in-person meeting.</w:t>
      </w:r>
    </w:p>
    <w:p>
      <w:pPr>
        <w:spacing w:after="0" w:line="203" w:lineRule="exact"/>
        <w:rPr>
          <w:rFonts w:ascii="Times New Roman" w:cs="Times New Roman" w:eastAsia="Times New Roman" w:hAnsi="Times New Roman"/>
          <w:sz w:val="18"/>
          <w:szCs w:val="18"/>
          <w:color w:val="auto"/>
        </w:rPr>
      </w:pPr>
    </w:p>
    <w:p>
      <w:pPr>
        <w:ind w:left="440" w:right="160" w:hanging="324"/>
        <w:spacing w:after="0" w:line="268" w:lineRule="auto"/>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305494"/>
        </w:rPr>
        <w:t xml:space="preserve">How can I attend Annual Meeting online? </w:t>
      </w:r>
      <w:r>
        <w:rPr>
          <w:rFonts w:ascii="Times New Roman" w:cs="Times New Roman" w:eastAsia="Times New Roman" w:hAnsi="Times New Roman"/>
          <w:sz w:val="18"/>
          <w:szCs w:val="18"/>
          <w:color w:val="000000"/>
        </w:rPr>
        <w:t>To join the Annual Meeting online, visit</w:t>
      </w:r>
      <w:r>
        <w:rPr>
          <w:rFonts w:ascii="Times New Roman" w:cs="Times New Roman" w:eastAsia="Times New Roman" w:hAnsi="Times New Roman"/>
          <w:sz w:val="18"/>
          <w:szCs w:val="18"/>
          <w:b w:val="1"/>
          <w:bCs w:val="1"/>
          <w:color w:val="305494"/>
        </w:rPr>
        <w:t xml:space="preserve"> </w:t>
      </w:r>
      <w:r>
        <w:rPr>
          <w:rFonts w:ascii="Times New Roman" w:cs="Times New Roman" w:eastAsia="Times New Roman" w:hAnsi="Times New Roman"/>
          <w:sz w:val="18"/>
          <w:szCs w:val="18"/>
          <w:u w:val="single" w:color="auto"/>
          <w:color w:val="305494"/>
        </w:rPr>
        <w:t>www.proxydocs.com/BDSX</w:t>
      </w:r>
      <w:r>
        <w:rPr>
          <w:rFonts w:ascii="Times New Roman" w:cs="Times New Roman" w:eastAsia="Times New Roman" w:hAnsi="Times New Roman"/>
          <w:sz w:val="18"/>
          <w:szCs w:val="18"/>
          <w:b w:val="1"/>
          <w:bCs w:val="1"/>
          <w:color w:val="305494"/>
        </w:rPr>
        <w:t xml:space="preserve"> </w:t>
      </w:r>
      <w:r>
        <w:rPr>
          <w:rFonts w:ascii="Times New Roman" w:cs="Times New Roman" w:eastAsia="Times New Roman" w:hAnsi="Times New Roman"/>
          <w:sz w:val="18"/>
          <w:szCs w:val="18"/>
          <w:color w:val="000000"/>
        </w:rPr>
        <w:t>and register using your control</w:t>
      </w:r>
      <w:r>
        <w:rPr>
          <w:rFonts w:ascii="Times New Roman" w:cs="Times New Roman" w:eastAsia="Times New Roman" w:hAnsi="Times New Roman"/>
          <w:sz w:val="18"/>
          <w:szCs w:val="18"/>
          <w:b w:val="1"/>
          <w:bCs w:val="1"/>
          <w:color w:val="305494"/>
        </w:rPr>
        <w:t xml:space="preserve"> </w:t>
      </w:r>
      <w:r>
        <w:rPr>
          <w:rFonts w:ascii="Times New Roman" w:cs="Times New Roman" w:eastAsia="Times New Roman" w:hAnsi="Times New Roman"/>
          <w:sz w:val="18"/>
          <w:szCs w:val="18"/>
          <w:color w:val="000000"/>
        </w:rPr>
        <w:t>number on your proxy card or on the instructions that accompanied your Proxy Materials, and following the instructions received via email, including a unique link that will allow you access to the Annual Meeting, to vote, and submit questions during the meeting.</w:t>
      </w:r>
    </w:p>
    <w:p>
      <w:pPr>
        <w:spacing w:after="0" w:line="197" w:lineRule="exact"/>
        <w:rPr>
          <w:rFonts w:ascii="Times New Roman" w:cs="Times New Roman" w:eastAsia="Times New Roman" w:hAnsi="Times New Roman"/>
          <w:sz w:val="18"/>
          <w:szCs w:val="18"/>
          <w:color w:val="auto"/>
        </w:rPr>
      </w:pPr>
    </w:p>
    <w:p>
      <w:pPr>
        <w:ind w:left="440" w:right="40" w:hanging="324"/>
        <w:spacing w:after="0" w:line="268" w:lineRule="auto"/>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305494"/>
        </w:rPr>
        <w:t xml:space="preserve">When can I join the virtual Annual Meeting? </w:t>
      </w:r>
      <w:r>
        <w:rPr>
          <w:rFonts w:ascii="Times New Roman" w:cs="Times New Roman" w:eastAsia="Times New Roman" w:hAnsi="Times New Roman"/>
          <w:sz w:val="18"/>
          <w:szCs w:val="18"/>
          <w:color w:val="000000"/>
        </w:rPr>
        <w:t>The meeting will begin promptly at 1:00 p.m. Mountain Time on Tuesday, May 21, 2024. You may</w:t>
      </w:r>
      <w:r>
        <w:rPr>
          <w:rFonts w:ascii="Times New Roman" w:cs="Times New Roman" w:eastAsia="Times New Roman" w:hAnsi="Times New Roman"/>
          <w:sz w:val="18"/>
          <w:szCs w:val="18"/>
          <w:b w:val="1"/>
          <w:bCs w:val="1"/>
          <w:color w:val="305494"/>
        </w:rPr>
        <w:t xml:space="preserve"> </w:t>
      </w:r>
      <w:r>
        <w:rPr>
          <w:rFonts w:ascii="Times New Roman" w:cs="Times New Roman" w:eastAsia="Times New Roman" w:hAnsi="Times New Roman"/>
          <w:sz w:val="18"/>
          <w:szCs w:val="18"/>
          <w:color w:val="000000"/>
        </w:rPr>
        <w:t>access the meeting platform 15 minutes earlier, and we encourage you to join in advance of the meeting start time to allow sufficient time to log in and confirm your connection and audio are working properly.</w:t>
      </w:r>
    </w:p>
    <w:p>
      <w:pPr>
        <w:spacing w:after="0" w:line="197" w:lineRule="exact"/>
        <w:rPr>
          <w:rFonts w:ascii="Times New Roman" w:cs="Times New Roman" w:eastAsia="Times New Roman" w:hAnsi="Times New Roman"/>
          <w:sz w:val="18"/>
          <w:szCs w:val="18"/>
          <w:color w:val="auto"/>
        </w:rPr>
      </w:pPr>
    </w:p>
    <w:p>
      <w:pPr>
        <w:ind w:left="440" w:right="240" w:hanging="324"/>
        <w:spacing w:after="0" w:line="259" w:lineRule="auto"/>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305494"/>
        </w:rPr>
        <w:t xml:space="preserve">Can I ask questions during the virtual Annual Meeting? </w:t>
      </w:r>
      <w:r>
        <w:rPr>
          <w:rFonts w:ascii="Times New Roman" w:cs="Times New Roman" w:eastAsia="Times New Roman" w:hAnsi="Times New Roman"/>
          <w:sz w:val="18"/>
          <w:szCs w:val="18"/>
          <w:color w:val="000000"/>
        </w:rPr>
        <w:t>Yes. If you are logged in as a “stockholder” at the virtual Annual Meeting, you will</w:t>
      </w:r>
      <w:r>
        <w:rPr>
          <w:rFonts w:ascii="Times New Roman" w:cs="Times New Roman" w:eastAsia="Times New Roman" w:hAnsi="Times New Roman"/>
          <w:sz w:val="18"/>
          <w:szCs w:val="18"/>
          <w:b w:val="1"/>
          <w:bCs w:val="1"/>
          <w:color w:val="305494"/>
        </w:rPr>
        <w:t xml:space="preserve"> </w:t>
      </w:r>
      <w:r>
        <w:rPr>
          <w:rFonts w:ascii="Times New Roman" w:cs="Times New Roman" w:eastAsia="Times New Roman" w:hAnsi="Times New Roman"/>
          <w:sz w:val="18"/>
          <w:szCs w:val="18"/>
          <w:color w:val="000000"/>
        </w:rPr>
        <w:t>have an opportunity to submit questions live via the Internet during a designated portion of the virtual Annual Meeting. Once you are logged in, type your question into the question box and click “submit.” Subject to time constraints, we intend to answer questions pertinent to the Company and meeting matters submitted by stockholders during the Annual Meeting that comply with our rules of conduct for the Annual Meeting, which will be posted on the meeting website during the meeting.</w:t>
      </w:r>
    </w:p>
    <w:p>
      <w:pPr>
        <w:spacing w:after="0" w:line="206" w:lineRule="exact"/>
        <w:rPr>
          <w:rFonts w:ascii="Times New Roman" w:cs="Times New Roman" w:eastAsia="Times New Roman" w:hAnsi="Times New Roman"/>
          <w:sz w:val="18"/>
          <w:szCs w:val="18"/>
          <w:color w:val="auto"/>
        </w:rPr>
      </w:pPr>
    </w:p>
    <w:p>
      <w:pPr>
        <w:ind w:left="440" w:right="20" w:hanging="324"/>
        <w:spacing w:after="0" w:line="268" w:lineRule="auto"/>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305494"/>
        </w:rPr>
        <w:t xml:space="preserve">How do I vote during the virtual Annual Meeting? </w:t>
      </w:r>
      <w:r>
        <w:rPr>
          <w:rFonts w:ascii="Times New Roman" w:cs="Times New Roman" w:eastAsia="Times New Roman" w:hAnsi="Times New Roman"/>
          <w:sz w:val="18"/>
          <w:szCs w:val="18"/>
          <w:color w:val="000000"/>
        </w:rPr>
        <w:t>You will have an opportunity to vote your shares electronically during a designated portion of</w:t>
      </w:r>
      <w:r>
        <w:rPr>
          <w:rFonts w:ascii="Times New Roman" w:cs="Times New Roman" w:eastAsia="Times New Roman" w:hAnsi="Times New Roman"/>
          <w:sz w:val="18"/>
          <w:szCs w:val="18"/>
          <w:b w:val="1"/>
          <w:bCs w:val="1"/>
          <w:color w:val="305494"/>
        </w:rPr>
        <w:t xml:space="preserve"> </w:t>
      </w:r>
      <w:r>
        <w:rPr>
          <w:rFonts w:ascii="Times New Roman" w:cs="Times New Roman" w:eastAsia="Times New Roman" w:hAnsi="Times New Roman"/>
          <w:sz w:val="18"/>
          <w:szCs w:val="18"/>
          <w:color w:val="000000"/>
        </w:rPr>
        <w:t>the virtual Annual Meeting after logging in. Whether or not you plan to join the Annual Meeting, we encourage you to vote and submit your proxy in advance of the meeting by one of the methods described in these Proxy Materials.</w:t>
      </w:r>
    </w:p>
    <w:p>
      <w:pPr>
        <w:spacing w:after="0" w:line="197" w:lineRule="exact"/>
        <w:rPr>
          <w:rFonts w:ascii="Times New Roman" w:cs="Times New Roman" w:eastAsia="Times New Roman" w:hAnsi="Times New Roman"/>
          <w:sz w:val="18"/>
          <w:szCs w:val="18"/>
          <w:color w:val="auto"/>
        </w:rPr>
      </w:pPr>
    </w:p>
    <w:p>
      <w:pPr>
        <w:ind w:left="440" w:right="180" w:hanging="324"/>
        <w:spacing w:after="0" w:line="268" w:lineRule="auto"/>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305494"/>
        </w:rPr>
        <w:t xml:space="preserve">What if I have technical difficulties? </w:t>
      </w:r>
      <w:r>
        <w:rPr>
          <w:rFonts w:ascii="Times New Roman" w:cs="Times New Roman" w:eastAsia="Times New Roman" w:hAnsi="Times New Roman"/>
          <w:sz w:val="18"/>
          <w:szCs w:val="18"/>
          <w:color w:val="000000"/>
        </w:rPr>
        <w:t>On the day of the Annual Meeting, if you have trouble accessing the virtual meeting platform or encounter</w:t>
      </w:r>
      <w:r>
        <w:rPr>
          <w:rFonts w:ascii="Times New Roman" w:cs="Times New Roman" w:eastAsia="Times New Roman" w:hAnsi="Times New Roman"/>
          <w:sz w:val="18"/>
          <w:szCs w:val="18"/>
          <w:b w:val="1"/>
          <w:bCs w:val="1"/>
          <w:color w:val="305494"/>
        </w:rPr>
        <w:t xml:space="preserve"> </w:t>
      </w:r>
      <w:r>
        <w:rPr>
          <w:rFonts w:ascii="Times New Roman" w:cs="Times New Roman" w:eastAsia="Times New Roman" w:hAnsi="Times New Roman"/>
          <w:sz w:val="18"/>
          <w:szCs w:val="18"/>
          <w:color w:val="000000"/>
        </w:rPr>
        <w:t>other technical difficulties with the platform before or during the meeting, please call the technical support number provided in your email instructions.</w:t>
      </w:r>
    </w:p>
    <w:p>
      <w:pPr>
        <w:spacing w:after="0" w:line="197" w:lineRule="exact"/>
        <w:rPr>
          <w:rFonts w:ascii="Times New Roman" w:cs="Times New Roman" w:eastAsia="Times New Roman" w:hAnsi="Times New Roman"/>
          <w:sz w:val="18"/>
          <w:szCs w:val="18"/>
          <w:color w:val="auto"/>
        </w:rPr>
      </w:pPr>
    </w:p>
    <w:p>
      <w:pPr>
        <w:ind w:left="440" w:right="220" w:hanging="324"/>
        <w:spacing w:after="0" w:line="268" w:lineRule="auto"/>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305494"/>
        </w:rPr>
        <w:t xml:space="preserve">Will a list of stockholders be available for inspection prior to and during the meeting? </w:t>
      </w:r>
      <w:r>
        <w:rPr>
          <w:rFonts w:ascii="Times New Roman" w:cs="Times New Roman" w:eastAsia="Times New Roman" w:hAnsi="Times New Roman"/>
          <w:sz w:val="18"/>
          <w:szCs w:val="18"/>
          <w:color w:val="000000"/>
        </w:rPr>
        <w:t>Yes. A complete list of stockholders of record will be</w:t>
      </w:r>
      <w:r>
        <w:rPr>
          <w:rFonts w:ascii="Times New Roman" w:cs="Times New Roman" w:eastAsia="Times New Roman" w:hAnsi="Times New Roman"/>
          <w:sz w:val="18"/>
          <w:szCs w:val="18"/>
          <w:b w:val="1"/>
          <w:bCs w:val="1"/>
          <w:color w:val="305494"/>
        </w:rPr>
        <w:t xml:space="preserve"> </w:t>
      </w:r>
      <w:r>
        <w:rPr>
          <w:rFonts w:ascii="Times New Roman" w:cs="Times New Roman" w:eastAsia="Times New Roman" w:hAnsi="Times New Roman"/>
          <w:sz w:val="18"/>
          <w:szCs w:val="18"/>
          <w:color w:val="000000"/>
        </w:rPr>
        <w:t>available for inspection, by appointment only, by any stockholder for at least ten (10) days prior to the Annual Meeting during ordinary business hours at our headquarters located at 919 West Dillon Rd., Louisville, CO 80027.</w:t>
      </w:r>
    </w:p>
    <w:p>
      <w:pPr>
        <w:spacing w:after="0" w:line="197" w:lineRule="exact"/>
        <w:rPr>
          <w:rFonts w:ascii="Times New Roman" w:cs="Times New Roman" w:eastAsia="Times New Roman" w:hAnsi="Times New Roman"/>
          <w:sz w:val="18"/>
          <w:szCs w:val="18"/>
          <w:color w:val="auto"/>
        </w:rPr>
      </w:pPr>
    </w:p>
    <w:p>
      <w:pPr>
        <w:ind w:left="440" w:right="1220" w:hanging="324"/>
        <w:spacing w:after="0" w:line="286" w:lineRule="auto"/>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305494"/>
        </w:rPr>
        <w:t xml:space="preserve">Will a recording of the meeting be available? </w:t>
      </w:r>
      <w:r>
        <w:rPr>
          <w:rFonts w:ascii="Times New Roman" w:cs="Times New Roman" w:eastAsia="Times New Roman" w:hAnsi="Times New Roman"/>
          <w:sz w:val="18"/>
          <w:szCs w:val="18"/>
          <w:color w:val="000000"/>
        </w:rPr>
        <w:t>Yes, following the Annual Meeting, a recording of the meeting will be available on</w:t>
      </w:r>
      <w:r>
        <w:rPr>
          <w:rFonts w:ascii="Times New Roman" w:cs="Times New Roman" w:eastAsia="Times New Roman" w:hAnsi="Times New Roman"/>
          <w:sz w:val="18"/>
          <w:szCs w:val="18"/>
          <w:b w:val="1"/>
          <w:bCs w:val="1"/>
          <w:color w:val="305494"/>
        </w:rPr>
        <w:t xml:space="preserve"> </w:t>
      </w:r>
      <w:r>
        <w:rPr>
          <w:rFonts w:ascii="Times New Roman" w:cs="Times New Roman" w:eastAsia="Times New Roman" w:hAnsi="Times New Roman"/>
          <w:sz w:val="18"/>
          <w:szCs w:val="18"/>
          <w:u w:val="single" w:color="auto"/>
          <w:color w:val="2E65AF"/>
        </w:rPr>
        <w:t>www.proxydocs.com/BDSX</w:t>
      </w:r>
      <w:r>
        <w:rPr>
          <w:rFonts w:ascii="Times New Roman" w:cs="Times New Roman" w:eastAsia="Times New Roman" w:hAnsi="Times New Roman"/>
          <w:sz w:val="18"/>
          <w:szCs w:val="18"/>
          <w:color w:val="2E65AF"/>
        </w:rPr>
        <w:t xml:space="preserve"> </w:t>
      </w:r>
      <w:r>
        <w:rPr>
          <w:rFonts w:ascii="Times New Roman" w:cs="Times New Roman" w:eastAsia="Times New Roman" w:hAnsi="Times New Roman"/>
          <w:sz w:val="18"/>
          <w:szCs w:val="18"/>
          <w:color w:val="000000"/>
        </w:rPr>
        <w:t>for one year following the meeting date.</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Who will count the votes?</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Representatives of Mediant will tabulate the votes, and a representative of Mediant will act as inspector of election.</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Who is paying for this proxy solicitation?</w:t>
      </w:r>
    </w:p>
    <w:p>
      <w:pPr>
        <w:spacing w:after="0" w:line="121" w:lineRule="exact"/>
        <w:rPr>
          <w:sz w:val="20"/>
          <w:szCs w:val="20"/>
          <w:color w:val="auto"/>
        </w:rPr>
      </w:pPr>
    </w:p>
    <w:p>
      <w:pPr>
        <w:ind w:left="120" w:right="120" w:firstLine="771"/>
        <w:spacing w:after="0" w:line="289" w:lineRule="auto"/>
        <w:rPr>
          <w:sz w:val="20"/>
          <w:szCs w:val="20"/>
          <w:color w:val="auto"/>
        </w:rPr>
      </w:pPr>
      <w:r>
        <w:rPr>
          <w:rFonts w:ascii="Times New Roman" w:cs="Times New Roman" w:eastAsia="Times New Roman" w:hAnsi="Times New Roman"/>
          <w:sz w:val="17"/>
          <w:szCs w:val="17"/>
          <w:color w:val="auto"/>
        </w:rPr>
        <w:t>We will pay the cost of soliciting proxies. Proxies may be solicited on our behalf by our directors, officers or employees (for no additional compensation) in person, by telephone or by other means of communication. Arrangements may be made with brokerage houses, custodians, nominees and fiduciaries to send proxy materials to their principals and we may reimburse them for the cost of forwarding proxy materials to beneficial owners.</w:t>
      </w:r>
    </w:p>
    <w:p>
      <w:pPr>
        <w:spacing w:after="0" w:line="99"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40" w:type="dxa"/>
            <w:vAlign w:val="bottom"/>
          </w:tcPr>
          <w:p>
            <w:pPr>
              <w:spacing w:after="0"/>
              <w:rPr>
                <w:sz w:val="20"/>
                <w:szCs w:val="20"/>
                <w:color w:val="auto"/>
              </w:rPr>
            </w:pPr>
            <w:r>
              <w:rPr>
                <w:rFonts w:ascii="Arial" w:cs="Arial" w:eastAsia="Arial" w:hAnsi="Arial"/>
                <w:sz w:val="14"/>
                <w:szCs w:val="14"/>
                <w:b w:val="1"/>
                <w:bCs w:val="1"/>
                <w:color w:val="305494"/>
              </w:rPr>
              <w:t>2024 Proxy Statement</w:t>
            </w:r>
          </w:p>
        </w:tc>
        <w:tc>
          <w:tcPr>
            <w:tcW w:w="2240" w:type="dxa"/>
            <w:vAlign w:val="bottom"/>
          </w:tcPr>
          <w:p>
            <w:pPr>
              <w:jc w:val="right"/>
              <w:spacing w:after="0"/>
              <w:rPr>
                <w:sz w:val="20"/>
                <w:szCs w:val="20"/>
                <w:color w:val="auto"/>
              </w:rPr>
            </w:pPr>
            <w:r>
              <w:rPr>
                <w:rFonts w:ascii="Arial" w:cs="Arial" w:eastAsia="Arial" w:hAnsi="Arial"/>
                <w:sz w:val="14"/>
                <w:szCs w:val="14"/>
                <w:b w:val="1"/>
                <w:bCs w:val="1"/>
                <w:color w:val="305494"/>
              </w:rPr>
              <w:t>6</w:t>
            </w:r>
          </w:p>
        </w:tc>
      </w:tr>
    </w:tbl>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What does it mean if I receive more than one set of Proxy Materials?</w:t>
      </w:r>
    </w:p>
    <w:p>
      <w:pPr>
        <w:spacing w:after="0" w:line="121" w:lineRule="exact"/>
        <w:rPr>
          <w:sz w:val="20"/>
          <w:szCs w:val="20"/>
          <w:color w:val="auto"/>
        </w:rPr>
      </w:pPr>
    </w:p>
    <w:p>
      <w:pPr>
        <w:ind w:left="120" w:right="280" w:firstLine="771"/>
        <w:spacing w:after="0" w:line="282" w:lineRule="auto"/>
        <w:rPr>
          <w:sz w:val="20"/>
          <w:szCs w:val="20"/>
          <w:color w:val="auto"/>
        </w:rPr>
      </w:pPr>
      <w:r>
        <w:rPr>
          <w:rFonts w:ascii="Times New Roman" w:cs="Times New Roman" w:eastAsia="Times New Roman" w:hAnsi="Times New Roman"/>
          <w:sz w:val="18"/>
          <w:szCs w:val="18"/>
          <w:color w:val="auto"/>
        </w:rPr>
        <w:t>If you receive more than one set of Proxy Materials, your shares may be registered in more than one name or in different accounts. Please follow the voting instructions included in each set of Proxy Materials to ensure that all of your shares are voted.</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How can I find out the results of the voting at the Annual Meeting?</w:t>
      </w:r>
    </w:p>
    <w:p>
      <w:pPr>
        <w:spacing w:after="0" w:line="121" w:lineRule="exact"/>
        <w:rPr>
          <w:sz w:val="20"/>
          <w:szCs w:val="20"/>
          <w:color w:val="auto"/>
        </w:rPr>
      </w:pPr>
    </w:p>
    <w:p>
      <w:pPr>
        <w:ind w:left="120" w:right="140" w:firstLine="771"/>
        <w:spacing w:after="0" w:line="282"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In addition, final voting results will be published in a current report on Form 8-K that we expect to file with the SEC within four business days after the Annual Meeting.</w:t>
      </w:r>
    </w:p>
    <w:p>
      <w:pPr>
        <w:spacing w:after="0" w:line="158"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305494"/>
        </w:rPr>
        <w:t>Why were my Proxy Materials included in the same envelope as other people at my address? How may I obtain an additional copy of the Proxy Materials?</w:t>
      </w:r>
    </w:p>
    <w:p>
      <w:pPr>
        <w:spacing w:after="0" w:line="51" w:lineRule="exact"/>
        <w:rPr>
          <w:sz w:val="20"/>
          <w:szCs w:val="20"/>
          <w:color w:val="auto"/>
        </w:rPr>
      </w:pPr>
    </w:p>
    <w:p>
      <w:pPr>
        <w:ind w:left="120" w:right="160" w:firstLine="771"/>
        <w:spacing w:after="0" w:line="254" w:lineRule="auto"/>
        <w:rPr>
          <w:sz w:val="20"/>
          <w:szCs w:val="20"/>
          <w:color w:val="auto"/>
        </w:rPr>
      </w:pPr>
      <w:r>
        <w:rPr>
          <w:rFonts w:ascii="Times New Roman" w:cs="Times New Roman" w:eastAsia="Times New Roman" w:hAnsi="Times New Roman"/>
          <w:sz w:val="18"/>
          <w:szCs w:val="18"/>
          <w:color w:val="auto"/>
        </w:rPr>
        <w:t>We have adopted a procedure approved by the SEC called “householding.” Under this procedure, we deliver a single copy of our Proxy Materials to stockholders of record who shares the same address, unless we have received contrary instructions from any stockholder at that address. This practice is designed to eliminate duplicate mailings, conserve natural resources and reduce our printing and mailing costs. Stockholders who participate in householding will continue to be able to access and receive separate proxy cards. If you share an address with another stockholder and receive only a single copy of our Proxy Materials, but would like to request a separate copy of these materials, please contact our mailing agent, Mediant, by calling 1-866-648-8133 or e-mailing paper@investorelections.com and an additional copy of the materials will be promptly delivered to you. Similarly, if you receive multiple copies of the Proxy Materials, but would prefer to receive a single copy in the future, you may also contact Mediant at the above telephone number or address. Beneficial owners should contact their broker, bank or other nominee to request information about householding procedures.</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40" w:type="dxa"/>
            <w:vAlign w:val="bottom"/>
          </w:tcPr>
          <w:p>
            <w:pPr>
              <w:spacing w:after="0"/>
              <w:rPr>
                <w:sz w:val="20"/>
                <w:szCs w:val="20"/>
                <w:color w:val="auto"/>
              </w:rPr>
            </w:pPr>
            <w:r>
              <w:rPr>
                <w:rFonts w:ascii="Arial" w:cs="Arial" w:eastAsia="Arial" w:hAnsi="Arial"/>
                <w:sz w:val="14"/>
                <w:szCs w:val="14"/>
                <w:b w:val="1"/>
                <w:bCs w:val="1"/>
                <w:color w:val="305494"/>
              </w:rPr>
              <w:t>2024 Proxy Statement</w:t>
            </w:r>
          </w:p>
        </w:tc>
        <w:tc>
          <w:tcPr>
            <w:tcW w:w="2240" w:type="dxa"/>
            <w:vAlign w:val="bottom"/>
          </w:tcPr>
          <w:p>
            <w:pPr>
              <w:jc w:val="right"/>
              <w:spacing w:after="0"/>
              <w:rPr>
                <w:sz w:val="20"/>
                <w:szCs w:val="20"/>
                <w:color w:val="auto"/>
              </w:rPr>
            </w:pPr>
            <w:r>
              <w:rPr>
                <w:rFonts w:ascii="Arial" w:cs="Arial" w:eastAsia="Arial" w:hAnsi="Arial"/>
                <w:sz w:val="14"/>
                <w:szCs w:val="14"/>
                <w:b w:val="1"/>
                <w:bCs w:val="1"/>
                <w:color w:val="305494"/>
              </w:rPr>
              <w:t>7</w:t>
            </w:r>
          </w:p>
        </w:tc>
      </w:tr>
    </w:tbl>
    <w:p>
      <w:pPr>
        <w:sectPr>
          <w:pgSz w:w="11900" w:h="16838" w:orient="portrait"/>
          <w:cols w:equalWidth="0" w:num="1">
            <w:col w:w="11080"/>
          </w:cols>
          <w:pgMar w:left="320" w:top="455" w:right="4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9"/>
          <w:szCs w:val="29"/>
          <w:b w:val="1"/>
          <w:bCs w:val="1"/>
          <w:color w:val="305494"/>
        </w:rPr>
        <w:t>BOARD AND CORPORATE GOVERNANCE MATTERS</w:t>
      </w:r>
    </w:p>
    <w:p>
      <w:pPr>
        <w:spacing w:after="0" w:line="3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305494"/>
        </w:rPr>
        <w:t>Proposal One: Election of Directors</w:t>
      </w:r>
    </w:p>
    <w:p>
      <w:pPr>
        <w:spacing w:after="0" w:line="2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left="120" w:right="120" w:firstLine="771"/>
        <w:spacing w:after="0" w:line="258" w:lineRule="auto"/>
        <w:rPr>
          <w:sz w:val="20"/>
          <w:szCs w:val="20"/>
          <w:color w:val="auto"/>
        </w:rPr>
      </w:pPr>
      <w:r>
        <w:rPr>
          <w:rFonts w:ascii="Times New Roman" w:cs="Times New Roman" w:eastAsia="Times New Roman" w:hAnsi="Times New Roman"/>
          <w:sz w:val="18"/>
          <w:szCs w:val="18"/>
          <w:color w:val="auto"/>
        </w:rPr>
        <w:t>The primary responsibilities of our board of directors are to provide oversight, strategic guidance, counseling and direction to our management. Our board of directors currently consists of nine directors and is divided into three classes of directors that serve staggered three-year terms, currently Class II, with a term expiring in 2025, Class III, with a term expiring in 2026 and Class I, with a term expiring in 2024. At the Annual Meeting, our stockholders will vote on the election of three Class I directors whose terms will expire at our 2027 annual meeting of stockholders. Each of our other current directors will continue to serve as a director until the election and qualification of his or her successor.</w:t>
      </w:r>
    </w:p>
    <w:p>
      <w:pPr>
        <w:spacing w:after="0" w:line="183" w:lineRule="exact"/>
        <w:rPr>
          <w:sz w:val="20"/>
          <w:szCs w:val="20"/>
          <w:color w:val="auto"/>
        </w:rPr>
      </w:pPr>
    </w:p>
    <w:p>
      <w:pPr>
        <w:ind w:left="120" w:firstLine="771"/>
        <w:spacing w:after="0" w:line="256" w:lineRule="auto"/>
        <w:rPr>
          <w:sz w:val="20"/>
          <w:szCs w:val="20"/>
          <w:color w:val="auto"/>
        </w:rPr>
      </w:pPr>
      <w:r>
        <w:rPr>
          <w:rFonts w:ascii="Times New Roman" w:cs="Times New Roman" w:eastAsia="Times New Roman" w:hAnsi="Times New Roman"/>
          <w:sz w:val="18"/>
          <w:szCs w:val="18"/>
          <w:color w:val="auto"/>
        </w:rPr>
        <w:t>The three directors currently serving on our board of directors in Class I, the class whose term of office expires in 2024, have each been nominated by our board of directors, upon the recommendation of our nominating and corporate governance committee, to stand for election at the Annual Meeting. Jon Faiz Kayyem, Ph.D. has served on our board of directors since 2021. Scott Hutton has served on our board of directors since 2020. John Patience has served on our board of directors since 2008. Each of these three nominees has consented to being named as a nominee in this proxy statement and has agreed to serve, if elected, until our 2027 annual meeting of stockholders and until the election and qualification of his or her successor.</w:t>
      </w:r>
    </w:p>
    <w:p>
      <w:pPr>
        <w:spacing w:after="0" w:line="187" w:lineRule="exact"/>
        <w:rPr>
          <w:sz w:val="20"/>
          <w:szCs w:val="20"/>
          <w:color w:val="auto"/>
        </w:rPr>
      </w:pPr>
    </w:p>
    <w:p>
      <w:pPr>
        <w:ind w:left="120" w:right="300" w:firstLine="771"/>
        <w:spacing w:after="0" w:line="266" w:lineRule="auto"/>
        <w:rPr>
          <w:sz w:val="20"/>
          <w:szCs w:val="20"/>
          <w:color w:val="auto"/>
        </w:rPr>
      </w:pPr>
      <w:r>
        <w:rPr>
          <w:rFonts w:ascii="Times New Roman" w:cs="Times New Roman" w:eastAsia="Times New Roman" w:hAnsi="Times New Roman"/>
          <w:sz w:val="18"/>
          <w:szCs w:val="18"/>
          <w:color w:val="auto"/>
        </w:rPr>
        <w:t>For more information about each of the director nominees and continuing directors, including information regarding the experience, qualifications, attributes and skills that led to the conclusion that each director should serve as a member of the board of directors, please refer to the section below entitled “Overview of Our Nominees and Continuing Directors.”</w:t>
      </w:r>
    </w:p>
    <w:p>
      <w:pPr>
        <w:sectPr>
          <w:pgSz w:w="11900" w:h="16838" w:orient="portrait"/>
          <w:cols w:equalWidth="0" w:num="1">
            <w:col w:w="11100"/>
          </w:cols>
          <w:pgMar w:left="320" w:top="455" w:right="479" w:bottom="1440" w:gutter="0" w:footer="0" w:header="0"/>
        </w:sectPr>
      </w:pP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05494"/>
        </w:rPr>
        <w:t>2024 Proxy Statement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Directors are elected by a plurality of the votes cast by our stockholders at the Annual Meeting. This means that the three nominees receiving the highest number of affirmative votes (from the holders of votes of shares present or represented by proxy and entitled to vote on the election of directors) will be elected. Broker non-votes and “Withheld” votes will have no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5093970</wp:posOffset>
            </wp:positionH>
            <wp:positionV relativeFrom="paragraph">
              <wp:posOffset>82550</wp:posOffset>
            </wp:positionV>
            <wp:extent cx="248920" cy="3517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48920" cy="351790"/>
                    </a:xfrm>
                    <a:prstGeom prst="rect">
                      <a:avLst/>
                    </a:prstGeom>
                    <a:noFill/>
                  </pic:spPr>
                </pic:pic>
              </a:graphicData>
            </a:graphic>
          </wp:anchor>
        </w:drawing>
      </w:r>
    </w:p>
    <w:p>
      <w:pPr>
        <w:spacing w:after="0" w:line="223" w:lineRule="exact"/>
        <w:rPr>
          <w:sz w:val="20"/>
          <w:szCs w:val="20"/>
          <w:color w:val="auto"/>
        </w:rPr>
      </w:pPr>
    </w:p>
    <w:p>
      <w:pPr>
        <w:ind w:right="1340"/>
        <w:spacing w:after="0" w:line="317" w:lineRule="auto"/>
        <w:rPr>
          <w:sz w:val="20"/>
          <w:szCs w:val="20"/>
          <w:color w:val="auto"/>
        </w:rPr>
      </w:pPr>
      <w:r>
        <w:rPr>
          <w:rFonts w:ascii="Times New Roman" w:cs="Times New Roman" w:eastAsia="Times New Roman" w:hAnsi="Times New Roman"/>
          <w:sz w:val="17"/>
          <w:szCs w:val="17"/>
          <w:b w:val="1"/>
          <w:bCs w:val="1"/>
          <w:color w:val="305494"/>
        </w:rPr>
        <w:t>OUR BOARD OF DIRECTORS UNANIMOUSLY RECOMMENDS A VOTE “FOR” THE ELECTION OF EACH OF THE THREE CLASS I DIRECTOR NOMINEES NAMED ABOVE.</w:t>
      </w:r>
    </w:p>
    <w:p>
      <w:pPr>
        <w:spacing w:after="0" w:line="77" w:lineRule="exact"/>
        <w:rPr>
          <w:sz w:val="20"/>
          <w:szCs w:val="20"/>
          <w:color w:val="auto"/>
        </w:rPr>
      </w:pPr>
    </w:p>
    <w:p>
      <w:pPr>
        <w:ind w:left="3580"/>
        <w:spacing w:after="0"/>
        <w:rPr>
          <w:sz w:val="20"/>
          <w:szCs w:val="20"/>
          <w:color w:val="auto"/>
        </w:rPr>
      </w:pPr>
      <w:r>
        <w:rPr>
          <w:rFonts w:ascii="Arial" w:cs="Arial" w:eastAsia="Arial" w:hAnsi="Arial"/>
          <w:sz w:val="14"/>
          <w:szCs w:val="14"/>
          <w:b w:val="1"/>
          <w:bCs w:val="1"/>
          <w:color w:val="305494"/>
        </w:rPr>
        <w:t>8</w:t>
      </w:r>
    </w:p>
    <w:p>
      <w:pPr>
        <w:sectPr>
          <w:pgSz w:w="11900" w:h="16838" w:orient="portrait"/>
          <w:cols w:equalWidth="0" w:num="2">
            <w:col w:w="1620" w:space="720"/>
            <w:col w:w="8760"/>
          </w:cols>
          <w:pgMar w:left="320" w:top="455" w:right="47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305494"/>
        </w:rPr>
        <w:t>Overview of Our Nominees and Continuing Directors</w:t>
      </w:r>
    </w:p>
    <w:p>
      <w:pPr>
        <w:spacing w:after="0" w:line="230" w:lineRule="exact"/>
        <w:rPr>
          <w:sz w:val="20"/>
          <w:szCs w:val="20"/>
          <w:color w:val="auto"/>
        </w:rPr>
      </w:pPr>
    </w:p>
    <w:p>
      <w:pPr>
        <w:ind w:left="120" w:right="460" w:firstLine="771"/>
        <w:spacing w:after="0" w:line="282" w:lineRule="auto"/>
        <w:rPr>
          <w:sz w:val="20"/>
          <w:szCs w:val="20"/>
          <w:color w:val="auto"/>
        </w:rPr>
      </w:pPr>
      <w:r>
        <w:rPr>
          <w:rFonts w:ascii="Times New Roman" w:cs="Times New Roman" w:eastAsia="Times New Roman" w:hAnsi="Times New Roman"/>
          <w:sz w:val="18"/>
          <w:szCs w:val="18"/>
          <w:color w:val="auto"/>
        </w:rPr>
        <w:t>The following table and the brief biographies that follow provide information, as of the date of this proxy statement, about each director nominee and each continuing director:</w:t>
      </w:r>
    </w:p>
    <w:p>
      <w:pPr>
        <w:spacing w:after="0" w:line="27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3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7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of Term for</w:t>
            </w:r>
          </w:p>
        </w:tc>
        <w:tc>
          <w:tcPr>
            <w:tcW w:w="9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3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540" w:type="dxa"/>
            <w:vAlign w:val="bottom"/>
          </w:tcPr>
          <w:p>
            <w:pPr>
              <w:spacing w:after="0"/>
              <w:rPr>
                <w:sz w:val="8"/>
                <w:szCs w:val="8"/>
                <w:color w:val="auto"/>
              </w:rPr>
            </w:pPr>
          </w:p>
        </w:tc>
        <w:tc>
          <w:tcPr>
            <w:tcW w:w="96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Membership*</w:t>
            </w: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3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6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Director</w:t>
            </w:r>
          </w:p>
        </w:tc>
        <w:tc>
          <w:tcPr>
            <w:tcW w:w="680" w:type="dxa"/>
            <w:vAlign w:val="bottom"/>
          </w:tcPr>
          <w:p>
            <w:pPr>
              <w:spacing w:after="0"/>
              <w:rPr>
                <w:sz w:val="8"/>
                <w:szCs w:val="8"/>
                <w:color w:val="auto"/>
              </w:rPr>
            </w:pPr>
          </w:p>
        </w:tc>
        <w:tc>
          <w:tcPr>
            <w:tcW w:w="6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7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which</w:t>
            </w:r>
          </w:p>
        </w:tc>
        <w:tc>
          <w:tcPr>
            <w:tcW w:w="900" w:type="dxa"/>
            <w:vAlign w:val="bottom"/>
          </w:tcPr>
          <w:p>
            <w:pPr>
              <w:spacing w:after="0"/>
              <w:rPr>
                <w:sz w:val="8"/>
                <w:szCs w:val="8"/>
                <w:color w:val="auto"/>
              </w:rPr>
            </w:pPr>
          </w:p>
        </w:tc>
        <w:tc>
          <w:tcPr>
            <w:tcW w:w="540" w:type="dxa"/>
            <w:vAlign w:val="bottom"/>
            <w:tcBorders>
              <w:bottom w:val="single" w:sz="8" w:color="BFBFBF"/>
            </w:tcBorders>
          </w:tcPr>
          <w:p>
            <w:pPr>
              <w:spacing w:after="0"/>
              <w:rPr>
                <w:sz w:val="8"/>
                <w:szCs w:val="8"/>
                <w:color w:val="auto"/>
              </w:rPr>
            </w:pPr>
          </w:p>
        </w:tc>
        <w:tc>
          <w:tcPr>
            <w:tcW w:w="960" w:type="dxa"/>
            <w:vAlign w:val="bottom"/>
            <w:tcBorders>
              <w:bottom w:val="single" w:sz="8" w:color="BFBFBF"/>
            </w:tcBorders>
            <w:gridSpan w:val="3"/>
            <w:vMerge w:val="continue"/>
          </w:tcPr>
          <w:p>
            <w:pPr>
              <w:spacing w:after="0"/>
              <w:rPr>
                <w:sz w:val="8"/>
                <w:szCs w:val="8"/>
                <w:color w:val="auto"/>
              </w:rPr>
            </w:pPr>
          </w:p>
        </w:tc>
        <w:tc>
          <w:tcPr>
            <w:tcW w:w="500" w:type="dxa"/>
            <w:vAlign w:val="bottom"/>
            <w:tcBorders>
              <w:bottom w:val="single" w:sz="8" w:color="BFBFBF"/>
            </w:tcBorders>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3340" w:type="dxa"/>
            <w:vAlign w:val="bottom"/>
          </w:tcPr>
          <w:p>
            <w:pPr>
              <w:spacing w:after="0"/>
              <w:rPr>
                <w:sz w:val="2"/>
                <w:szCs w:val="2"/>
                <w:color w:val="auto"/>
              </w:rPr>
            </w:pPr>
          </w:p>
        </w:tc>
        <w:tc>
          <w:tcPr>
            <w:tcW w:w="6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Age</w:t>
            </w:r>
          </w:p>
        </w:tc>
        <w:tc>
          <w:tcPr>
            <w:tcW w:w="138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Position(s)</w:t>
            </w:r>
          </w:p>
        </w:tc>
        <w:tc>
          <w:tcPr>
            <w:tcW w:w="640" w:type="dxa"/>
            <w:vAlign w:val="bottom"/>
            <w:vMerge w:val="continue"/>
          </w:tcPr>
          <w:p>
            <w:pPr>
              <w:spacing w:after="0"/>
              <w:rPr>
                <w:sz w:val="2"/>
                <w:szCs w:val="2"/>
                <w:color w:val="auto"/>
              </w:rPr>
            </w:pPr>
          </w:p>
        </w:tc>
        <w:tc>
          <w:tcPr>
            <w:tcW w:w="68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Class</w:t>
            </w:r>
          </w:p>
        </w:tc>
        <w:tc>
          <w:tcPr>
            <w:tcW w:w="6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90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Independent</w:t>
            </w:r>
          </w:p>
        </w:tc>
        <w:tc>
          <w:tcPr>
            <w:tcW w:w="54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8"/>
              </w:rPr>
              <w:t>AC</w:t>
            </w:r>
          </w:p>
        </w:tc>
        <w:tc>
          <w:tcPr>
            <w:tcW w:w="100" w:type="dxa"/>
            <w:vAlign w:val="bottom"/>
          </w:tcPr>
          <w:p>
            <w:pPr>
              <w:spacing w:after="0"/>
              <w:rPr>
                <w:sz w:val="2"/>
                <w:szCs w:val="2"/>
                <w:color w:val="auto"/>
              </w:rPr>
            </w:pPr>
          </w:p>
        </w:tc>
        <w:tc>
          <w:tcPr>
            <w:tcW w:w="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CC</w:t>
            </w:r>
          </w:p>
        </w:tc>
        <w:tc>
          <w:tcPr>
            <w:tcW w:w="50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NCG</w:t>
            </w:r>
          </w:p>
        </w:tc>
        <w:tc>
          <w:tcPr>
            <w:tcW w:w="0" w:type="dxa"/>
            <w:vAlign w:val="bottom"/>
          </w:tcPr>
          <w:p>
            <w:pPr>
              <w:spacing w:after="0" w:line="20" w:lineRule="exact"/>
              <w:rPr>
                <w:sz w:val="1"/>
                <w:szCs w:val="1"/>
                <w:color w:val="auto"/>
              </w:rPr>
            </w:pPr>
          </w:p>
        </w:tc>
      </w:tr>
      <w:tr>
        <w:trPr>
          <w:trHeight w:val="207"/>
        </w:trPr>
        <w:tc>
          <w:tcPr>
            <w:tcW w:w="3340" w:type="dxa"/>
            <w:vAlign w:val="bottom"/>
            <w:tcBorders>
              <w:bottom w:val="single" w:sz="8" w:color="305494"/>
            </w:tcBorders>
          </w:tcPr>
          <w:p>
            <w:pPr>
              <w:spacing w:after="0"/>
              <w:rPr>
                <w:sz w:val="18"/>
                <w:szCs w:val="18"/>
                <w:color w:val="auto"/>
              </w:rPr>
            </w:pPr>
          </w:p>
        </w:tc>
        <w:tc>
          <w:tcPr>
            <w:tcW w:w="680" w:type="dxa"/>
            <w:vAlign w:val="bottom"/>
            <w:tcBorders>
              <w:bottom w:val="single" w:sz="8" w:color="305494"/>
            </w:tcBorders>
            <w:vMerge w:val="continue"/>
          </w:tcPr>
          <w:p>
            <w:pPr>
              <w:spacing w:after="0"/>
              <w:rPr>
                <w:sz w:val="18"/>
                <w:szCs w:val="18"/>
                <w:color w:val="auto"/>
              </w:rPr>
            </w:pPr>
          </w:p>
        </w:tc>
        <w:tc>
          <w:tcPr>
            <w:tcW w:w="1380" w:type="dxa"/>
            <w:vAlign w:val="bottom"/>
            <w:tcBorders>
              <w:bottom w:val="single" w:sz="8" w:color="305494"/>
            </w:tcBorders>
            <w:vMerge w:val="continue"/>
          </w:tcPr>
          <w:p>
            <w:pPr>
              <w:spacing w:after="0"/>
              <w:rPr>
                <w:sz w:val="18"/>
                <w:szCs w:val="18"/>
                <w:color w:val="auto"/>
              </w:rPr>
            </w:pPr>
          </w:p>
        </w:tc>
        <w:tc>
          <w:tcPr>
            <w:tcW w:w="640" w:type="dxa"/>
            <w:vAlign w:val="bottom"/>
            <w:tcBorders>
              <w:bottom w:val="single" w:sz="8" w:color="305494"/>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c>
          <w:tcPr>
            <w:tcW w:w="680" w:type="dxa"/>
            <w:vAlign w:val="bottom"/>
            <w:tcBorders>
              <w:bottom w:val="single" w:sz="8" w:color="305494"/>
            </w:tcBorders>
            <w:vMerge w:val="continue"/>
          </w:tcPr>
          <w:p>
            <w:pPr>
              <w:spacing w:after="0"/>
              <w:rPr>
                <w:sz w:val="18"/>
                <w:szCs w:val="18"/>
                <w:color w:val="auto"/>
              </w:rPr>
            </w:pPr>
          </w:p>
        </w:tc>
        <w:tc>
          <w:tcPr>
            <w:tcW w:w="640" w:type="dxa"/>
            <w:vAlign w:val="bottom"/>
            <w:tcBorders>
              <w:bottom w:val="single" w:sz="8" w:color="305494"/>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Expires</w:t>
            </w:r>
          </w:p>
        </w:tc>
        <w:tc>
          <w:tcPr>
            <w:tcW w:w="760" w:type="dxa"/>
            <w:vAlign w:val="bottom"/>
            <w:tcBorders>
              <w:bottom w:val="single" w:sz="8" w:color="305494"/>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Nominated</w:t>
            </w:r>
          </w:p>
        </w:tc>
        <w:tc>
          <w:tcPr>
            <w:tcW w:w="900" w:type="dxa"/>
            <w:vAlign w:val="bottom"/>
            <w:tcBorders>
              <w:bottom w:val="single" w:sz="8" w:color="305494"/>
            </w:tcBorders>
            <w:vMerge w:val="continue"/>
          </w:tcPr>
          <w:p>
            <w:pPr>
              <w:spacing w:after="0"/>
              <w:rPr>
                <w:sz w:val="18"/>
                <w:szCs w:val="18"/>
                <w:color w:val="auto"/>
              </w:rPr>
            </w:pPr>
          </w:p>
        </w:tc>
        <w:tc>
          <w:tcPr>
            <w:tcW w:w="540" w:type="dxa"/>
            <w:vAlign w:val="bottom"/>
            <w:tcBorders>
              <w:bottom w:val="single" w:sz="8" w:color="305494"/>
            </w:tcBorders>
            <w:vMerge w:val="continue"/>
          </w:tcPr>
          <w:p>
            <w:pPr>
              <w:spacing w:after="0"/>
              <w:rPr>
                <w:sz w:val="18"/>
                <w:szCs w:val="18"/>
                <w:color w:val="auto"/>
              </w:rPr>
            </w:pPr>
          </w:p>
        </w:tc>
        <w:tc>
          <w:tcPr>
            <w:tcW w:w="100" w:type="dxa"/>
            <w:vAlign w:val="bottom"/>
            <w:tcBorders>
              <w:bottom w:val="single" w:sz="8" w:color="305494"/>
            </w:tcBorders>
          </w:tcPr>
          <w:p>
            <w:pPr>
              <w:spacing w:after="0"/>
              <w:rPr>
                <w:sz w:val="18"/>
                <w:szCs w:val="18"/>
                <w:color w:val="auto"/>
              </w:rPr>
            </w:pPr>
          </w:p>
        </w:tc>
        <w:tc>
          <w:tcPr>
            <w:tcW w:w="860" w:type="dxa"/>
            <w:vAlign w:val="bottom"/>
            <w:tcBorders>
              <w:bottom w:val="single" w:sz="8" w:color="305494"/>
            </w:tcBorders>
            <w:gridSpan w:val="2"/>
            <w:vMerge w:val="continue"/>
          </w:tcPr>
          <w:p>
            <w:pPr>
              <w:spacing w:after="0"/>
              <w:rPr>
                <w:sz w:val="18"/>
                <w:szCs w:val="18"/>
                <w:color w:val="auto"/>
              </w:rPr>
            </w:pPr>
          </w:p>
        </w:tc>
        <w:tc>
          <w:tcPr>
            <w:tcW w:w="500" w:type="dxa"/>
            <w:vAlign w:val="bottom"/>
            <w:tcBorders>
              <w:bottom w:val="single" w:sz="8" w:color="305494"/>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340" w:type="dxa"/>
            <w:vAlign w:val="bottom"/>
            <w:tcBorders>
              <w:bottom w:val="single" w:sz="8" w:color="305494"/>
            </w:tcBorders>
          </w:tcPr>
          <w:p>
            <w:pPr>
              <w:spacing w:after="0"/>
              <w:rPr>
                <w:sz w:val="20"/>
                <w:szCs w:val="20"/>
                <w:color w:val="auto"/>
              </w:rPr>
            </w:pPr>
            <w:r>
              <w:rPr>
                <w:rFonts w:ascii="Times New Roman" w:cs="Times New Roman" w:eastAsia="Times New Roman" w:hAnsi="Times New Roman"/>
                <w:sz w:val="14"/>
                <w:szCs w:val="14"/>
                <w:b w:val="1"/>
                <w:bCs w:val="1"/>
                <w:color w:val="305494"/>
              </w:rPr>
              <w:t>DIRECTOR NOMINEES</w:t>
            </w:r>
          </w:p>
        </w:tc>
        <w:tc>
          <w:tcPr>
            <w:tcW w:w="680" w:type="dxa"/>
            <w:vAlign w:val="bottom"/>
            <w:tcBorders>
              <w:bottom w:val="single" w:sz="8" w:color="305494"/>
            </w:tcBorders>
          </w:tcPr>
          <w:p>
            <w:pPr>
              <w:spacing w:after="0"/>
              <w:rPr>
                <w:sz w:val="18"/>
                <w:szCs w:val="18"/>
                <w:color w:val="auto"/>
              </w:rPr>
            </w:pPr>
          </w:p>
        </w:tc>
        <w:tc>
          <w:tcPr>
            <w:tcW w:w="1380" w:type="dxa"/>
            <w:vAlign w:val="bottom"/>
            <w:tcBorders>
              <w:bottom w:val="single" w:sz="8" w:color="305494"/>
            </w:tcBorders>
          </w:tcPr>
          <w:p>
            <w:pPr>
              <w:spacing w:after="0"/>
              <w:rPr>
                <w:sz w:val="18"/>
                <w:szCs w:val="18"/>
                <w:color w:val="auto"/>
              </w:rPr>
            </w:pPr>
          </w:p>
        </w:tc>
        <w:tc>
          <w:tcPr>
            <w:tcW w:w="640" w:type="dxa"/>
            <w:vAlign w:val="bottom"/>
            <w:tcBorders>
              <w:bottom w:val="single" w:sz="8" w:color="305494"/>
            </w:tcBorders>
          </w:tcPr>
          <w:p>
            <w:pPr>
              <w:spacing w:after="0"/>
              <w:rPr>
                <w:sz w:val="18"/>
                <w:szCs w:val="18"/>
                <w:color w:val="auto"/>
              </w:rPr>
            </w:pPr>
          </w:p>
        </w:tc>
        <w:tc>
          <w:tcPr>
            <w:tcW w:w="680" w:type="dxa"/>
            <w:vAlign w:val="bottom"/>
            <w:tcBorders>
              <w:bottom w:val="single" w:sz="8" w:color="305494"/>
            </w:tcBorders>
          </w:tcPr>
          <w:p>
            <w:pPr>
              <w:spacing w:after="0"/>
              <w:rPr>
                <w:sz w:val="18"/>
                <w:szCs w:val="18"/>
                <w:color w:val="auto"/>
              </w:rPr>
            </w:pPr>
          </w:p>
        </w:tc>
        <w:tc>
          <w:tcPr>
            <w:tcW w:w="640" w:type="dxa"/>
            <w:vAlign w:val="bottom"/>
            <w:tcBorders>
              <w:bottom w:val="single" w:sz="8" w:color="305494"/>
            </w:tcBorders>
          </w:tcPr>
          <w:p>
            <w:pPr>
              <w:spacing w:after="0"/>
              <w:rPr>
                <w:sz w:val="18"/>
                <w:szCs w:val="18"/>
                <w:color w:val="auto"/>
              </w:rPr>
            </w:pPr>
          </w:p>
        </w:tc>
        <w:tc>
          <w:tcPr>
            <w:tcW w:w="760" w:type="dxa"/>
            <w:vAlign w:val="bottom"/>
            <w:tcBorders>
              <w:bottom w:val="single" w:sz="8" w:color="305494"/>
            </w:tcBorders>
          </w:tcPr>
          <w:p>
            <w:pPr>
              <w:spacing w:after="0"/>
              <w:rPr>
                <w:sz w:val="18"/>
                <w:szCs w:val="18"/>
                <w:color w:val="auto"/>
              </w:rPr>
            </w:pPr>
          </w:p>
        </w:tc>
        <w:tc>
          <w:tcPr>
            <w:tcW w:w="900" w:type="dxa"/>
            <w:vAlign w:val="bottom"/>
            <w:tcBorders>
              <w:bottom w:val="single" w:sz="8" w:color="305494"/>
            </w:tcBorders>
          </w:tcPr>
          <w:p>
            <w:pPr>
              <w:spacing w:after="0"/>
              <w:rPr>
                <w:sz w:val="18"/>
                <w:szCs w:val="18"/>
                <w:color w:val="auto"/>
              </w:rPr>
            </w:pPr>
          </w:p>
        </w:tc>
        <w:tc>
          <w:tcPr>
            <w:tcW w:w="540" w:type="dxa"/>
            <w:vAlign w:val="bottom"/>
            <w:tcBorders>
              <w:bottom w:val="single" w:sz="8" w:color="305494"/>
            </w:tcBorders>
          </w:tcPr>
          <w:p>
            <w:pPr>
              <w:spacing w:after="0"/>
              <w:rPr>
                <w:sz w:val="18"/>
                <w:szCs w:val="18"/>
                <w:color w:val="auto"/>
              </w:rPr>
            </w:pPr>
          </w:p>
        </w:tc>
        <w:tc>
          <w:tcPr>
            <w:tcW w:w="100" w:type="dxa"/>
            <w:vAlign w:val="bottom"/>
            <w:tcBorders>
              <w:bottom w:val="single" w:sz="8" w:color="305494"/>
            </w:tcBorders>
          </w:tcPr>
          <w:p>
            <w:pPr>
              <w:spacing w:after="0"/>
              <w:rPr>
                <w:sz w:val="18"/>
                <w:szCs w:val="18"/>
                <w:color w:val="auto"/>
              </w:rPr>
            </w:pPr>
          </w:p>
        </w:tc>
        <w:tc>
          <w:tcPr>
            <w:tcW w:w="680" w:type="dxa"/>
            <w:vAlign w:val="bottom"/>
            <w:tcBorders>
              <w:bottom w:val="single" w:sz="8" w:color="305494"/>
            </w:tcBorders>
          </w:tcPr>
          <w:p>
            <w:pPr>
              <w:spacing w:after="0"/>
              <w:rPr>
                <w:sz w:val="18"/>
                <w:szCs w:val="18"/>
                <w:color w:val="auto"/>
              </w:rPr>
            </w:pPr>
          </w:p>
        </w:tc>
        <w:tc>
          <w:tcPr>
            <w:tcW w:w="180" w:type="dxa"/>
            <w:vAlign w:val="bottom"/>
            <w:tcBorders>
              <w:bottom w:val="single" w:sz="8" w:color="305494"/>
            </w:tcBorders>
          </w:tcPr>
          <w:p>
            <w:pPr>
              <w:spacing w:after="0"/>
              <w:rPr>
                <w:sz w:val="18"/>
                <w:szCs w:val="18"/>
                <w:color w:val="auto"/>
              </w:rPr>
            </w:pPr>
          </w:p>
        </w:tc>
        <w:tc>
          <w:tcPr>
            <w:tcW w:w="500" w:type="dxa"/>
            <w:vAlign w:val="bottom"/>
            <w:tcBorders>
              <w:bottom w:val="single" w:sz="8" w:color="305494"/>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40" w:type="dxa"/>
            <w:vAlign w:val="bottom"/>
            <w:tcBorders>
              <w:bottom w:val="single" w:sz="8" w:color="305494"/>
              <w:right w:val="single" w:sz="8" w:color="305494"/>
            </w:tcBorders>
          </w:tcPr>
          <w:p>
            <w:pPr>
              <w:ind w:left="140"/>
              <w:spacing w:after="0"/>
              <w:rPr>
                <w:sz w:val="20"/>
                <w:szCs w:val="20"/>
                <w:color w:val="auto"/>
              </w:rPr>
            </w:pPr>
            <w:r>
              <w:rPr>
                <w:rFonts w:ascii="Times New Roman" w:cs="Times New Roman" w:eastAsia="Times New Roman" w:hAnsi="Times New Roman"/>
                <w:sz w:val="14"/>
                <w:szCs w:val="14"/>
                <w:color w:val="auto"/>
              </w:rPr>
              <w:t>Jon Faiz Kayyem, Ph.D.</w:t>
            </w:r>
          </w:p>
        </w:tc>
        <w:tc>
          <w:tcPr>
            <w:tcW w:w="680" w:type="dxa"/>
            <w:vAlign w:val="bottom"/>
            <w:tcBorders>
              <w:bottom w:val="single" w:sz="8" w:color="305494"/>
              <w:right w:val="single" w:sz="8" w:color="305494"/>
            </w:tcBorders>
          </w:tcPr>
          <w:p>
            <w:pPr>
              <w:jc w:val="right"/>
              <w:ind w:right="388"/>
              <w:spacing w:after="0"/>
              <w:rPr>
                <w:sz w:val="20"/>
                <w:szCs w:val="20"/>
                <w:color w:val="auto"/>
              </w:rPr>
            </w:pPr>
            <w:r>
              <w:rPr>
                <w:rFonts w:ascii="Times New Roman" w:cs="Times New Roman" w:eastAsia="Times New Roman" w:hAnsi="Times New Roman"/>
                <w:sz w:val="14"/>
                <w:szCs w:val="14"/>
                <w:color w:val="auto"/>
              </w:rPr>
              <w:t>60</w:t>
            </w:r>
          </w:p>
        </w:tc>
        <w:tc>
          <w:tcPr>
            <w:tcW w:w="1380" w:type="dxa"/>
            <w:vAlign w:val="bottom"/>
            <w:tcBorders>
              <w:bottom w:val="single" w:sz="8" w:color="305494"/>
              <w:right w:val="single" w:sz="8" w:color="305494"/>
            </w:tcBorders>
          </w:tcPr>
          <w:p>
            <w:pPr>
              <w:ind w:left="40"/>
              <w:spacing w:after="0"/>
              <w:rPr>
                <w:sz w:val="20"/>
                <w:szCs w:val="20"/>
                <w:color w:val="auto"/>
              </w:rPr>
            </w:pPr>
            <w:r>
              <w:rPr>
                <w:rFonts w:ascii="Times New Roman" w:cs="Times New Roman" w:eastAsia="Times New Roman" w:hAnsi="Times New Roman"/>
                <w:sz w:val="14"/>
                <w:szCs w:val="14"/>
                <w:color w:val="auto"/>
              </w:rPr>
              <w:t>Director</w:t>
            </w:r>
          </w:p>
        </w:tc>
        <w:tc>
          <w:tcPr>
            <w:tcW w:w="640" w:type="dxa"/>
            <w:vAlign w:val="bottom"/>
            <w:tcBorders>
              <w:bottom w:val="single" w:sz="8" w:color="305494"/>
              <w:right w:val="single" w:sz="8" w:color="305494"/>
            </w:tcBorders>
          </w:tcPr>
          <w:p>
            <w:pPr>
              <w:jc w:val="center"/>
              <w:spacing w:after="0"/>
              <w:rPr>
                <w:sz w:val="20"/>
                <w:szCs w:val="20"/>
                <w:color w:val="auto"/>
              </w:rPr>
            </w:pPr>
            <w:r>
              <w:rPr>
                <w:rFonts w:ascii="Times New Roman" w:cs="Times New Roman" w:eastAsia="Times New Roman" w:hAnsi="Times New Roman"/>
                <w:sz w:val="14"/>
                <w:szCs w:val="14"/>
                <w:color w:val="auto"/>
              </w:rPr>
              <w:t>2021</w:t>
            </w:r>
          </w:p>
        </w:tc>
        <w:tc>
          <w:tcPr>
            <w:tcW w:w="680" w:type="dxa"/>
            <w:vAlign w:val="bottom"/>
            <w:tcBorders>
              <w:bottom w:val="single" w:sz="8" w:color="305494"/>
              <w:right w:val="single" w:sz="8" w:color="305494"/>
            </w:tcBorders>
          </w:tcPr>
          <w:p>
            <w:pPr>
              <w:jc w:val="center"/>
              <w:ind w:left="8"/>
              <w:spacing w:after="0"/>
              <w:rPr>
                <w:sz w:val="20"/>
                <w:szCs w:val="20"/>
                <w:color w:val="auto"/>
              </w:rPr>
            </w:pPr>
            <w:r>
              <w:rPr>
                <w:rFonts w:ascii="Times New Roman" w:cs="Times New Roman" w:eastAsia="Times New Roman" w:hAnsi="Times New Roman"/>
                <w:sz w:val="14"/>
                <w:szCs w:val="14"/>
                <w:color w:val="auto"/>
                <w:w w:val="84"/>
              </w:rPr>
              <w:t>I</w:t>
            </w:r>
          </w:p>
        </w:tc>
        <w:tc>
          <w:tcPr>
            <w:tcW w:w="640" w:type="dxa"/>
            <w:vAlign w:val="bottom"/>
            <w:tcBorders>
              <w:bottom w:val="single" w:sz="8" w:color="305494"/>
              <w:right w:val="single" w:sz="8" w:color="305494"/>
            </w:tcBorders>
          </w:tcPr>
          <w:p>
            <w:pPr>
              <w:jc w:val="center"/>
              <w:spacing w:after="0"/>
              <w:rPr>
                <w:sz w:val="20"/>
                <w:szCs w:val="20"/>
                <w:color w:val="auto"/>
              </w:rPr>
            </w:pPr>
            <w:r>
              <w:rPr>
                <w:rFonts w:ascii="Times New Roman" w:cs="Times New Roman" w:eastAsia="Times New Roman" w:hAnsi="Times New Roman"/>
                <w:sz w:val="14"/>
                <w:szCs w:val="14"/>
                <w:color w:val="auto"/>
              </w:rPr>
              <w:t>2024</w:t>
            </w:r>
          </w:p>
        </w:tc>
        <w:tc>
          <w:tcPr>
            <w:tcW w:w="760" w:type="dxa"/>
            <w:vAlign w:val="bottom"/>
            <w:tcBorders>
              <w:bottom w:val="single" w:sz="8" w:color="305494"/>
              <w:right w:val="single" w:sz="8" w:color="305494"/>
            </w:tcBorders>
          </w:tcPr>
          <w:p>
            <w:pPr>
              <w:jc w:val="center"/>
              <w:spacing w:after="0"/>
              <w:rPr>
                <w:sz w:val="20"/>
                <w:szCs w:val="20"/>
                <w:color w:val="auto"/>
              </w:rPr>
            </w:pPr>
            <w:r>
              <w:rPr>
                <w:rFonts w:ascii="Times New Roman" w:cs="Times New Roman" w:eastAsia="Times New Roman" w:hAnsi="Times New Roman"/>
                <w:sz w:val="14"/>
                <w:szCs w:val="14"/>
                <w:color w:val="auto"/>
              </w:rPr>
              <w:t>2027</w:t>
            </w:r>
          </w:p>
        </w:tc>
        <w:tc>
          <w:tcPr>
            <w:tcW w:w="900" w:type="dxa"/>
            <w:vAlign w:val="bottom"/>
            <w:tcBorders>
              <w:bottom w:val="single" w:sz="8" w:color="305494"/>
              <w:right w:val="single" w:sz="8" w:color="305494"/>
            </w:tcBorders>
          </w:tcPr>
          <w:p>
            <w:pPr>
              <w:jc w:val="center"/>
              <w:ind w:left="8"/>
              <w:spacing w:after="0"/>
              <w:rPr>
                <w:sz w:val="20"/>
                <w:szCs w:val="20"/>
                <w:color w:val="auto"/>
              </w:rPr>
            </w:pPr>
            <w:r>
              <w:rPr>
                <w:rFonts w:ascii="Times New Roman" w:cs="Times New Roman" w:eastAsia="Times New Roman" w:hAnsi="Times New Roman"/>
                <w:sz w:val="14"/>
                <w:szCs w:val="14"/>
                <w:color w:val="auto"/>
              </w:rPr>
              <w:t>Yes</w:t>
            </w:r>
          </w:p>
        </w:tc>
        <w:tc>
          <w:tcPr>
            <w:tcW w:w="540" w:type="dxa"/>
            <w:vAlign w:val="bottom"/>
            <w:tcBorders>
              <w:bottom w:val="single" w:sz="8" w:color="305494"/>
            </w:tcBorders>
          </w:tcPr>
          <w:p>
            <w:pPr>
              <w:spacing w:after="0"/>
              <w:rPr>
                <w:sz w:val="18"/>
                <w:szCs w:val="18"/>
                <w:color w:val="auto"/>
              </w:rPr>
            </w:pPr>
          </w:p>
        </w:tc>
        <w:tc>
          <w:tcPr>
            <w:tcW w:w="100" w:type="dxa"/>
            <w:vAlign w:val="bottom"/>
            <w:tcBorders>
              <w:bottom w:val="single" w:sz="8" w:color="305494"/>
              <w:right w:val="single" w:sz="8" w:color="305494"/>
            </w:tcBorders>
          </w:tcPr>
          <w:p>
            <w:pPr>
              <w:spacing w:after="0"/>
              <w:rPr>
                <w:sz w:val="18"/>
                <w:szCs w:val="18"/>
                <w:color w:val="auto"/>
              </w:rPr>
            </w:pPr>
          </w:p>
        </w:tc>
        <w:tc>
          <w:tcPr>
            <w:tcW w:w="680" w:type="dxa"/>
            <w:vAlign w:val="bottom"/>
            <w:tcBorders>
              <w:bottom w:val="single" w:sz="8" w:color="305494"/>
              <w:right w:val="single" w:sz="8" w:color="305494"/>
            </w:tcBorders>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180" w:type="dxa"/>
            <w:vAlign w:val="bottom"/>
            <w:tcBorders>
              <w:bottom w:val="single" w:sz="8" w:color="305494"/>
            </w:tcBorders>
          </w:tcPr>
          <w:p>
            <w:pPr>
              <w:spacing w:after="0"/>
              <w:rPr>
                <w:sz w:val="18"/>
                <w:szCs w:val="18"/>
                <w:color w:val="auto"/>
              </w:rPr>
            </w:pPr>
          </w:p>
        </w:tc>
        <w:tc>
          <w:tcPr>
            <w:tcW w:w="500" w:type="dxa"/>
            <w:vAlign w:val="bottom"/>
            <w:tcBorders>
              <w:bottom w:val="single" w:sz="8" w:color="305494"/>
            </w:tcBorders>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340" w:type="dxa"/>
            <w:vAlign w:val="bottom"/>
            <w:tcBorders>
              <w:right w:val="single" w:sz="8" w:color="305494"/>
            </w:tcBorders>
            <w:vMerge w:val="restart"/>
          </w:tcPr>
          <w:p>
            <w:pPr>
              <w:ind w:left="140"/>
              <w:spacing w:after="0"/>
              <w:rPr>
                <w:sz w:val="20"/>
                <w:szCs w:val="20"/>
                <w:color w:val="auto"/>
              </w:rPr>
            </w:pPr>
            <w:r>
              <w:rPr>
                <w:rFonts w:ascii="Times New Roman" w:cs="Times New Roman" w:eastAsia="Times New Roman" w:hAnsi="Times New Roman"/>
                <w:sz w:val="14"/>
                <w:szCs w:val="14"/>
                <w:color w:val="auto"/>
              </w:rPr>
              <w:t>Scott Hutton</w:t>
            </w:r>
          </w:p>
        </w:tc>
        <w:tc>
          <w:tcPr>
            <w:tcW w:w="680" w:type="dxa"/>
            <w:vAlign w:val="bottom"/>
            <w:tcBorders>
              <w:right w:val="single" w:sz="8" w:color="305494"/>
            </w:tcBorders>
            <w:vMerge w:val="restart"/>
          </w:tcPr>
          <w:p>
            <w:pPr>
              <w:jc w:val="right"/>
              <w:ind w:right="388"/>
              <w:spacing w:after="0"/>
              <w:rPr>
                <w:sz w:val="20"/>
                <w:szCs w:val="20"/>
                <w:color w:val="auto"/>
              </w:rPr>
            </w:pPr>
            <w:r>
              <w:rPr>
                <w:rFonts w:ascii="Times New Roman" w:cs="Times New Roman" w:eastAsia="Times New Roman" w:hAnsi="Times New Roman"/>
                <w:sz w:val="14"/>
                <w:szCs w:val="14"/>
                <w:color w:val="auto"/>
              </w:rPr>
              <w:t>52</w:t>
            </w:r>
          </w:p>
        </w:tc>
        <w:tc>
          <w:tcPr>
            <w:tcW w:w="1380" w:type="dxa"/>
            <w:vAlign w:val="bottom"/>
            <w:tcBorders>
              <w:right w:val="single" w:sz="8" w:color="305494"/>
            </w:tcBorders>
          </w:tcPr>
          <w:p>
            <w:pPr>
              <w:ind w:left="40"/>
              <w:spacing w:after="0"/>
              <w:rPr>
                <w:sz w:val="20"/>
                <w:szCs w:val="20"/>
                <w:color w:val="auto"/>
              </w:rPr>
            </w:pPr>
            <w:r>
              <w:rPr>
                <w:rFonts w:ascii="Times New Roman" w:cs="Times New Roman" w:eastAsia="Times New Roman" w:hAnsi="Times New Roman"/>
                <w:sz w:val="14"/>
                <w:szCs w:val="14"/>
                <w:color w:val="auto"/>
              </w:rPr>
              <w:t>President,</w:t>
            </w:r>
          </w:p>
        </w:tc>
        <w:tc>
          <w:tcPr>
            <w:tcW w:w="640" w:type="dxa"/>
            <w:vAlign w:val="bottom"/>
            <w:tcBorders>
              <w:right w:val="single" w:sz="8" w:color="305494"/>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2020</w:t>
            </w:r>
          </w:p>
        </w:tc>
        <w:tc>
          <w:tcPr>
            <w:tcW w:w="680" w:type="dxa"/>
            <w:vAlign w:val="bottom"/>
            <w:tcBorders>
              <w:right w:val="single" w:sz="8" w:color="305494"/>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w w:val="84"/>
              </w:rPr>
              <w:t>I</w:t>
            </w:r>
          </w:p>
        </w:tc>
        <w:tc>
          <w:tcPr>
            <w:tcW w:w="640" w:type="dxa"/>
            <w:vAlign w:val="bottom"/>
            <w:tcBorders>
              <w:right w:val="single" w:sz="8" w:color="305494"/>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2024</w:t>
            </w:r>
          </w:p>
        </w:tc>
        <w:tc>
          <w:tcPr>
            <w:tcW w:w="760" w:type="dxa"/>
            <w:vAlign w:val="bottom"/>
            <w:tcBorders>
              <w:right w:val="single" w:sz="8" w:color="305494"/>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2027</w:t>
            </w:r>
          </w:p>
        </w:tc>
        <w:tc>
          <w:tcPr>
            <w:tcW w:w="900" w:type="dxa"/>
            <w:vAlign w:val="bottom"/>
            <w:tcBorders>
              <w:right w:val="single" w:sz="8" w:color="305494"/>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No</w:t>
            </w:r>
          </w:p>
        </w:tc>
        <w:tc>
          <w:tcPr>
            <w:tcW w:w="540" w:type="dxa"/>
            <w:vAlign w:val="bottom"/>
          </w:tcPr>
          <w:p>
            <w:pPr>
              <w:spacing w:after="0"/>
              <w:rPr>
                <w:sz w:val="14"/>
                <w:szCs w:val="14"/>
                <w:color w:val="auto"/>
              </w:rPr>
            </w:pPr>
          </w:p>
        </w:tc>
        <w:tc>
          <w:tcPr>
            <w:tcW w:w="100" w:type="dxa"/>
            <w:vAlign w:val="bottom"/>
            <w:tcBorders>
              <w:right w:val="single" w:sz="8" w:color="305494"/>
            </w:tcBorders>
          </w:tcPr>
          <w:p>
            <w:pPr>
              <w:spacing w:after="0"/>
              <w:rPr>
                <w:sz w:val="14"/>
                <w:szCs w:val="14"/>
                <w:color w:val="auto"/>
              </w:rPr>
            </w:pPr>
          </w:p>
        </w:tc>
        <w:tc>
          <w:tcPr>
            <w:tcW w:w="680" w:type="dxa"/>
            <w:vAlign w:val="bottom"/>
            <w:tcBorders>
              <w:right w:val="single" w:sz="8" w:color="305494"/>
            </w:tcBorders>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40" w:type="dxa"/>
            <w:vAlign w:val="bottom"/>
            <w:tcBorders>
              <w:right w:val="single" w:sz="8" w:color="305494"/>
            </w:tcBorders>
            <w:vMerge w:val="continue"/>
          </w:tcPr>
          <w:p>
            <w:pPr>
              <w:spacing w:after="0"/>
              <w:rPr>
                <w:sz w:val="12"/>
                <w:szCs w:val="12"/>
                <w:color w:val="auto"/>
              </w:rPr>
            </w:pPr>
          </w:p>
        </w:tc>
        <w:tc>
          <w:tcPr>
            <w:tcW w:w="680" w:type="dxa"/>
            <w:vAlign w:val="bottom"/>
            <w:tcBorders>
              <w:right w:val="single" w:sz="8" w:color="305494"/>
            </w:tcBorders>
            <w:vMerge w:val="continue"/>
          </w:tcPr>
          <w:p>
            <w:pPr>
              <w:spacing w:after="0"/>
              <w:rPr>
                <w:sz w:val="12"/>
                <w:szCs w:val="12"/>
                <w:color w:val="auto"/>
              </w:rPr>
            </w:pPr>
          </w:p>
        </w:tc>
        <w:tc>
          <w:tcPr>
            <w:tcW w:w="1380" w:type="dxa"/>
            <w:vAlign w:val="bottom"/>
            <w:tcBorders>
              <w:right w:val="single" w:sz="8" w:color="305494"/>
            </w:tcBorders>
          </w:tcPr>
          <w:p>
            <w:pPr>
              <w:ind w:left="40"/>
              <w:spacing w:after="0" w:line="149" w:lineRule="exact"/>
              <w:rPr>
                <w:sz w:val="20"/>
                <w:szCs w:val="20"/>
                <w:color w:val="auto"/>
              </w:rPr>
            </w:pPr>
            <w:r>
              <w:rPr>
                <w:rFonts w:ascii="Times New Roman" w:cs="Times New Roman" w:eastAsia="Times New Roman" w:hAnsi="Times New Roman"/>
                <w:sz w:val="14"/>
                <w:szCs w:val="14"/>
                <w:color w:val="auto"/>
              </w:rPr>
              <w:t>Chief Executive</w:t>
            </w:r>
          </w:p>
        </w:tc>
        <w:tc>
          <w:tcPr>
            <w:tcW w:w="640" w:type="dxa"/>
            <w:vAlign w:val="bottom"/>
            <w:tcBorders>
              <w:right w:val="single" w:sz="8" w:color="305494"/>
            </w:tcBorders>
            <w:vMerge w:val="continue"/>
          </w:tcPr>
          <w:p>
            <w:pPr>
              <w:spacing w:after="0"/>
              <w:rPr>
                <w:sz w:val="12"/>
                <w:szCs w:val="12"/>
                <w:color w:val="auto"/>
              </w:rPr>
            </w:pPr>
          </w:p>
        </w:tc>
        <w:tc>
          <w:tcPr>
            <w:tcW w:w="680" w:type="dxa"/>
            <w:vAlign w:val="bottom"/>
            <w:tcBorders>
              <w:right w:val="single" w:sz="8" w:color="305494"/>
            </w:tcBorders>
            <w:vMerge w:val="continue"/>
          </w:tcPr>
          <w:p>
            <w:pPr>
              <w:spacing w:after="0"/>
              <w:rPr>
                <w:sz w:val="12"/>
                <w:szCs w:val="12"/>
                <w:color w:val="auto"/>
              </w:rPr>
            </w:pPr>
          </w:p>
        </w:tc>
        <w:tc>
          <w:tcPr>
            <w:tcW w:w="640" w:type="dxa"/>
            <w:vAlign w:val="bottom"/>
            <w:tcBorders>
              <w:right w:val="single" w:sz="8" w:color="305494"/>
            </w:tcBorders>
            <w:vMerge w:val="continue"/>
          </w:tcPr>
          <w:p>
            <w:pPr>
              <w:spacing w:after="0"/>
              <w:rPr>
                <w:sz w:val="12"/>
                <w:szCs w:val="12"/>
                <w:color w:val="auto"/>
              </w:rPr>
            </w:pPr>
          </w:p>
        </w:tc>
        <w:tc>
          <w:tcPr>
            <w:tcW w:w="760" w:type="dxa"/>
            <w:vAlign w:val="bottom"/>
            <w:tcBorders>
              <w:right w:val="single" w:sz="8" w:color="305494"/>
            </w:tcBorders>
            <w:vMerge w:val="continue"/>
          </w:tcPr>
          <w:p>
            <w:pPr>
              <w:spacing w:after="0"/>
              <w:rPr>
                <w:sz w:val="12"/>
                <w:szCs w:val="12"/>
                <w:color w:val="auto"/>
              </w:rPr>
            </w:pPr>
          </w:p>
        </w:tc>
        <w:tc>
          <w:tcPr>
            <w:tcW w:w="900" w:type="dxa"/>
            <w:vAlign w:val="bottom"/>
            <w:tcBorders>
              <w:right w:val="single" w:sz="8" w:color="305494"/>
            </w:tcBorders>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Borders>
              <w:right w:val="single" w:sz="8" w:color="305494"/>
            </w:tcBorders>
          </w:tcPr>
          <w:p>
            <w:pPr>
              <w:spacing w:after="0"/>
              <w:rPr>
                <w:sz w:val="12"/>
                <w:szCs w:val="12"/>
                <w:color w:val="auto"/>
              </w:rPr>
            </w:pPr>
          </w:p>
        </w:tc>
        <w:tc>
          <w:tcPr>
            <w:tcW w:w="680" w:type="dxa"/>
            <w:vAlign w:val="bottom"/>
            <w:tcBorders>
              <w:right w:val="single" w:sz="8" w:color="305494"/>
            </w:tcBorders>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340" w:type="dxa"/>
            <w:vAlign w:val="bottom"/>
            <w:tcBorders>
              <w:bottom w:val="single" w:sz="8" w:color="305494"/>
              <w:right w:val="single" w:sz="8" w:color="305494"/>
            </w:tcBorders>
          </w:tcPr>
          <w:p>
            <w:pPr>
              <w:spacing w:after="0"/>
              <w:rPr>
                <w:sz w:val="16"/>
                <w:szCs w:val="16"/>
                <w:color w:val="auto"/>
              </w:rPr>
            </w:pPr>
          </w:p>
        </w:tc>
        <w:tc>
          <w:tcPr>
            <w:tcW w:w="680" w:type="dxa"/>
            <w:vAlign w:val="bottom"/>
            <w:tcBorders>
              <w:bottom w:val="single" w:sz="8" w:color="305494"/>
              <w:right w:val="single" w:sz="8" w:color="305494"/>
            </w:tcBorders>
          </w:tcPr>
          <w:p>
            <w:pPr>
              <w:spacing w:after="0"/>
              <w:rPr>
                <w:sz w:val="16"/>
                <w:szCs w:val="16"/>
                <w:color w:val="auto"/>
              </w:rPr>
            </w:pPr>
          </w:p>
        </w:tc>
        <w:tc>
          <w:tcPr>
            <w:tcW w:w="1380" w:type="dxa"/>
            <w:vAlign w:val="bottom"/>
            <w:tcBorders>
              <w:bottom w:val="single" w:sz="8" w:color="305494"/>
              <w:right w:val="single" w:sz="8" w:color="305494"/>
            </w:tcBorders>
          </w:tcPr>
          <w:p>
            <w:pPr>
              <w:ind w:left="40"/>
              <w:spacing w:after="0"/>
              <w:rPr>
                <w:sz w:val="20"/>
                <w:szCs w:val="20"/>
                <w:color w:val="auto"/>
              </w:rPr>
            </w:pPr>
            <w:r>
              <w:rPr>
                <w:rFonts w:ascii="Times New Roman" w:cs="Times New Roman" w:eastAsia="Times New Roman" w:hAnsi="Times New Roman"/>
                <w:sz w:val="14"/>
                <w:szCs w:val="14"/>
                <w:color w:val="auto"/>
              </w:rPr>
              <w:t xml:space="preserve">Officer and Director </w:t>
            </w:r>
          </w:p>
        </w:tc>
        <w:tc>
          <w:tcPr>
            <w:tcW w:w="640" w:type="dxa"/>
            <w:vAlign w:val="bottom"/>
            <w:tcBorders>
              <w:bottom w:val="single" w:sz="8" w:color="305494"/>
              <w:right w:val="single" w:sz="8" w:color="305494"/>
            </w:tcBorders>
          </w:tcPr>
          <w:p>
            <w:pPr>
              <w:spacing w:after="0"/>
              <w:rPr>
                <w:sz w:val="16"/>
                <w:szCs w:val="16"/>
                <w:color w:val="auto"/>
              </w:rPr>
            </w:pPr>
          </w:p>
        </w:tc>
        <w:tc>
          <w:tcPr>
            <w:tcW w:w="680" w:type="dxa"/>
            <w:vAlign w:val="bottom"/>
            <w:tcBorders>
              <w:bottom w:val="single" w:sz="8" w:color="305494"/>
              <w:right w:val="single" w:sz="8" w:color="305494"/>
            </w:tcBorders>
          </w:tcPr>
          <w:p>
            <w:pPr>
              <w:spacing w:after="0"/>
              <w:rPr>
                <w:sz w:val="16"/>
                <w:szCs w:val="16"/>
                <w:color w:val="auto"/>
              </w:rPr>
            </w:pPr>
          </w:p>
        </w:tc>
        <w:tc>
          <w:tcPr>
            <w:tcW w:w="640" w:type="dxa"/>
            <w:vAlign w:val="bottom"/>
            <w:tcBorders>
              <w:bottom w:val="single" w:sz="8" w:color="305494"/>
              <w:right w:val="single" w:sz="8" w:color="305494"/>
            </w:tcBorders>
          </w:tcPr>
          <w:p>
            <w:pPr>
              <w:spacing w:after="0"/>
              <w:rPr>
                <w:sz w:val="16"/>
                <w:szCs w:val="16"/>
                <w:color w:val="auto"/>
              </w:rPr>
            </w:pPr>
          </w:p>
        </w:tc>
        <w:tc>
          <w:tcPr>
            <w:tcW w:w="760" w:type="dxa"/>
            <w:vAlign w:val="bottom"/>
            <w:tcBorders>
              <w:bottom w:val="single" w:sz="8" w:color="305494"/>
              <w:right w:val="single" w:sz="8" w:color="305494"/>
            </w:tcBorders>
          </w:tcPr>
          <w:p>
            <w:pPr>
              <w:spacing w:after="0"/>
              <w:rPr>
                <w:sz w:val="16"/>
                <w:szCs w:val="16"/>
                <w:color w:val="auto"/>
              </w:rPr>
            </w:pPr>
          </w:p>
        </w:tc>
        <w:tc>
          <w:tcPr>
            <w:tcW w:w="900" w:type="dxa"/>
            <w:vAlign w:val="bottom"/>
            <w:tcBorders>
              <w:bottom w:val="single" w:sz="8" w:color="305494"/>
              <w:right w:val="single" w:sz="8" w:color="305494"/>
            </w:tcBorders>
          </w:tcPr>
          <w:p>
            <w:pPr>
              <w:spacing w:after="0"/>
              <w:rPr>
                <w:sz w:val="16"/>
                <w:szCs w:val="16"/>
                <w:color w:val="auto"/>
              </w:rPr>
            </w:pPr>
          </w:p>
        </w:tc>
        <w:tc>
          <w:tcPr>
            <w:tcW w:w="540" w:type="dxa"/>
            <w:vAlign w:val="bottom"/>
            <w:tcBorders>
              <w:bottom w:val="single" w:sz="8" w:color="305494"/>
            </w:tcBorders>
          </w:tcPr>
          <w:p>
            <w:pPr>
              <w:spacing w:after="0"/>
              <w:rPr>
                <w:sz w:val="16"/>
                <w:szCs w:val="16"/>
                <w:color w:val="auto"/>
              </w:rPr>
            </w:pPr>
          </w:p>
        </w:tc>
        <w:tc>
          <w:tcPr>
            <w:tcW w:w="100" w:type="dxa"/>
            <w:vAlign w:val="bottom"/>
            <w:tcBorders>
              <w:bottom w:val="single" w:sz="8" w:color="305494"/>
              <w:right w:val="single" w:sz="8" w:color="305494"/>
            </w:tcBorders>
          </w:tcPr>
          <w:p>
            <w:pPr>
              <w:spacing w:after="0"/>
              <w:rPr>
                <w:sz w:val="16"/>
                <w:szCs w:val="16"/>
                <w:color w:val="auto"/>
              </w:rPr>
            </w:pPr>
          </w:p>
        </w:tc>
        <w:tc>
          <w:tcPr>
            <w:tcW w:w="680" w:type="dxa"/>
            <w:vAlign w:val="bottom"/>
            <w:tcBorders>
              <w:bottom w:val="single" w:sz="8" w:color="305494"/>
              <w:right w:val="single" w:sz="8" w:color="305494"/>
            </w:tcBorders>
          </w:tcPr>
          <w:p>
            <w:pPr>
              <w:spacing w:after="0"/>
              <w:rPr>
                <w:sz w:val="16"/>
                <w:szCs w:val="16"/>
                <w:color w:val="auto"/>
              </w:rPr>
            </w:pPr>
          </w:p>
        </w:tc>
        <w:tc>
          <w:tcPr>
            <w:tcW w:w="180" w:type="dxa"/>
            <w:vAlign w:val="bottom"/>
            <w:tcBorders>
              <w:bottom w:val="single" w:sz="8" w:color="305494"/>
            </w:tcBorders>
          </w:tcPr>
          <w:p>
            <w:pPr>
              <w:spacing w:after="0"/>
              <w:rPr>
                <w:sz w:val="16"/>
                <w:szCs w:val="16"/>
                <w:color w:val="auto"/>
              </w:rPr>
            </w:pPr>
          </w:p>
        </w:tc>
        <w:tc>
          <w:tcPr>
            <w:tcW w:w="500" w:type="dxa"/>
            <w:vAlign w:val="bottom"/>
            <w:tcBorders>
              <w:bottom w:val="single" w:sz="8" w:color="305494"/>
            </w:tcBorders>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340" w:type="dxa"/>
            <w:vAlign w:val="bottom"/>
            <w:tcBorders>
              <w:right w:val="single" w:sz="8" w:color="305494"/>
            </w:tcBorders>
            <w:vMerge w:val="restart"/>
          </w:tcPr>
          <w:p>
            <w:pPr>
              <w:ind w:left="140"/>
              <w:spacing w:after="0"/>
              <w:rPr>
                <w:sz w:val="20"/>
                <w:szCs w:val="20"/>
                <w:color w:val="auto"/>
              </w:rPr>
            </w:pPr>
            <w:r>
              <w:rPr>
                <w:rFonts w:ascii="Times New Roman" w:cs="Times New Roman" w:eastAsia="Times New Roman" w:hAnsi="Times New Roman"/>
                <w:sz w:val="14"/>
                <w:szCs w:val="14"/>
                <w:color w:val="auto"/>
              </w:rPr>
              <w:t>John Patience</w:t>
            </w:r>
          </w:p>
        </w:tc>
        <w:tc>
          <w:tcPr>
            <w:tcW w:w="680" w:type="dxa"/>
            <w:vAlign w:val="bottom"/>
            <w:tcBorders>
              <w:right w:val="single" w:sz="8" w:color="305494"/>
            </w:tcBorders>
            <w:vMerge w:val="restart"/>
          </w:tcPr>
          <w:p>
            <w:pPr>
              <w:jc w:val="right"/>
              <w:ind w:right="388"/>
              <w:spacing w:after="0"/>
              <w:rPr>
                <w:sz w:val="20"/>
                <w:szCs w:val="20"/>
                <w:color w:val="auto"/>
              </w:rPr>
            </w:pPr>
            <w:r>
              <w:rPr>
                <w:rFonts w:ascii="Times New Roman" w:cs="Times New Roman" w:eastAsia="Times New Roman" w:hAnsi="Times New Roman"/>
                <w:sz w:val="14"/>
                <w:szCs w:val="14"/>
                <w:color w:val="auto"/>
              </w:rPr>
              <w:t>76</w:t>
            </w:r>
          </w:p>
        </w:tc>
        <w:tc>
          <w:tcPr>
            <w:tcW w:w="1380" w:type="dxa"/>
            <w:vAlign w:val="bottom"/>
            <w:tcBorders>
              <w:right w:val="single" w:sz="8" w:color="305494"/>
            </w:tcBorders>
          </w:tcPr>
          <w:p>
            <w:pPr>
              <w:ind w:left="40"/>
              <w:spacing w:after="0"/>
              <w:rPr>
                <w:sz w:val="20"/>
                <w:szCs w:val="20"/>
                <w:color w:val="auto"/>
              </w:rPr>
            </w:pPr>
            <w:r>
              <w:rPr>
                <w:rFonts w:ascii="Times New Roman" w:cs="Times New Roman" w:eastAsia="Times New Roman" w:hAnsi="Times New Roman"/>
                <w:sz w:val="14"/>
                <w:szCs w:val="14"/>
                <w:color w:val="auto"/>
              </w:rPr>
              <w:t>Chairman of the</w:t>
            </w:r>
          </w:p>
        </w:tc>
        <w:tc>
          <w:tcPr>
            <w:tcW w:w="640" w:type="dxa"/>
            <w:vAlign w:val="bottom"/>
            <w:tcBorders>
              <w:right w:val="single" w:sz="8" w:color="305494"/>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2008</w:t>
            </w:r>
          </w:p>
        </w:tc>
        <w:tc>
          <w:tcPr>
            <w:tcW w:w="680" w:type="dxa"/>
            <w:vAlign w:val="bottom"/>
            <w:tcBorders>
              <w:right w:val="single" w:sz="8" w:color="305494"/>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w w:val="84"/>
              </w:rPr>
              <w:t>I</w:t>
            </w:r>
          </w:p>
        </w:tc>
        <w:tc>
          <w:tcPr>
            <w:tcW w:w="640" w:type="dxa"/>
            <w:vAlign w:val="bottom"/>
            <w:tcBorders>
              <w:right w:val="single" w:sz="8" w:color="305494"/>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2024</w:t>
            </w:r>
          </w:p>
        </w:tc>
        <w:tc>
          <w:tcPr>
            <w:tcW w:w="760" w:type="dxa"/>
            <w:vAlign w:val="bottom"/>
            <w:tcBorders>
              <w:right w:val="single" w:sz="8" w:color="305494"/>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2027</w:t>
            </w:r>
          </w:p>
        </w:tc>
        <w:tc>
          <w:tcPr>
            <w:tcW w:w="900" w:type="dxa"/>
            <w:vAlign w:val="bottom"/>
            <w:tcBorders>
              <w:right w:val="single" w:sz="8" w:color="305494"/>
            </w:tcBorders>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Yes</w:t>
            </w:r>
          </w:p>
        </w:tc>
        <w:tc>
          <w:tcPr>
            <w:tcW w:w="540" w:type="dxa"/>
            <w:vAlign w:val="bottom"/>
          </w:tcPr>
          <w:p>
            <w:pPr>
              <w:spacing w:after="0"/>
              <w:rPr>
                <w:sz w:val="14"/>
                <w:szCs w:val="14"/>
                <w:color w:val="auto"/>
              </w:rPr>
            </w:pPr>
          </w:p>
        </w:tc>
        <w:tc>
          <w:tcPr>
            <w:tcW w:w="100" w:type="dxa"/>
            <w:vAlign w:val="bottom"/>
            <w:tcBorders>
              <w:right w:val="single" w:sz="8" w:color="305494"/>
            </w:tcBorders>
          </w:tcPr>
          <w:p>
            <w:pPr>
              <w:spacing w:after="0"/>
              <w:rPr>
                <w:sz w:val="14"/>
                <w:szCs w:val="14"/>
                <w:color w:val="auto"/>
              </w:rPr>
            </w:pPr>
          </w:p>
        </w:tc>
        <w:tc>
          <w:tcPr>
            <w:tcW w:w="680" w:type="dxa"/>
            <w:vAlign w:val="bottom"/>
            <w:tcBorders>
              <w:right w:val="single" w:sz="8" w:color="305494"/>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3340" w:type="dxa"/>
            <w:vAlign w:val="bottom"/>
            <w:tcBorders>
              <w:right w:val="single" w:sz="8" w:color="305494"/>
            </w:tcBorders>
            <w:vMerge w:val="continue"/>
          </w:tcPr>
          <w:p>
            <w:pPr>
              <w:spacing w:after="0"/>
              <w:rPr>
                <w:sz w:val="9"/>
                <w:szCs w:val="9"/>
                <w:color w:val="auto"/>
              </w:rPr>
            </w:pPr>
          </w:p>
        </w:tc>
        <w:tc>
          <w:tcPr>
            <w:tcW w:w="680" w:type="dxa"/>
            <w:vAlign w:val="bottom"/>
            <w:tcBorders>
              <w:right w:val="single" w:sz="8" w:color="305494"/>
            </w:tcBorders>
            <w:vMerge w:val="continue"/>
          </w:tcPr>
          <w:p>
            <w:pPr>
              <w:spacing w:after="0"/>
              <w:rPr>
                <w:sz w:val="9"/>
                <w:szCs w:val="9"/>
                <w:color w:val="auto"/>
              </w:rPr>
            </w:pPr>
          </w:p>
        </w:tc>
        <w:tc>
          <w:tcPr>
            <w:tcW w:w="1380" w:type="dxa"/>
            <w:vAlign w:val="bottom"/>
            <w:tcBorders>
              <w:right w:val="single" w:sz="8" w:color="305494"/>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Board</w:t>
            </w:r>
          </w:p>
        </w:tc>
        <w:tc>
          <w:tcPr>
            <w:tcW w:w="640" w:type="dxa"/>
            <w:vAlign w:val="bottom"/>
            <w:tcBorders>
              <w:right w:val="single" w:sz="8" w:color="305494"/>
            </w:tcBorders>
            <w:vMerge w:val="continue"/>
          </w:tcPr>
          <w:p>
            <w:pPr>
              <w:spacing w:after="0"/>
              <w:rPr>
                <w:sz w:val="9"/>
                <w:szCs w:val="9"/>
                <w:color w:val="auto"/>
              </w:rPr>
            </w:pPr>
          </w:p>
        </w:tc>
        <w:tc>
          <w:tcPr>
            <w:tcW w:w="680" w:type="dxa"/>
            <w:vAlign w:val="bottom"/>
            <w:tcBorders>
              <w:right w:val="single" w:sz="8" w:color="305494"/>
            </w:tcBorders>
            <w:vMerge w:val="continue"/>
          </w:tcPr>
          <w:p>
            <w:pPr>
              <w:spacing w:after="0"/>
              <w:rPr>
                <w:sz w:val="9"/>
                <w:szCs w:val="9"/>
                <w:color w:val="auto"/>
              </w:rPr>
            </w:pPr>
          </w:p>
        </w:tc>
        <w:tc>
          <w:tcPr>
            <w:tcW w:w="640" w:type="dxa"/>
            <w:vAlign w:val="bottom"/>
            <w:tcBorders>
              <w:right w:val="single" w:sz="8" w:color="305494"/>
            </w:tcBorders>
            <w:vMerge w:val="continue"/>
          </w:tcPr>
          <w:p>
            <w:pPr>
              <w:spacing w:after="0"/>
              <w:rPr>
                <w:sz w:val="9"/>
                <w:szCs w:val="9"/>
                <w:color w:val="auto"/>
              </w:rPr>
            </w:pPr>
          </w:p>
        </w:tc>
        <w:tc>
          <w:tcPr>
            <w:tcW w:w="760" w:type="dxa"/>
            <w:vAlign w:val="bottom"/>
            <w:tcBorders>
              <w:right w:val="single" w:sz="8" w:color="305494"/>
            </w:tcBorders>
            <w:vMerge w:val="continue"/>
          </w:tcPr>
          <w:p>
            <w:pPr>
              <w:spacing w:after="0"/>
              <w:rPr>
                <w:sz w:val="9"/>
                <w:szCs w:val="9"/>
                <w:color w:val="auto"/>
              </w:rPr>
            </w:pPr>
          </w:p>
        </w:tc>
        <w:tc>
          <w:tcPr>
            <w:tcW w:w="900" w:type="dxa"/>
            <w:vAlign w:val="bottom"/>
            <w:tcBorders>
              <w:right w:val="single" w:sz="8" w:color="305494"/>
            </w:tcBorders>
            <w:vMerge w:val="continue"/>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right w:val="single" w:sz="8" w:color="305494"/>
            </w:tcBorders>
          </w:tcPr>
          <w:p>
            <w:pPr>
              <w:spacing w:after="0"/>
              <w:rPr>
                <w:sz w:val="9"/>
                <w:szCs w:val="9"/>
                <w:color w:val="auto"/>
              </w:rPr>
            </w:pPr>
          </w:p>
        </w:tc>
        <w:tc>
          <w:tcPr>
            <w:tcW w:w="680" w:type="dxa"/>
            <w:vAlign w:val="bottom"/>
            <w:tcBorders>
              <w:right w:val="single" w:sz="8" w:color="305494"/>
            </w:tcBorders>
            <w:vMerge w:val="continue"/>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3340" w:type="dxa"/>
            <w:vAlign w:val="bottom"/>
            <w:tcBorders>
              <w:bottom w:val="single" w:sz="8" w:color="305494"/>
              <w:right w:val="single" w:sz="8" w:color="305494"/>
            </w:tcBorders>
          </w:tcPr>
          <w:p>
            <w:pPr>
              <w:spacing w:after="0"/>
              <w:rPr>
                <w:sz w:val="7"/>
                <w:szCs w:val="7"/>
                <w:color w:val="auto"/>
              </w:rPr>
            </w:pPr>
          </w:p>
        </w:tc>
        <w:tc>
          <w:tcPr>
            <w:tcW w:w="680" w:type="dxa"/>
            <w:vAlign w:val="bottom"/>
            <w:tcBorders>
              <w:bottom w:val="single" w:sz="8" w:color="305494"/>
              <w:right w:val="single" w:sz="8" w:color="305494"/>
            </w:tcBorders>
          </w:tcPr>
          <w:p>
            <w:pPr>
              <w:spacing w:after="0"/>
              <w:rPr>
                <w:sz w:val="7"/>
                <w:szCs w:val="7"/>
                <w:color w:val="auto"/>
              </w:rPr>
            </w:pPr>
          </w:p>
        </w:tc>
        <w:tc>
          <w:tcPr>
            <w:tcW w:w="1380" w:type="dxa"/>
            <w:vAlign w:val="bottom"/>
            <w:tcBorders>
              <w:bottom w:val="single" w:sz="8" w:color="305494"/>
              <w:right w:val="single" w:sz="8" w:color="305494"/>
            </w:tcBorders>
            <w:vMerge w:val="continue"/>
          </w:tcPr>
          <w:p>
            <w:pPr>
              <w:spacing w:after="0"/>
              <w:rPr>
                <w:sz w:val="7"/>
                <w:szCs w:val="7"/>
                <w:color w:val="auto"/>
              </w:rPr>
            </w:pPr>
          </w:p>
        </w:tc>
        <w:tc>
          <w:tcPr>
            <w:tcW w:w="640" w:type="dxa"/>
            <w:vAlign w:val="bottom"/>
            <w:tcBorders>
              <w:bottom w:val="single" w:sz="8" w:color="305494"/>
              <w:right w:val="single" w:sz="8" w:color="305494"/>
            </w:tcBorders>
          </w:tcPr>
          <w:p>
            <w:pPr>
              <w:spacing w:after="0"/>
              <w:rPr>
                <w:sz w:val="7"/>
                <w:szCs w:val="7"/>
                <w:color w:val="auto"/>
              </w:rPr>
            </w:pPr>
          </w:p>
        </w:tc>
        <w:tc>
          <w:tcPr>
            <w:tcW w:w="680" w:type="dxa"/>
            <w:vAlign w:val="bottom"/>
            <w:tcBorders>
              <w:bottom w:val="single" w:sz="8" w:color="305494"/>
              <w:right w:val="single" w:sz="8" w:color="305494"/>
            </w:tcBorders>
          </w:tcPr>
          <w:p>
            <w:pPr>
              <w:spacing w:after="0"/>
              <w:rPr>
                <w:sz w:val="7"/>
                <w:szCs w:val="7"/>
                <w:color w:val="auto"/>
              </w:rPr>
            </w:pPr>
          </w:p>
        </w:tc>
        <w:tc>
          <w:tcPr>
            <w:tcW w:w="640" w:type="dxa"/>
            <w:vAlign w:val="bottom"/>
            <w:tcBorders>
              <w:bottom w:val="single" w:sz="8" w:color="305494"/>
              <w:right w:val="single" w:sz="8" w:color="305494"/>
            </w:tcBorders>
          </w:tcPr>
          <w:p>
            <w:pPr>
              <w:spacing w:after="0"/>
              <w:rPr>
                <w:sz w:val="7"/>
                <w:szCs w:val="7"/>
                <w:color w:val="auto"/>
              </w:rPr>
            </w:pPr>
          </w:p>
        </w:tc>
        <w:tc>
          <w:tcPr>
            <w:tcW w:w="760" w:type="dxa"/>
            <w:vAlign w:val="bottom"/>
            <w:tcBorders>
              <w:bottom w:val="single" w:sz="8" w:color="305494"/>
              <w:right w:val="single" w:sz="8" w:color="305494"/>
            </w:tcBorders>
          </w:tcPr>
          <w:p>
            <w:pPr>
              <w:spacing w:after="0"/>
              <w:rPr>
                <w:sz w:val="7"/>
                <w:szCs w:val="7"/>
                <w:color w:val="auto"/>
              </w:rPr>
            </w:pPr>
          </w:p>
        </w:tc>
        <w:tc>
          <w:tcPr>
            <w:tcW w:w="900" w:type="dxa"/>
            <w:vAlign w:val="bottom"/>
            <w:tcBorders>
              <w:bottom w:val="single" w:sz="8" w:color="305494"/>
              <w:right w:val="single" w:sz="8" w:color="305494"/>
            </w:tcBorders>
          </w:tcPr>
          <w:p>
            <w:pPr>
              <w:spacing w:after="0"/>
              <w:rPr>
                <w:sz w:val="7"/>
                <w:szCs w:val="7"/>
                <w:color w:val="auto"/>
              </w:rPr>
            </w:pPr>
          </w:p>
        </w:tc>
        <w:tc>
          <w:tcPr>
            <w:tcW w:w="540" w:type="dxa"/>
            <w:vAlign w:val="bottom"/>
            <w:tcBorders>
              <w:bottom w:val="single" w:sz="8" w:color="305494"/>
            </w:tcBorders>
          </w:tcPr>
          <w:p>
            <w:pPr>
              <w:spacing w:after="0"/>
              <w:rPr>
                <w:sz w:val="7"/>
                <w:szCs w:val="7"/>
                <w:color w:val="auto"/>
              </w:rPr>
            </w:pPr>
          </w:p>
        </w:tc>
        <w:tc>
          <w:tcPr>
            <w:tcW w:w="100" w:type="dxa"/>
            <w:vAlign w:val="bottom"/>
            <w:tcBorders>
              <w:bottom w:val="single" w:sz="8" w:color="305494"/>
              <w:right w:val="single" w:sz="8" w:color="305494"/>
            </w:tcBorders>
          </w:tcPr>
          <w:p>
            <w:pPr>
              <w:spacing w:after="0"/>
              <w:rPr>
                <w:sz w:val="7"/>
                <w:szCs w:val="7"/>
                <w:color w:val="auto"/>
              </w:rPr>
            </w:pPr>
          </w:p>
        </w:tc>
        <w:tc>
          <w:tcPr>
            <w:tcW w:w="680" w:type="dxa"/>
            <w:vAlign w:val="bottom"/>
            <w:tcBorders>
              <w:bottom w:val="single" w:sz="8" w:color="305494"/>
              <w:right w:val="single" w:sz="8" w:color="305494"/>
            </w:tcBorders>
          </w:tcPr>
          <w:p>
            <w:pPr>
              <w:spacing w:after="0"/>
              <w:rPr>
                <w:sz w:val="7"/>
                <w:szCs w:val="7"/>
                <w:color w:val="auto"/>
              </w:rPr>
            </w:pPr>
          </w:p>
        </w:tc>
        <w:tc>
          <w:tcPr>
            <w:tcW w:w="180" w:type="dxa"/>
            <w:vAlign w:val="bottom"/>
            <w:tcBorders>
              <w:bottom w:val="single" w:sz="8" w:color="305494"/>
            </w:tcBorders>
          </w:tcPr>
          <w:p>
            <w:pPr>
              <w:spacing w:after="0"/>
              <w:rPr>
                <w:sz w:val="7"/>
                <w:szCs w:val="7"/>
                <w:color w:val="auto"/>
              </w:rPr>
            </w:pPr>
          </w:p>
        </w:tc>
        <w:tc>
          <w:tcPr>
            <w:tcW w:w="500" w:type="dxa"/>
            <w:vAlign w:val="bottom"/>
            <w:tcBorders>
              <w:bottom w:val="single" w:sz="8" w:color="305494"/>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3340" w:type="dxa"/>
            <w:vAlign w:val="bottom"/>
            <w:tcBorders>
              <w:bottom w:val="single" w:sz="8" w:color="305494"/>
            </w:tcBorders>
          </w:tcPr>
          <w:p>
            <w:pPr>
              <w:spacing w:after="0"/>
              <w:rPr>
                <w:sz w:val="20"/>
                <w:szCs w:val="20"/>
                <w:color w:val="auto"/>
              </w:rPr>
            </w:pPr>
            <w:r>
              <w:rPr>
                <w:rFonts w:ascii="Times New Roman" w:cs="Times New Roman" w:eastAsia="Times New Roman" w:hAnsi="Times New Roman"/>
                <w:sz w:val="14"/>
                <w:szCs w:val="14"/>
                <w:b w:val="1"/>
                <w:bCs w:val="1"/>
                <w:color w:val="305494"/>
              </w:rPr>
              <w:t>CONTINUING DIRECTORS</w:t>
            </w:r>
          </w:p>
        </w:tc>
        <w:tc>
          <w:tcPr>
            <w:tcW w:w="680" w:type="dxa"/>
            <w:vAlign w:val="bottom"/>
            <w:tcBorders>
              <w:bottom w:val="single" w:sz="8" w:color="305494"/>
            </w:tcBorders>
          </w:tcPr>
          <w:p>
            <w:pPr>
              <w:spacing w:after="0"/>
              <w:rPr>
                <w:sz w:val="18"/>
                <w:szCs w:val="18"/>
                <w:color w:val="auto"/>
              </w:rPr>
            </w:pPr>
          </w:p>
        </w:tc>
        <w:tc>
          <w:tcPr>
            <w:tcW w:w="1380" w:type="dxa"/>
            <w:vAlign w:val="bottom"/>
            <w:tcBorders>
              <w:bottom w:val="single" w:sz="8" w:color="305494"/>
            </w:tcBorders>
          </w:tcPr>
          <w:p>
            <w:pPr>
              <w:spacing w:after="0"/>
              <w:rPr>
                <w:sz w:val="18"/>
                <w:szCs w:val="18"/>
                <w:color w:val="auto"/>
              </w:rPr>
            </w:pPr>
          </w:p>
        </w:tc>
        <w:tc>
          <w:tcPr>
            <w:tcW w:w="640" w:type="dxa"/>
            <w:vAlign w:val="bottom"/>
            <w:tcBorders>
              <w:bottom w:val="single" w:sz="8" w:color="305494"/>
            </w:tcBorders>
          </w:tcPr>
          <w:p>
            <w:pPr>
              <w:spacing w:after="0"/>
              <w:rPr>
                <w:sz w:val="18"/>
                <w:szCs w:val="18"/>
                <w:color w:val="auto"/>
              </w:rPr>
            </w:pPr>
          </w:p>
        </w:tc>
        <w:tc>
          <w:tcPr>
            <w:tcW w:w="680" w:type="dxa"/>
            <w:vAlign w:val="bottom"/>
            <w:tcBorders>
              <w:bottom w:val="single" w:sz="8" w:color="305494"/>
            </w:tcBorders>
          </w:tcPr>
          <w:p>
            <w:pPr>
              <w:spacing w:after="0"/>
              <w:rPr>
                <w:sz w:val="18"/>
                <w:szCs w:val="18"/>
                <w:color w:val="auto"/>
              </w:rPr>
            </w:pPr>
          </w:p>
        </w:tc>
        <w:tc>
          <w:tcPr>
            <w:tcW w:w="640" w:type="dxa"/>
            <w:vAlign w:val="bottom"/>
            <w:tcBorders>
              <w:bottom w:val="single" w:sz="8" w:color="305494"/>
            </w:tcBorders>
          </w:tcPr>
          <w:p>
            <w:pPr>
              <w:spacing w:after="0"/>
              <w:rPr>
                <w:sz w:val="18"/>
                <w:szCs w:val="18"/>
                <w:color w:val="auto"/>
              </w:rPr>
            </w:pPr>
          </w:p>
        </w:tc>
        <w:tc>
          <w:tcPr>
            <w:tcW w:w="760" w:type="dxa"/>
            <w:vAlign w:val="bottom"/>
            <w:tcBorders>
              <w:bottom w:val="single" w:sz="8" w:color="305494"/>
            </w:tcBorders>
          </w:tcPr>
          <w:p>
            <w:pPr>
              <w:spacing w:after="0"/>
              <w:rPr>
                <w:sz w:val="18"/>
                <w:szCs w:val="18"/>
                <w:color w:val="auto"/>
              </w:rPr>
            </w:pPr>
          </w:p>
        </w:tc>
        <w:tc>
          <w:tcPr>
            <w:tcW w:w="900" w:type="dxa"/>
            <w:vAlign w:val="bottom"/>
            <w:tcBorders>
              <w:bottom w:val="single" w:sz="8" w:color="305494"/>
            </w:tcBorders>
          </w:tcPr>
          <w:p>
            <w:pPr>
              <w:spacing w:after="0"/>
              <w:rPr>
                <w:sz w:val="18"/>
                <w:szCs w:val="18"/>
                <w:color w:val="auto"/>
              </w:rPr>
            </w:pPr>
          </w:p>
        </w:tc>
        <w:tc>
          <w:tcPr>
            <w:tcW w:w="540" w:type="dxa"/>
            <w:vAlign w:val="bottom"/>
            <w:tcBorders>
              <w:bottom w:val="single" w:sz="8" w:color="305494"/>
            </w:tcBorders>
          </w:tcPr>
          <w:p>
            <w:pPr>
              <w:spacing w:after="0"/>
              <w:rPr>
                <w:sz w:val="18"/>
                <w:szCs w:val="18"/>
                <w:color w:val="auto"/>
              </w:rPr>
            </w:pPr>
          </w:p>
        </w:tc>
        <w:tc>
          <w:tcPr>
            <w:tcW w:w="100" w:type="dxa"/>
            <w:vAlign w:val="bottom"/>
            <w:tcBorders>
              <w:bottom w:val="single" w:sz="8" w:color="305494"/>
            </w:tcBorders>
          </w:tcPr>
          <w:p>
            <w:pPr>
              <w:spacing w:after="0"/>
              <w:rPr>
                <w:sz w:val="18"/>
                <w:szCs w:val="18"/>
                <w:color w:val="auto"/>
              </w:rPr>
            </w:pPr>
          </w:p>
        </w:tc>
        <w:tc>
          <w:tcPr>
            <w:tcW w:w="680" w:type="dxa"/>
            <w:vAlign w:val="bottom"/>
            <w:tcBorders>
              <w:bottom w:val="single" w:sz="8" w:color="305494"/>
            </w:tcBorders>
          </w:tcPr>
          <w:p>
            <w:pPr>
              <w:spacing w:after="0"/>
              <w:rPr>
                <w:sz w:val="18"/>
                <w:szCs w:val="18"/>
                <w:color w:val="auto"/>
              </w:rPr>
            </w:pPr>
          </w:p>
        </w:tc>
        <w:tc>
          <w:tcPr>
            <w:tcW w:w="180" w:type="dxa"/>
            <w:vAlign w:val="bottom"/>
            <w:tcBorders>
              <w:bottom w:val="single" w:sz="8" w:color="305494"/>
            </w:tcBorders>
          </w:tcPr>
          <w:p>
            <w:pPr>
              <w:spacing w:after="0"/>
              <w:rPr>
                <w:sz w:val="18"/>
                <w:szCs w:val="18"/>
                <w:color w:val="auto"/>
              </w:rPr>
            </w:pPr>
          </w:p>
        </w:tc>
        <w:tc>
          <w:tcPr>
            <w:tcW w:w="500" w:type="dxa"/>
            <w:vAlign w:val="bottom"/>
            <w:tcBorders>
              <w:bottom w:val="single" w:sz="8" w:color="305494"/>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40" w:type="dxa"/>
            <w:vAlign w:val="bottom"/>
            <w:tcBorders>
              <w:bottom w:val="single" w:sz="8" w:color="305494"/>
              <w:right w:val="single" w:sz="8" w:color="305494"/>
            </w:tcBorders>
          </w:tcPr>
          <w:p>
            <w:pPr>
              <w:ind w:left="140"/>
              <w:spacing w:after="0"/>
              <w:rPr>
                <w:sz w:val="20"/>
                <w:szCs w:val="20"/>
                <w:color w:val="auto"/>
              </w:rPr>
            </w:pPr>
            <w:r>
              <w:rPr>
                <w:rFonts w:ascii="Times New Roman" w:cs="Times New Roman" w:eastAsia="Times New Roman" w:hAnsi="Times New Roman"/>
                <w:sz w:val="14"/>
                <w:szCs w:val="14"/>
                <w:color w:val="auto"/>
              </w:rPr>
              <w:t>Lawrence T. Kennedy, Jr.</w:t>
            </w:r>
          </w:p>
        </w:tc>
        <w:tc>
          <w:tcPr>
            <w:tcW w:w="680" w:type="dxa"/>
            <w:vAlign w:val="bottom"/>
            <w:tcBorders>
              <w:bottom w:val="single" w:sz="8" w:color="305494"/>
              <w:right w:val="single" w:sz="8" w:color="305494"/>
            </w:tcBorders>
          </w:tcPr>
          <w:p>
            <w:pPr>
              <w:jc w:val="right"/>
              <w:ind w:right="388"/>
              <w:spacing w:after="0"/>
              <w:rPr>
                <w:sz w:val="20"/>
                <w:szCs w:val="20"/>
                <w:color w:val="auto"/>
              </w:rPr>
            </w:pPr>
            <w:r>
              <w:rPr>
                <w:rFonts w:ascii="Times New Roman" w:cs="Times New Roman" w:eastAsia="Times New Roman" w:hAnsi="Times New Roman"/>
                <w:sz w:val="14"/>
                <w:szCs w:val="14"/>
                <w:color w:val="auto"/>
              </w:rPr>
              <w:t>52</w:t>
            </w:r>
          </w:p>
        </w:tc>
        <w:tc>
          <w:tcPr>
            <w:tcW w:w="1380" w:type="dxa"/>
            <w:vAlign w:val="bottom"/>
            <w:tcBorders>
              <w:bottom w:val="single" w:sz="8" w:color="305494"/>
              <w:right w:val="single" w:sz="8" w:color="305494"/>
            </w:tcBorders>
          </w:tcPr>
          <w:p>
            <w:pPr>
              <w:ind w:left="40"/>
              <w:spacing w:after="0"/>
              <w:rPr>
                <w:sz w:val="20"/>
                <w:szCs w:val="20"/>
                <w:color w:val="auto"/>
              </w:rPr>
            </w:pPr>
            <w:r>
              <w:rPr>
                <w:rFonts w:ascii="Times New Roman" w:cs="Times New Roman" w:eastAsia="Times New Roman" w:hAnsi="Times New Roman"/>
                <w:sz w:val="14"/>
                <w:szCs w:val="14"/>
                <w:color w:val="auto"/>
              </w:rPr>
              <w:t>Director</w:t>
            </w:r>
          </w:p>
        </w:tc>
        <w:tc>
          <w:tcPr>
            <w:tcW w:w="640" w:type="dxa"/>
            <w:vAlign w:val="bottom"/>
            <w:tcBorders>
              <w:bottom w:val="single" w:sz="8" w:color="305494"/>
              <w:right w:val="single" w:sz="8" w:color="305494"/>
            </w:tcBorders>
          </w:tcPr>
          <w:p>
            <w:pPr>
              <w:jc w:val="center"/>
              <w:spacing w:after="0"/>
              <w:rPr>
                <w:sz w:val="20"/>
                <w:szCs w:val="20"/>
                <w:color w:val="auto"/>
              </w:rPr>
            </w:pPr>
            <w:r>
              <w:rPr>
                <w:rFonts w:ascii="Times New Roman" w:cs="Times New Roman" w:eastAsia="Times New Roman" w:hAnsi="Times New Roman"/>
                <w:sz w:val="14"/>
                <w:szCs w:val="14"/>
                <w:color w:val="auto"/>
              </w:rPr>
              <w:t>2023</w:t>
            </w:r>
          </w:p>
        </w:tc>
        <w:tc>
          <w:tcPr>
            <w:tcW w:w="680" w:type="dxa"/>
            <w:vAlign w:val="bottom"/>
            <w:tcBorders>
              <w:bottom w:val="single" w:sz="8" w:color="305494"/>
              <w:right w:val="single" w:sz="8" w:color="305494"/>
            </w:tcBorders>
          </w:tcPr>
          <w:p>
            <w:pPr>
              <w:jc w:val="center"/>
              <w:spacing w:after="0"/>
              <w:rPr>
                <w:sz w:val="20"/>
                <w:szCs w:val="20"/>
                <w:color w:val="auto"/>
              </w:rPr>
            </w:pPr>
            <w:r>
              <w:rPr>
                <w:rFonts w:ascii="Times New Roman" w:cs="Times New Roman" w:eastAsia="Times New Roman" w:hAnsi="Times New Roman"/>
                <w:sz w:val="14"/>
                <w:szCs w:val="14"/>
                <w:color w:val="auto"/>
              </w:rPr>
              <w:t>II</w:t>
            </w:r>
          </w:p>
        </w:tc>
        <w:tc>
          <w:tcPr>
            <w:tcW w:w="640" w:type="dxa"/>
            <w:vAlign w:val="bottom"/>
            <w:tcBorders>
              <w:bottom w:val="single" w:sz="8" w:color="305494"/>
              <w:right w:val="single" w:sz="8" w:color="305494"/>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760" w:type="dxa"/>
            <w:vAlign w:val="bottom"/>
            <w:tcBorders>
              <w:bottom w:val="single" w:sz="8" w:color="305494"/>
              <w:right w:val="single" w:sz="8" w:color="305494"/>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Borders>
              <w:bottom w:val="single" w:sz="8" w:color="305494"/>
              <w:right w:val="single" w:sz="8" w:color="305494"/>
            </w:tcBorders>
          </w:tcPr>
          <w:p>
            <w:pPr>
              <w:jc w:val="center"/>
              <w:ind w:left="8"/>
              <w:spacing w:after="0"/>
              <w:rPr>
                <w:sz w:val="20"/>
                <w:szCs w:val="20"/>
                <w:color w:val="auto"/>
              </w:rPr>
            </w:pPr>
            <w:r>
              <w:rPr>
                <w:rFonts w:ascii="Times New Roman" w:cs="Times New Roman" w:eastAsia="Times New Roman" w:hAnsi="Times New Roman"/>
                <w:sz w:val="14"/>
                <w:szCs w:val="14"/>
                <w:color w:val="auto"/>
              </w:rPr>
              <w:t>Yes</w:t>
            </w:r>
          </w:p>
        </w:tc>
        <w:tc>
          <w:tcPr>
            <w:tcW w:w="540" w:type="dxa"/>
            <w:vAlign w:val="bottom"/>
            <w:tcBorders>
              <w:bottom w:val="single" w:sz="8" w:color="305494"/>
            </w:tcBorders>
          </w:tcPr>
          <w:p>
            <w:pPr>
              <w:jc w:val="center"/>
              <w:ind w:left="48"/>
              <w:spacing w:after="0"/>
              <w:rPr>
                <w:sz w:val="20"/>
                <w:szCs w:val="20"/>
                <w:color w:val="auto"/>
              </w:rPr>
            </w:pPr>
            <w:r>
              <w:rPr>
                <w:rFonts w:ascii="Times New Roman" w:cs="Times New Roman" w:eastAsia="Times New Roman" w:hAnsi="Times New Roman"/>
                <w:sz w:val="14"/>
                <w:szCs w:val="14"/>
                <w:color w:val="auto"/>
                <w:w w:val="98"/>
              </w:rPr>
              <w:t>X</w:t>
            </w:r>
          </w:p>
        </w:tc>
        <w:tc>
          <w:tcPr>
            <w:tcW w:w="100" w:type="dxa"/>
            <w:vAlign w:val="bottom"/>
            <w:tcBorders>
              <w:bottom w:val="single" w:sz="8" w:color="305494"/>
              <w:right w:val="single" w:sz="8" w:color="305494"/>
            </w:tcBorders>
          </w:tcPr>
          <w:p>
            <w:pPr>
              <w:spacing w:after="0"/>
              <w:rPr>
                <w:sz w:val="18"/>
                <w:szCs w:val="18"/>
                <w:color w:val="auto"/>
              </w:rPr>
            </w:pPr>
          </w:p>
        </w:tc>
        <w:tc>
          <w:tcPr>
            <w:tcW w:w="680" w:type="dxa"/>
            <w:vAlign w:val="bottom"/>
            <w:tcBorders>
              <w:bottom w:val="single" w:sz="8" w:color="305494"/>
              <w:right w:val="single" w:sz="8" w:color="305494"/>
            </w:tcBorders>
          </w:tcPr>
          <w:p>
            <w:pPr>
              <w:spacing w:after="0"/>
              <w:rPr>
                <w:sz w:val="18"/>
                <w:szCs w:val="18"/>
                <w:color w:val="auto"/>
              </w:rPr>
            </w:pPr>
          </w:p>
        </w:tc>
        <w:tc>
          <w:tcPr>
            <w:tcW w:w="180" w:type="dxa"/>
            <w:vAlign w:val="bottom"/>
            <w:tcBorders>
              <w:bottom w:val="single" w:sz="8" w:color="305494"/>
            </w:tcBorders>
          </w:tcPr>
          <w:p>
            <w:pPr>
              <w:spacing w:after="0"/>
              <w:rPr>
                <w:sz w:val="18"/>
                <w:szCs w:val="18"/>
                <w:color w:val="auto"/>
              </w:rPr>
            </w:pPr>
          </w:p>
        </w:tc>
        <w:tc>
          <w:tcPr>
            <w:tcW w:w="500" w:type="dxa"/>
            <w:vAlign w:val="bottom"/>
            <w:tcBorders>
              <w:bottom w:val="single" w:sz="8" w:color="305494"/>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Borders>
              <w:bottom w:val="single" w:sz="8" w:color="305494"/>
              <w:right w:val="single" w:sz="8" w:color="305494"/>
            </w:tcBorders>
          </w:tcPr>
          <w:p>
            <w:pPr>
              <w:ind w:left="140"/>
              <w:spacing w:after="0"/>
              <w:rPr>
                <w:sz w:val="20"/>
                <w:szCs w:val="20"/>
                <w:color w:val="auto"/>
              </w:rPr>
            </w:pPr>
            <w:r>
              <w:rPr>
                <w:rFonts w:ascii="Times New Roman" w:cs="Times New Roman" w:eastAsia="Times New Roman" w:hAnsi="Times New Roman"/>
                <w:sz w:val="14"/>
                <w:szCs w:val="14"/>
                <w:color w:val="auto"/>
              </w:rPr>
              <w:t>Matthew Strobeck, Ph.D.</w:t>
            </w:r>
          </w:p>
        </w:tc>
        <w:tc>
          <w:tcPr>
            <w:tcW w:w="680" w:type="dxa"/>
            <w:vAlign w:val="bottom"/>
            <w:tcBorders>
              <w:bottom w:val="single" w:sz="8" w:color="305494"/>
              <w:right w:val="single" w:sz="8" w:color="305494"/>
            </w:tcBorders>
          </w:tcPr>
          <w:p>
            <w:pPr>
              <w:jc w:val="right"/>
              <w:ind w:right="388"/>
              <w:spacing w:after="0"/>
              <w:rPr>
                <w:sz w:val="20"/>
                <w:szCs w:val="20"/>
                <w:color w:val="auto"/>
              </w:rPr>
            </w:pPr>
            <w:r>
              <w:rPr>
                <w:rFonts w:ascii="Times New Roman" w:cs="Times New Roman" w:eastAsia="Times New Roman" w:hAnsi="Times New Roman"/>
                <w:sz w:val="14"/>
                <w:szCs w:val="14"/>
                <w:color w:val="auto"/>
              </w:rPr>
              <w:t>51</w:t>
            </w:r>
          </w:p>
        </w:tc>
        <w:tc>
          <w:tcPr>
            <w:tcW w:w="1380" w:type="dxa"/>
            <w:vAlign w:val="bottom"/>
            <w:tcBorders>
              <w:bottom w:val="single" w:sz="8" w:color="305494"/>
              <w:right w:val="single" w:sz="8" w:color="305494"/>
            </w:tcBorders>
          </w:tcPr>
          <w:p>
            <w:pPr>
              <w:ind w:left="40"/>
              <w:spacing w:after="0"/>
              <w:rPr>
                <w:sz w:val="20"/>
                <w:szCs w:val="20"/>
                <w:color w:val="auto"/>
              </w:rPr>
            </w:pPr>
            <w:r>
              <w:rPr>
                <w:rFonts w:ascii="Times New Roman" w:cs="Times New Roman" w:eastAsia="Times New Roman" w:hAnsi="Times New Roman"/>
                <w:sz w:val="14"/>
                <w:szCs w:val="14"/>
                <w:color w:val="auto"/>
              </w:rPr>
              <w:t>Director</w:t>
            </w:r>
          </w:p>
        </w:tc>
        <w:tc>
          <w:tcPr>
            <w:tcW w:w="640" w:type="dxa"/>
            <w:vAlign w:val="bottom"/>
            <w:tcBorders>
              <w:bottom w:val="single" w:sz="8" w:color="305494"/>
              <w:right w:val="single" w:sz="8" w:color="305494"/>
            </w:tcBorders>
          </w:tcPr>
          <w:p>
            <w:pPr>
              <w:jc w:val="center"/>
              <w:spacing w:after="0"/>
              <w:rPr>
                <w:sz w:val="20"/>
                <w:szCs w:val="20"/>
                <w:color w:val="auto"/>
              </w:rPr>
            </w:pPr>
            <w:r>
              <w:rPr>
                <w:rFonts w:ascii="Times New Roman" w:cs="Times New Roman" w:eastAsia="Times New Roman" w:hAnsi="Times New Roman"/>
                <w:sz w:val="14"/>
                <w:szCs w:val="14"/>
                <w:color w:val="auto"/>
              </w:rPr>
              <w:t>2012</w:t>
            </w:r>
          </w:p>
        </w:tc>
        <w:tc>
          <w:tcPr>
            <w:tcW w:w="680" w:type="dxa"/>
            <w:vAlign w:val="bottom"/>
            <w:tcBorders>
              <w:bottom w:val="single" w:sz="8" w:color="305494"/>
              <w:right w:val="single" w:sz="8" w:color="305494"/>
            </w:tcBorders>
          </w:tcPr>
          <w:p>
            <w:pPr>
              <w:jc w:val="center"/>
              <w:spacing w:after="0"/>
              <w:rPr>
                <w:sz w:val="20"/>
                <w:szCs w:val="20"/>
                <w:color w:val="auto"/>
              </w:rPr>
            </w:pPr>
            <w:r>
              <w:rPr>
                <w:rFonts w:ascii="Times New Roman" w:cs="Times New Roman" w:eastAsia="Times New Roman" w:hAnsi="Times New Roman"/>
                <w:sz w:val="14"/>
                <w:szCs w:val="14"/>
                <w:color w:val="auto"/>
              </w:rPr>
              <w:t>II</w:t>
            </w:r>
          </w:p>
        </w:tc>
        <w:tc>
          <w:tcPr>
            <w:tcW w:w="640" w:type="dxa"/>
            <w:vAlign w:val="bottom"/>
            <w:tcBorders>
              <w:bottom w:val="single" w:sz="8" w:color="305494"/>
              <w:right w:val="single" w:sz="8" w:color="305494"/>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760" w:type="dxa"/>
            <w:vAlign w:val="bottom"/>
            <w:tcBorders>
              <w:bottom w:val="single" w:sz="8" w:color="305494"/>
              <w:right w:val="single" w:sz="8" w:color="305494"/>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Borders>
              <w:bottom w:val="single" w:sz="8" w:color="305494"/>
              <w:right w:val="single" w:sz="8" w:color="305494"/>
            </w:tcBorders>
          </w:tcPr>
          <w:p>
            <w:pPr>
              <w:jc w:val="center"/>
              <w:ind w:left="8"/>
              <w:spacing w:after="0"/>
              <w:rPr>
                <w:sz w:val="20"/>
                <w:szCs w:val="20"/>
                <w:color w:val="auto"/>
              </w:rPr>
            </w:pPr>
            <w:r>
              <w:rPr>
                <w:rFonts w:ascii="Times New Roman" w:cs="Times New Roman" w:eastAsia="Times New Roman" w:hAnsi="Times New Roman"/>
                <w:sz w:val="14"/>
                <w:szCs w:val="14"/>
                <w:color w:val="auto"/>
              </w:rPr>
              <w:t>Yes</w:t>
            </w:r>
          </w:p>
        </w:tc>
        <w:tc>
          <w:tcPr>
            <w:tcW w:w="540" w:type="dxa"/>
            <w:vAlign w:val="bottom"/>
            <w:tcBorders>
              <w:bottom w:val="single" w:sz="8" w:color="305494"/>
            </w:tcBorders>
          </w:tcPr>
          <w:p>
            <w:pPr>
              <w:jc w:val="center"/>
              <w:ind w:left="48"/>
              <w:spacing w:after="0"/>
              <w:rPr>
                <w:sz w:val="20"/>
                <w:szCs w:val="20"/>
                <w:color w:val="auto"/>
              </w:rPr>
            </w:pPr>
            <w:r>
              <w:rPr>
                <w:rFonts w:ascii="Times New Roman" w:cs="Times New Roman" w:eastAsia="Times New Roman" w:hAnsi="Times New Roman"/>
                <w:sz w:val="14"/>
                <w:szCs w:val="14"/>
                <w:color w:val="auto"/>
                <w:w w:val="98"/>
              </w:rPr>
              <w:t>X</w:t>
            </w:r>
          </w:p>
        </w:tc>
        <w:tc>
          <w:tcPr>
            <w:tcW w:w="100" w:type="dxa"/>
            <w:vAlign w:val="bottom"/>
            <w:tcBorders>
              <w:bottom w:val="single" w:sz="8" w:color="305494"/>
              <w:right w:val="single" w:sz="8" w:color="305494"/>
            </w:tcBorders>
          </w:tcPr>
          <w:p>
            <w:pPr>
              <w:spacing w:after="0"/>
              <w:rPr>
                <w:sz w:val="18"/>
                <w:szCs w:val="18"/>
                <w:color w:val="auto"/>
              </w:rPr>
            </w:pPr>
          </w:p>
        </w:tc>
        <w:tc>
          <w:tcPr>
            <w:tcW w:w="680" w:type="dxa"/>
            <w:vAlign w:val="bottom"/>
            <w:tcBorders>
              <w:bottom w:val="single" w:sz="8" w:color="305494"/>
              <w:right w:val="single" w:sz="8" w:color="305494"/>
            </w:tcBorders>
          </w:tcPr>
          <w:p>
            <w:pPr>
              <w:spacing w:after="0"/>
              <w:rPr>
                <w:sz w:val="18"/>
                <w:szCs w:val="18"/>
                <w:color w:val="auto"/>
              </w:rPr>
            </w:pPr>
          </w:p>
        </w:tc>
        <w:tc>
          <w:tcPr>
            <w:tcW w:w="180" w:type="dxa"/>
            <w:vAlign w:val="bottom"/>
            <w:tcBorders>
              <w:bottom w:val="single" w:sz="8" w:color="305494"/>
            </w:tcBorders>
          </w:tcPr>
          <w:p>
            <w:pPr>
              <w:spacing w:after="0"/>
              <w:rPr>
                <w:sz w:val="18"/>
                <w:szCs w:val="18"/>
                <w:color w:val="auto"/>
              </w:rPr>
            </w:pPr>
          </w:p>
        </w:tc>
        <w:tc>
          <w:tcPr>
            <w:tcW w:w="500" w:type="dxa"/>
            <w:vAlign w:val="bottom"/>
            <w:tcBorders>
              <w:bottom w:val="single" w:sz="8" w:color="305494"/>
            </w:tcBorders>
          </w:tcPr>
          <w:p>
            <w:pPr>
              <w:jc w:val="center"/>
              <w:ind w:right="28"/>
              <w:spacing w:after="0"/>
              <w:rPr>
                <w:sz w:val="20"/>
                <w:szCs w:val="20"/>
                <w:color w:val="auto"/>
              </w:rPr>
            </w:pPr>
            <w:r>
              <w:rPr>
                <w:rFonts w:ascii="Times New Roman" w:cs="Times New Roman" w:eastAsia="Times New Roman" w:hAnsi="Times New Roman"/>
                <w:sz w:val="14"/>
                <w:szCs w:val="14"/>
                <w:color w:val="auto"/>
              </w:rPr>
              <w:t>Chair</w:t>
            </w:r>
          </w:p>
        </w:tc>
        <w:tc>
          <w:tcPr>
            <w:tcW w:w="0" w:type="dxa"/>
            <w:vAlign w:val="bottom"/>
          </w:tcPr>
          <w:p>
            <w:pPr>
              <w:spacing w:after="0"/>
              <w:rPr>
                <w:sz w:val="1"/>
                <w:szCs w:val="1"/>
                <w:color w:val="auto"/>
              </w:rPr>
            </w:pPr>
          </w:p>
        </w:tc>
      </w:tr>
      <w:tr>
        <w:trPr>
          <w:trHeight w:val="209"/>
        </w:trPr>
        <w:tc>
          <w:tcPr>
            <w:tcW w:w="3340" w:type="dxa"/>
            <w:vAlign w:val="bottom"/>
            <w:tcBorders>
              <w:bottom w:val="single" w:sz="8" w:color="305494"/>
              <w:right w:val="single" w:sz="8" w:color="305494"/>
            </w:tcBorders>
          </w:tcPr>
          <w:p>
            <w:pPr>
              <w:ind w:left="140"/>
              <w:spacing w:after="0"/>
              <w:rPr>
                <w:sz w:val="20"/>
                <w:szCs w:val="20"/>
                <w:color w:val="auto"/>
              </w:rPr>
            </w:pPr>
            <w:r>
              <w:rPr>
                <w:rFonts w:ascii="Times New Roman" w:cs="Times New Roman" w:eastAsia="Times New Roman" w:hAnsi="Times New Roman"/>
                <w:sz w:val="14"/>
                <w:szCs w:val="14"/>
                <w:color w:val="auto"/>
              </w:rPr>
              <w:t>Charles Watts, M.D.</w:t>
            </w:r>
          </w:p>
        </w:tc>
        <w:tc>
          <w:tcPr>
            <w:tcW w:w="680" w:type="dxa"/>
            <w:vAlign w:val="bottom"/>
            <w:tcBorders>
              <w:bottom w:val="single" w:sz="8" w:color="305494"/>
              <w:right w:val="single" w:sz="8" w:color="305494"/>
            </w:tcBorders>
          </w:tcPr>
          <w:p>
            <w:pPr>
              <w:jc w:val="right"/>
              <w:ind w:right="388"/>
              <w:spacing w:after="0"/>
              <w:rPr>
                <w:sz w:val="20"/>
                <w:szCs w:val="20"/>
                <w:color w:val="auto"/>
              </w:rPr>
            </w:pPr>
            <w:r>
              <w:rPr>
                <w:rFonts w:ascii="Times New Roman" w:cs="Times New Roman" w:eastAsia="Times New Roman" w:hAnsi="Times New Roman"/>
                <w:sz w:val="14"/>
                <w:szCs w:val="14"/>
                <w:color w:val="auto"/>
              </w:rPr>
              <w:t>81</w:t>
            </w:r>
          </w:p>
        </w:tc>
        <w:tc>
          <w:tcPr>
            <w:tcW w:w="1380" w:type="dxa"/>
            <w:vAlign w:val="bottom"/>
            <w:tcBorders>
              <w:bottom w:val="single" w:sz="8" w:color="305494"/>
              <w:right w:val="single" w:sz="8" w:color="305494"/>
            </w:tcBorders>
          </w:tcPr>
          <w:p>
            <w:pPr>
              <w:ind w:left="40"/>
              <w:spacing w:after="0"/>
              <w:rPr>
                <w:sz w:val="20"/>
                <w:szCs w:val="20"/>
                <w:color w:val="auto"/>
              </w:rPr>
            </w:pPr>
            <w:r>
              <w:rPr>
                <w:rFonts w:ascii="Times New Roman" w:cs="Times New Roman" w:eastAsia="Times New Roman" w:hAnsi="Times New Roman"/>
                <w:sz w:val="14"/>
                <w:szCs w:val="14"/>
                <w:color w:val="auto"/>
              </w:rPr>
              <w:t>Director</w:t>
            </w:r>
          </w:p>
        </w:tc>
        <w:tc>
          <w:tcPr>
            <w:tcW w:w="640" w:type="dxa"/>
            <w:vAlign w:val="bottom"/>
            <w:tcBorders>
              <w:bottom w:val="single" w:sz="8" w:color="305494"/>
              <w:right w:val="single" w:sz="8" w:color="305494"/>
            </w:tcBorders>
          </w:tcPr>
          <w:p>
            <w:pPr>
              <w:jc w:val="center"/>
              <w:spacing w:after="0"/>
              <w:rPr>
                <w:sz w:val="20"/>
                <w:szCs w:val="20"/>
                <w:color w:val="auto"/>
              </w:rPr>
            </w:pPr>
            <w:r>
              <w:rPr>
                <w:rFonts w:ascii="Times New Roman" w:cs="Times New Roman" w:eastAsia="Times New Roman" w:hAnsi="Times New Roman"/>
                <w:sz w:val="14"/>
                <w:szCs w:val="14"/>
                <w:color w:val="auto"/>
              </w:rPr>
              <w:t>2019</w:t>
            </w:r>
          </w:p>
        </w:tc>
        <w:tc>
          <w:tcPr>
            <w:tcW w:w="680" w:type="dxa"/>
            <w:vAlign w:val="bottom"/>
            <w:tcBorders>
              <w:bottom w:val="single" w:sz="8" w:color="305494"/>
              <w:right w:val="single" w:sz="8" w:color="305494"/>
            </w:tcBorders>
          </w:tcPr>
          <w:p>
            <w:pPr>
              <w:jc w:val="center"/>
              <w:spacing w:after="0"/>
              <w:rPr>
                <w:sz w:val="20"/>
                <w:szCs w:val="20"/>
                <w:color w:val="auto"/>
              </w:rPr>
            </w:pPr>
            <w:r>
              <w:rPr>
                <w:rFonts w:ascii="Times New Roman" w:cs="Times New Roman" w:eastAsia="Times New Roman" w:hAnsi="Times New Roman"/>
                <w:sz w:val="14"/>
                <w:szCs w:val="14"/>
                <w:color w:val="auto"/>
              </w:rPr>
              <w:t>II</w:t>
            </w:r>
          </w:p>
        </w:tc>
        <w:tc>
          <w:tcPr>
            <w:tcW w:w="640" w:type="dxa"/>
            <w:vAlign w:val="bottom"/>
            <w:tcBorders>
              <w:bottom w:val="single" w:sz="8" w:color="305494"/>
              <w:right w:val="single" w:sz="8" w:color="305494"/>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760" w:type="dxa"/>
            <w:vAlign w:val="bottom"/>
            <w:tcBorders>
              <w:bottom w:val="single" w:sz="8" w:color="305494"/>
              <w:right w:val="single" w:sz="8" w:color="305494"/>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Borders>
              <w:bottom w:val="single" w:sz="8" w:color="305494"/>
              <w:right w:val="single" w:sz="8" w:color="305494"/>
            </w:tcBorders>
          </w:tcPr>
          <w:p>
            <w:pPr>
              <w:jc w:val="center"/>
              <w:ind w:left="8"/>
              <w:spacing w:after="0"/>
              <w:rPr>
                <w:sz w:val="20"/>
                <w:szCs w:val="20"/>
                <w:color w:val="auto"/>
              </w:rPr>
            </w:pPr>
            <w:r>
              <w:rPr>
                <w:rFonts w:ascii="Times New Roman" w:cs="Times New Roman" w:eastAsia="Times New Roman" w:hAnsi="Times New Roman"/>
                <w:sz w:val="14"/>
                <w:szCs w:val="14"/>
                <w:color w:val="auto"/>
              </w:rPr>
              <w:t>Yes</w:t>
            </w:r>
          </w:p>
        </w:tc>
        <w:tc>
          <w:tcPr>
            <w:tcW w:w="540" w:type="dxa"/>
            <w:vAlign w:val="bottom"/>
            <w:tcBorders>
              <w:bottom w:val="single" w:sz="8" w:color="305494"/>
            </w:tcBorders>
          </w:tcPr>
          <w:p>
            <w:pPr>
              <w:spacing w:after="0"/>
              <w:rPr>
                <w:sz w:val="18"/>
                <w:szCs w:val="18"/>
                <w:color w:val="auto"/>
              </w:rPr>
            </w:pPr>
          </w:p>
        </w:tc>
        <w:tc>
          <w:tcPr>
            <w:tcW w:w="100" w:type="dxa"/>
            <w:vAlign w:val="bottom"/>
            <w:tcBorders>
              <w:bottom w:val="single" w:sz="8" w:color="305494"/>
              <w:right w:val="single" w:sz="8" w:color="305494"/>
            </w:tcBorders>
          </w:tcPr>
          <w:p>
            <w:pPr>
              <w:spacing w:after="0"/>
              <w:rPr>
                <w:sz w:val="18"/>
                <w:szCs w:val="18"/>
                <w:color w:val="auto"/>
              </w:rPr>
            </w:pPr>
          </w:p>
        </w:tc>
        <w:tc>
          <w:tcPr>
            <w:tcW w:w="680" w:type="dxa"/>
            <w:vAlign w:val="bottom"/>
            <w:tcBorders>
              <w:bottom w:val="single" w:sz="8" w:color="305494"/>
              <w:right w:val="single" w:sz="8" w:color="305494"/>
            </w:tcBorders>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180" w:type="dxa"/>
            <w:vAlign w:val="bottom"/>
            <w:tcBorders>
              <w:bottom w:val="single" w:sz="8" w:color="305494"/>
            </w:tcBorders>
          </w:tcPr>
          <w:p>
            <w:pPr>
              <w:spacing w:after="0"/>
              <w:rPr>
                <w:sz w:val="18"/>
                <w:szCs w:val="18"/>
                <w:color w:val="auto"/>
              </w:rPr>
            </w:pPr>
          </w:p>
        </w:tc>
        <w:tc>
          <w:tcPr>
            <w:tcW w:w="500" w:type="dxa"/>
            <w:vAlign w:val="bottom"/>
            <w:tcBorders>
              <w:bottom w:val="single" w:sz="8" w:color="305494"/>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40" w:type="dxa"/>
            <w:vAlign w:val="bottom"/>
            <w:tcBorders>
              <w:bottom w:val="single" w:sz="8" w:color="305494"/>
              <w:right w:val="single" w:sz="8" w:color="305494"/>
            </w:tcBorders>
          </w:tcPr>
          <w:p>
            <w:pPr>
              <w:ind w:left="140"/>
              <w:spacing w:after="0"/>
              <w:rPr>
                <w:sz w:val="20"/>
                <w:szCs w:val="20"/>
                <w:color w:val="auto"/>
              </w:rPr>
            </w:pPr>
            <w:r>
              <w:rPr>
                <w:rFonts w:ascii="Times New Roman" w:cs="Times New Roman" w:eastAsia="Times New Roman" w:hAnsi="Times New Roman"/>
                <w:sz w:val="14"/>
                <w:szCs w:val="14"/>
                <w:color w:val="auto"/>
              </w:rPr>
              <w:t>Jean Franchi</w:t>
            </w:r>
          </w:p>
        </w:tc>
        <w:tc>
          <w:tcPr>
            <w:tcW w:w="680" w:type="dxa"/>
            <w:vAlign w:val="bottom"/>
            <w:tcBorders>
              <w:bottom w:val="single" w:sz="8" w:color="305494"/>
              <w:right w:val="single" w:sz="8" w:color="305494"/>
            </w:tcBorders>
          </w:tcPr>
          <w:p>
            <w:pPr>
              <w:jc w:val="right"/>
              <w:ind w:right="388"/>
              <w:spacing w:after="0"/>
              <w:rPr>
                <w:sz w:val="20"/>
                <w:szCs w:val="20"/>
                <w:color w:val="auto"/>
              </w:rPr>
            </w:pPr>
            <w:r>
              <w:rPr>
                <w:rFonts w:ascii="Times New Roman" w:cs="Times New Roman" w:eastAsia="Times New Roman" w:hAnsi="Times New Roman"/>
                <w:sz w:val="14"/>
                <w:szCs w:val="14"/>
                <w:color w:val="auto"/>
              </w:rPr>
              <w:t>57</w:t>
            </w:r>
          </w:p>
        </w:tc>
        <w:tc>
          <w:tcPr>
            <w:tcW w:w="1380" w:type="dxa"/>
            <w:vAlign w:val="bottom"/>
            <w:tcBorders>
              <w:bottom w:val="single" w:sz="8" w:color="305494"/>
              <w:right w:val="single" w:sz="8" w:color="305494"/>
            </w:tcBorders>
          </w:tcPr>
          <w:p>
            <w:pPr>
              <w:ind w:left="40"/>
              <w:spacing w:after="0"/>
              <w:rPr>
                <w:sz w:val="20"/>
                <w:szCs w:val="20"/>
                <w:color w:val="auto"/>
              </w:rPr>
            </w:pPr>
            <w:r>
              <w:rPr>
                <w:rFonts w:ascii="Times New Roman" w:cs="Times New Roman" w:eastAsia="Times New Roman" w:hAnsi="Times New Roman"/>
                <w:sz w:val="14"/>
                <w:szCs w:val="14"/>
                <w:color w:val="auto"/>
              </w:rPr>
              <w:t>Director</w:t>
            </w:r>
          </w:p>
        </w:tc>
        <w:tc>
          <w:tcPr>
            <w:tcW w:w="640" w:type="dxa"/>
            <w:vAlign w:val="bottom"/>
            <w:tcBorders>
              <w:bottom w:val="single" w:sz="8" w:color="305494"/>
              <w:right w:val="single" w:sz="8" w:color="305494"/>
            </w:tcBorders>
          </w:tcPr>
          <w:p>
            <w:pPr>
              <w:jc w:val="center"/>
              <w:spacing w:after="0"/>
              <w:rPr>
                <w:sz w:val="20"/>
                <w:szCs w:val="20"/>
                <w:color w:val="auto"/>
              </w:rPr>
            </w:pPr>
            <w:r>
              <w:rPr>
                <w:rFonts w:ascii="Times New Roman" w:cs="Times New Roman" w:eastAsia="Times New Roman" w:hAnsi="Times New Roman"/>
                <w:sz w:val="14"/>
                <w:szCs w:val="14"/>
                <w:color w:val="auto"/>
              </w:rPr>
              <w:t>2020</w:t>
            </w:r>
          </w:p>
        </w:tc>
        <w:tc>
          <w:tcPr>
            <w:tcW w:w="680" w:type="dxa"/>
            <w:vAlign w:val="bottom"/>
            <w:tcBorders>
              <w:bottom w:val="single" w:sz="8" w:color="305494"/>
              <w:right w:val="single" w:sz="8" w:color="305494"/>
            </w:tcBorders>
          </w:tcPr>
          <w:p>
            <w:pPr>
              <w:jc w:val="center"/>
              <w:spacing w:after="0"/>
              <w:rPr>
                <w:sz w:val="20"/>
                <w:szCs w:val="20"/>
                <w:color w:val="auto"/>
              </w:rPr>
            </w:pPr>
            <w:r>
              <w:rPr>
                <w:rFonts w:ascii="Times New Roman" w:cs="Times New Roman" w:eastAsia="Times New Roman" w:hAnsi="Times New Roman"/>
                <w:sz w:val="14"/>
                <w:szCs w:val="14"/>
                <w:color w:val="auto"/>
                <w:w w:val="99"/>
              </w:rPr>
              <w:t>III</w:t>
            </w:r>
          </w:p>
        </w:tc>
        <w:tc>
          <w:tcPr>
            <w:tcW w:w="640" w:type="dxa"/>
            <w:vAlign w:val="bottom"/>
            <w:tcBorders>
              <w:bottom w:val="single" w:sz="8" w:color="305494"/>
              <w:right w:val="single" w:sz="8" w:color="305494"/>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760" w:type="dxa"/>
            <w:vAlign w:val="bottom"/>
            <w:tcBorders>
              <w:bottom w:val="single" w:sz="8" w:color="305494"/>
              <w:right w:val="single" w:sz="8" w:color="305494"/>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Borders>
              <w:bottom w:val="single" w:sz="8" w:color="305494"/>
              <w:right w:val="single" w:sz="8" w:color="305494"/>
            </w:tcBorders>
          </w:tcPr>
          <w:p>
            <w:pPr>
              <w:jc w:val="center"/>
              <w:ind w:left="8"/>
              <w:spacing w:after="0"/>
              <w:rPr>
                <w:sz w:val="20"/>
                <w:szCs w:val="20"/>
                <w:color w:val="auto"/>
              </w:rPr>
            </w:pPr>
            <w:r>
              <w:rPr>
                <w:rFonts w:ascii="Times New Roman" w:cs="Times New Roman" w:eastAsia="Times New Roman" w:hAnsi="Times New Roman"/>
                <w:sz w:val="14"/>
                <w:szCs w:val="14"/>
                <w:color w:val="auto"/>
              </w:rPr>
              <w:t>Yes</w:t>
            </w:r>
          </w:p>
        </w:tc>
        <w:tc>
          <w:tcPr>
            <w:tcW w:w="540" w:type="dxa"/>
            <w:vAlign w:val="bottom"/>
            <w:tcBorders>
              <w:bottom w:val="single" w:sz="8" w:color="305494"/>
            </w:tcBorders>
          </w:tcPr>
          <w:p>
            <w:pPr>
              <w:jc w:val="center"/>
              <w:ind w:left="28"/>
              <w:spacing w:after="0"/>
              <w:rPr>
                <w:sz w:val="20"/>
                <w:szCs w:val="20"/>
                <w:color w:val="auto"/>
              </w:rPr>
            </w:pPr>
            <w:r>
              <w:rPr>
                <w:rFonts w:ascii="Times New Roman" w:cs="Times New Roman" w:eastAsia="Times New Roman" w:hAnsi="Times New Roman"/>
                <w:sz w:val="14"/>
                <w:szCs w:val="14"/>
                <w:color w:val="auto"/>
              </w:rPr>
              <w:t>Chair</w:t>
            </w:r>
          </w:p>
        </w:tc>
        <w:tc>
          <w:tcPr>
            <w:tcW w:w="100" w:type="dxa"/>
            <w:vAlign w:val="bottom"/>
            <w:tcBorders>
              <w:bottom w:val="single" w:sz="8" w:color="305494"/>
              <w:right w:val="single" w:sz="8" w:color="305494"/>
            </w:tcBorders>
          </w:tcPr>
          <w:p>
            <w:pPr>
              <w:spacing w:after="0"/>
              <w:rPr>
                <w:sz w:val="18"/>
                <w:szCs w:val="18"/>
                <w:color w:val="auto"/>
              </w:rPr>
            </w:pPr>
          </w:p>
        </w:tc>
        <w:tc>
          <w:tcPr>
            <w:tcW w:w="680" w:type="dxa"/>
            <w:vAlign w:val="bottom"/>
            <w:tcBorders>
              <w:bottom w:val="single" w:sz="8" w:color="305494"/>
              <w:right w:val="single" w:sz="8" w:color="305494"/>
            </w:tcBorders>
          </w:tcPr>
          <w:p>
            <w:pPr>
              <w:spacing w:after="0"/>
              <w:rPr>
                <w:sz w:val="18"/>
                <w:szCs w:val="18"/>
                <w:color w:val="auto"/>
              </w:rPr>
            </w:pPr>
          </w:p>
        </w:tc>
        <w:tc>
          <w:tcPr>
            <w:tcW w:w="180" w:type="dxa"/>
            <w:vAlign w:val="bottom"/>
            <w:tcBorders>
              <w:bottom w:val="single" w:sz="8" w:color="305494"/>
            </w:tcBorders>
          </w:tcPr>
          <w:p>
            <w:pPr>
              <w:spacing w:after="0"/>
              <w:rPr>
                <w:sz w:val="18"/>
                <w:szCs w:val="18"/>
                <w:color w:val="auto"/>
              </w:rPr>
            </w:pPr>
          </w:p>
        </w:tc>
        <w:tc>
          <w:tcPr>
            <w:tcW w:w="500" w:type="dxa"/>
            <w:vAlign w:val="bottom"/>
            <w:tcBorders>
              <w:bottom w:val="single" w:sz="8" w:color="305494"/>
            </w:tcBorders>
          </w:tcPr>
          <w:p>
            <w:pPr>
              <w:jc w:val="center"/>
              <w:ind w:right="28"/>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209"/>
        </w:trPr>
        <w:tc>
          <w:tcPr>
            <w:tcW w:w="3340" w:type="dxa"/>
            <w:vAlign w:val="bottom"/>
            <w:tcBorders>
              <w:bottom w:val="single" w:sz="8" w:color="305494"/>
              <w:right w:val="single" w:sz="8" w:color="305494"/>
            </w:tcBorders>
          </w:tcPr>
          <w:p>
            <w:pPr>
              <w:ind w:left="140"/>
              <w:spacing w:after="0"/>
              <w:rPr>
                <w:sz w:val="20"/>
                <w:szCs w:val="20"/>
                <w:color w:val="auto"/>
              </w:rPr>
            </w:pPr>
            <w:r>
              <w:rPr>
                <w:rFonts w:ascii="Times New Roman" w:cs="Times New Roman" w:eastAsia="Times New Roman" w:hAnsi="Times New Roman"/>
                <w:sz w:val="14"/>
                <w:szCs w:val="14"/>
                <w:color w:val="auto"/>
              </w:rPr>
              <w:t>Hany Massarany</w:t>
            </w:r>
          </w:p>
        </w:tc>
        <w:tc>
          <w:tcPr>
            <w:tcW w:w="680" w:type="dxa"/>
            <w:vAlign w:val="bottom"/>
            <w:tcBorders>
              <w:bottom w:val="single" w:sz="8" w:color="305494"/>
              <w:right w:val="single" w:sz="8" w:color="305494"/>
            </w:tcBorders>
          </w:tcPr>
          <w:p>
            <w:pPr>
              <w:jc w:val="right"/>
              <w:ind w:right="388"/>
              <w:spacing w:after="0"/>
              <w:rPr>
                <w:sz w:val="20"/>
                <w:szCs w:val="20"/>
                <w:color w:val="auto"/>
              </w:rPr>
            </w:pPr>
            <w:r>
              <w:rPr>
                <w:rFonts w:ascii="Times New Roman" w:cs="Times New Roman" w:eastAsia="Times New Roman" w:hAnsi="Times New Roman"/>
                <w:sz w:val="14"/>
                <w:szCs w:val="14"/>
                <w:color w:val="auto"/>
              </w:rPr>
              <w:t>62</w:t>
            </w:r>
          </w:p>
        </w:tc>
        <w:tc>
          <w:tcPr>
            <w:tcW w:w="1380" w:type="dxa"/>
            <w:vAlign w:val="bottom"/>
            <w:tcBorders>
              <w:bottom w:val="single" w:sz="8" w:color="305494"/>
              <w:right w:val="single" w:sz="8" w:color="305494"/>
            </w:tcBorders>
          </w:tcPr>
          <w:p>
            <w:pPr>
              <w:ind w:left="40"/>
              <w:spacing w:after="0"/>
              <w:rPr>
                <w:sz w:val="20"/>
                <w:szCs w:val="20"/>
                <w:color w:val="auto"/>
              </w:rPr>
            </w:pPr>
            <w:r>
              <w:rPr>
                <w:rFonts w:ascii="Times New Roman" w:cs="Times New Roman" w:eastAsia="Times New Roman" w:hAnsi="Times New Roman"/>
                <w:sz w:val="14"/>
                <w:szCs w:val="14"/>
                <w:color w:val="auto"/>
              </w:rPr>
              <w:t>Director</w:t>
            </w:r>
          </w:p>
        </w:tc>
        <w:tc>
          <w:tcPr>
            <w:tcW w:w="640" w:type="dxa"/>
            <w:vAlign w:val="bottom"/>
            <w:tcBorders>
              <w:bottom w:val="single" w:sz="8" w:color="305494"/>
              <w:right w:val="single" w:sz="8" w:color="305494"/>
            </w:tcBorders>
          </w:tcPr>
          <w:p>
            <w:pPr>
              <w:jc w:val="center"/>
              <w:spacing w:after="0"/>
              <w:rPr>
                <w:sz w:val="20"/>
                <w:szCs w:val="20"/>
                <w:color w:val="auto"/>
              </w:rPr>
            </w:pPr>
            <w:r>
              <w:rPr>
                <w:rFonts w:ascii="Times New Roman" w:cs="Times New Roman" w:eastAsia="Times New Roman" w:hAnsi="Times New Roman"/>
                <w:sz w:val="14"/>
                <w:szCs w:val="14"/>
                <w:color w:val="auto"/>
              </w:rPr>
              <w:t>2020</w:t>
            </w:r>
          </w:p>
        </w:tc>
        <w:tc>
          <w:tcPr>
            <w:tcW w:w="680" w:type="dxa"/>
            <w:vAlign w:val="bottom"/>
            <w:tcBorders>
              <w:bottom w:val="single" w:sz="8" w:color="305494"/>
              <w:right w:val="single" w:sz="8" w:color="305494"/>
            </w:tcBorders>
          </w:tcPr>
          <w:p>
            <w:pPr>
              <w:jc w:val="center"/>
              <w:spacing w:after="0"/>
              <w:rPr>
                <w:sz w:val="20"/>
                <w:szCs w:val="20"/>
                <w:color w:val="auto"/>
              </w:rPr>
            </w:pPr>
            <w:r>
              <w:rPr>
                <w:rFonts w:ascii="Times New Roman" w:cs="Times New Roman" w:eastAsia="Times New Roman" w:hAnsi="Times New Roman"/>
                <w:sz w:val="14"/>
                <w:szCs w:val="14"/>
                <w:color w:val="auto"/>
                <w:w w:val="99"/>
              </w:rPr>
              <w:t>III</w:t>
            </w:r>
          </w:p>
        </w:tc>
        <w:tc>
          <w:tcPr>
            <w:tcW w:w="640" w:type="dxa"/>
            <w:vAlign w:val="bottom"/>
            <w:tcBorders>
              <w:bottom w:val="single" w:sz="8" w:color="305494"/>
              <w:right w:val="single" w:sz="8" w:color="305494"/>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760" w:type="dxa"/>
            <w:vAlign w:val="bottom"/>
            <w:tcBorders>
              <w:bottom w:val="single" w:sz="8" w:color="305494"/>
              <w:right w:val="single" w:sz="8" w:color="305494"/>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Borders>
              <w:bottom w:val="single" w:sz="8" w:color="305494"/>
              <w:right w:val="single" w:sz="8" w:color="305494"/>
            </w:tcBorders>
          </w:tcPr>
          <w:p>
            <w:pPr>
              <w:jc w:val="center"/>
              <w:ind w:left="8"/>
              <w:spacing w:after="0"/>
              <w:rPr>
                <w:sz w:val="20"/>
                <w:szCs w:val="20"/>
                <w:color w:val="auto"/>
              </w:rPr>
            </w:pPr>
            <w:r>
              <w:rPr>
                <w:rFonts w:ascii="Times New Roman" w:cs="Times New Roman" w:eastAsia="Times New Roman" w:hAnsi="Times New Roman"/>
                <w:sz w:val="14"/>
                <w:szCs w:val="14"/>
                <w:color w:val="auto"/>
              </w:rPr>
              <w:t>Yes</w:t>
            </w:r>
          </w:p>
        </w:tc>
        <w:tc>
          <w:tcPr>
            <w:tcW w:w="540" w:type="dxa"/>
            <w:vAlign w:val="bottom"/>
            <w:tcBorders>
              <w:bottom w:val="single" w:sz="8" w:color="305494"/>
            </w:tcBorders>
          </w:tcPr>
          <w:p>
            <w:pPr>
              <w:jc w:val="center"/>
              <w:ind w:left="48"/>
              <w:spacing w:after="0"/>
              <w:rPr>
                <w:sz w:val="20"/>
                <w:szCs w:val="20"/>
                <w:color w:val="auto"/>
              </w:rPr>
            </w:pPr>
            <w:r>
              <w:rPr>
                <w:rFonts w:ascii="Times New Roman" w:cs="Times New Roman" w:eastAsia="Times New Roman" w:hAnsi="Times New Roman"/>
                <w:sz w:val="14"/>
                <w:szCs w:val="14"/>
                <w:color w:val="auto"/>
                <w:w w:val="98"/>
              </w:rPr>
              <w:t>X</w:t>
            </w:r>
          </w:p>
        </w:tc>
        <w:tc>
          <w:tcPr>
            <w:tcW w:w="100" w:type="dxa"/>
            <w:vAlign w:val="bottom"/>
            <w:tcBorders>
              <w:bottom w:val="single" w:sz="8" w:color="305494"/>
              <w:right w:val="single" w:sz="8" w:color="305494"/>
            </w:tcBorders>
          </w:tcPr>
          <w:p>
            <w:pPr>
              <w:spacing w:after="0"/>
              <w:rPr>
                <w:sz w:val="18"/>
                <w:szCs w:val="18"/>
                <w:color w:val="auto"/>
              </w:rPr>
            </w:pPr>
          </w:p>
        </w:tc>
        <w:tc>
          <w:tcPr>
            <w:tcW w:w="680" w:type="dxa"/>
            <w:vAlign w:val="bottom"/>
            <w:tcBorders>
              <w:bottom w:val="single" w:sz="8" w:color="305494"/>
              <w:right w:val="single" w:sz="8" w:color="305494"/>
            </w:tcBorders>
          </w:tcPr>
          <w:p>
            <w:pPr>
              <w:jc w:val="center"/>
              <w:ind w:left="8"/>
              <w:spacing w:after="0"/>
              <w:rPr>
                <w:sz w:val="20"/>
                <w:szCs w:val="20"/>
                <w:color w:val="auto"/>
              </w:rPr>
            </w:pPr>
            <w:r>
              <w:rPr>
                <w:rFonts w:ascii="Times New Roman" w:cs="Times New Roman" w:eastAsia="Times New Roman" w:hAnsi="Times New Roman"/>
                <w:sz w:val="14"/>
                <w:szCs w:val="14"/>
                <w:color w:val="auto"/>
              </w:rPr>
              <w:t>Chair</w:t>
            </w:r>
          </w:p>
        </w:tc>
        <w:tc>
          <w:tcPr>
            <w:tcW w:w="180" w:type="dxa"/>
            <w:vAlign w:val="bottom"/>
            <w:tcBorders>
              <w:bottom w:val="single" w:sz="8" w:color="305494"/>
            </w:tcBorders>
          </w:tcPr>
          <w:p>
            <w:pPr>
              <w:spacing w:after="0"/>
              <w:rPr>
                <w:sz w:val="18"/>
                <w:szCs w:val="18"/>
                <w:color w:val="auto"/>
              </w:rPr>
            </w:pPr>
          </w:p>
        </w:tc>
        <w:tc>
          <w:tcPr>
            <w:tcW w:w="500" w:type="dxa"/>
            <w:vAlign w:val="bottom"/>
            <w:tcBorders>
              <w:bottom w:val="single" w:sz="8" w:color="305494"/>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Borders>
              <w:bottom w:val="single" w:sz="8" w:color="305494"/>
              <w:right w:val="single" w:sz="8" w:color="305494"/>
            </w:tcBorders>
          </w:tcPr>
          <w:p>
            <w:pPr>
              <w:ind w:left="140"/>
              <w:spacing w:after="0"/>
              <w:rPr>
                <w:sz w:val="20"/>
                <w:szCs w:val="20"/>
                <w:color w:val="auto"/>
              </w:rPr>
            </w:pPr>
            <w:r>
              <w:rPr>
                <w:rFonts w:ascii="Times New Roman" w:cs="Times New Roman" w:eastAsia="Times New Roman" w:hAnsi="Times New Roman"/>
                <w:sz w:val="14"/>
                <w:szCs w:val="14"/>
                <w:color w:val="auto"/>
              </w:rPr>
              <w:t>Jack Schuler</w:t>
            </w:r>
          </w:p>
        </w:tc>
        <w:tc>
          <w:tcPr>
            <w:tcW w:w="680" w:type="dxa"/>
            <w:vAlign w:val="bottom"/>
            <w:tcBorders>
              <w:bottom w:val="single" w:sz="8" w:color="305494"/>
              <w:right w:val="single" w:sz="8" w:color="305494"/>
            </w:tcBorders>
          </w:tcPr>
          <w:p>
            <w:pPr>
              <w:jc w:val="right"/>
              <w:ind w:right="388"/>
              <w:spacing w:after="0"/>
              <w:rPr>
                <w:sz w:val="20"/>
                <w:szCs w:val="20"/>
                <w:color w:val="auto"/>
              </w:rPr>
            </w:pPr>
            <w:r>
              <w:rPr>
                <w:rFonts w:ascii="Times New Roman" w:cs="Times New Roman" w:eastAsia="Times New Roman" w:hAnsi="Times New Roman"/>
                <w:sz w:val="14"/>
                <w:szCs w:val="14"/>
                <w:color w:val="auto"/>
              </w:rPr>
              <w:t>83</w:t>
            </w:r>
          </w:p>
        </w:tc>
        <w:tc>
          <w:tcPr>
            <w:tcW w:w="1380" w:type="dxa"/>
            <w:vAlign w:val="bottom"/>
            <w:tcBorders>
              <w:bottom w:val="single" w:sz="8" w:color="305494"/>
              <w:right w:val="single" w:sz="8" w:color="305494"/>
            </w:tcBorders>
          </w:tcPr>
          <w:p>
            <w:pPr>
              <w:ind w:left="40"/>
              <w:spacing w:after="0"/>
              <w:rPr>
                <w:sz w:val="20"/>
                <w:szCs w:val="20"/>
                <w:color w:val="auto"/>
              </w:rPr>
            </w:pPr>
            <w:r>
              <w:rPr>
                <w:rFonts w:ascii="Times New Roman" w:cs="Times New Roman" w:eastAsia="Times New Roman" w:hAnsi="Times New Roman"/>
                <w:sz w:val="14"/>
                <w:szCs w:val="14"/>
                <w:color w:val="auto"/>
              </w:rPr>
              <w:t>Director</w:t>
            </w:r>
          </w:p>
        </w:tc>
        <w:tc>
          <w:tcPr>
            <w:tcW w:w="640" w:type="dxa"/>
            <w:vAlign w:val="bottom"/>
            <w:tcBorders>
              <w:bottom w:val="single" w:sz="8" w:color="305494"/>
              <w:right w:val="single" w:sz="8" w:color="305494"/>
            </w:tcBorders>
          </w:tcPr>
          <w:p>
            <w:pPr>
              <w:jc w:val="center"/>
              <w:spacing w:after="0"/>
              <w:rPr>
                <w:sz w:val="20"/>
                <w:szCs w:val="20"/>
                <w:color w:val="auto"/>
              </w:rPr>
            </w:pPr>
            <w:r>
              <w:rPr>
                <w:rFonts w:ascii="Times New Roman" w:cs="Times New Roman" w:eastAsia="Times New Roman" w:hAnsi="Times New Roman"/>
                <w:sz w:val="14"/>
                <w:szCs w:val="14"/>
                <w:color w:val="auto"/>
              </w:rPr>
              <w:t>2008</w:t>
            </w:r>
          </w:p>
        </w:tc>
        <w:tc>
          <w:tcPr>
            <w:tcW w:w="680" w:type="dxa"/>
            <w:vAlign w:val="bottom"/>
            <w:tcBorders>
              <w:bottom w:val="single" w:sz="8" w:color="305494"/>
              <w:right w:val="single" w:sz="8" w:color="305494"/>
            </w:tcBorders>
          </w:tcPr>
          <w:p>
            <w:pPr>
              <w:jc w:val="center"/>
              <w:spacing w:after="0"/>
              <w:rPr>
                <w:sz w:val="20"/>
                <w:szCs w:val="20"/>
                <w:color w:val="auto"/>
              </w:rPr>
            </w:pPr>
            <w:r>
              <w:rPr>
                <w:rFonts w:ascii="Times New Roman" w:cs="Times New Roman" w:eastAsia="Times New Roman" w:hAnsi="Times New Roman"/>
                <w:sz w:val="14"/>
                <w:szCs w:val="14"/>
                <w:color w:val="auto"/>
                <w:w w:val="99"/>
              </w:rPr>
              <w:t>III</w:t>
            </w:r>
          </w:p>
        </w:tc>
        <w:tc>
          <w:tcPr>
            <w:tcW w:w="640" w:type="dxa"/>
            <w:vAlign w:val="bottom"/>
            <w:tcBorders>
              <w:bottom w:val="single" w:sz="8" w:color="305494"/>
              <w:right w:val="single" w:sz="8" w:color="305494"/>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760" w:type="dxa"/>
            <w:vAlign w:val="bottom"/>
            <w:tcBorders>
              <w:bottom w:val="single" w:sz="8" w:color="305494"/>
              <w:right w:val="single" w:sz="8" w:color="305494"/>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Borders>
              <w:bottom w:val="single" w:sz="8" w:color="305494"/>
              <w:right w:val="single" w:sz="8" w:color="305494"/>
            </w:tcBorders>
          </w:tcPr>
          <w:p>
            <w:pPr>
              <w:jc w:val="center"/>
              <w:ind w:left="8"/>
              <w:spacing w:after="0"/>
              <w:rPr>
                <w:sz w:val="20"/>
                <w:szCs w:val="20"/>
                <w:color w:val="auto"/>
              </w:rPr>
            </w:pPr>
            <w:r>
              <w:rPr>
                <w:rFonts w:ascii="Times New Roman" w:cs="Times New Roman" w:eastAsia="Times New Roman" w:hAnsi="Times New Roman"/>
                <w:sz w:val="14"/>
                <w:szCs w:val="14"/>
                <w:color w:val="auto"/>
              </w:rPr>
              <w:t>Yes</w:t>
            </w:r>
          </w:p>
        </w:tc>
        <w:tc>
          <w:tcPr>
            <w:tcW w:w="540" w:type="dxa"/>
            <w:vAlign w:val="bottom"/>
            <w:tcBorders>
              <w:bottom w:val="single" w:sz="8" w:color="305494"/>
            </w:tcBorders>
          </w:tcPr>
          <w:p>
            <w:pPr>
              <w:spacing w:after="0"/>
              <w:rPr>
                <w:sz w:val="18"/>
                <w:szCs w:val="18"/>
                <w:color w:val="auto"/>
              </w:rPr>
            </w:pPr>
          </w:p>
        </w:tc>
        <w:tc>
          <w:tcPr>
            <w:tcW w:w="100" w:type="dxa"/>
            <w:vAlign w:val="bottom"/>
            <w:tcBorders>
              <w:bottom w:val="single" w:sz="8" w:color="305494"/>
              <w:right w:val="single" w:sz="8" w:color="305494"/>
            </w:tcBorders>
          </w:tcPr>
          <w:p>
            <w:pPr>
              <w:spacing w:after="0"/>
              <w:rPr>
                <w:sz w:val="18"/>
                <w:szCs w:val="18"/>
                <w:color w:val="auto"/>
              </w:rPr>
            </w:pPr>
          </w:p>
        </w:tc>
        <w:tc>
          <w:tcPr>
            <w:tcW w:w="680" w:type="dxa"/>
            <w:vAlign w:val="bottom"/>
            <w:tcBorders>
              <w:bottom w:val="single" w:sz="8" w:color="305494"/>
              <w:right w:val="single" w:sz="8" w:color="305494"/>
            </w:tcBorders>
          </w:tcPr>
          <w:p>
            <w:pPr>
              <w:spacing w:after="0"/>
              <w:rPr>
                <w:sz w:val="18"/>
                <w:szCs w:val="18"/>
                <w:color w:val="auto"/>
              </w:rPr>
            </w:pPr>
          </w:p>
        </w:tc>
        <w:tc>
          <w:tcPr>
            <w:tcW w:w="180" w:type="dxa"/>
            <w:vAlign w:val="bottom"/>
            <w:tcBorders>
              <w:bottom w:val="single" w:sz="8" w:color="305494"/>
            </w:tcBorders>
          </w:tcPr>
          <w:p>
            <w:pPr>
              <w:spacing w:after="0"/>
              <w:rPr>
                <w:sz w:val="18"/>
                <w:szCs w:val="18"/>
                <w:color w:val="auto"/>
              </w:rPr>
            </w:pPr>
          </w:p>
        </w:tc>
        <w:tc>
          <w:tcPr>
            <w:tcW w:w="500" w:type="dxa"/>
            <w:vAlign w:val="bottom"/>
            <w:tcBorders>
              <w:bottom w:val="single" w:sz="8" w:color="305494"/>
            </w:tcBorders>
          </w:tcPr>
          <w:p>
            <w:pPr>
              <w:jc w:val="center"/>
              <w:ind w:right="28"/>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660" w:hanging="104"/>
        <w:spacing w:after="0"/>
        <w:tabs>
          <w:tab w:leader="none" w:pos="660" w:val="left"/>
        </w:tabs>
        <w:numPr>
          <w:ilvl w:val="0"/>
          <w:numId w:val="1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AC </w:t>
      </w:r>
      <w:r>
        <w:rPr>
          <w:rFonts w:ascii="Times New Roman" w:cs="Times New Roman" w:eastAsia="Times New Roman" w:hAnsi="Times New Roman"/>
          <w:sz w:val="14"/>
          <w:szCs w:val="14"/>
          <w:color w:val="auto"/>
        </w:rPr>
        <w:t>- Audit Committee;</w:t>
      </w:r>
      <w:r>
        <w:rPr>
          <w:rFonts w:ascii="Times New Roman" w:cs="Times New Roman" w:eastAsia="Times New Roman" w:hAnsi="Times New Roman"/>
          <w:sz w:val="14"/>
          <w:szCs w:val="14"/>
          <w:b w:val="1"/>
          <w:bCs w:val="1"/>
          <w:color w:val="auto"/>
        </w:rPr>
        <w:t xml:space="preserve"> CC </w:t>
      </w:r>
      <w:r>
        <w:rPr>
          <w:rFonts w:ascii="Times New Roman" w:cs="Times New Roman" w:eastAsia="Times New Roman" w:hAnsi="Times New Roman"/>
          <w:sz w:val="14"/>
          <w:szCs w:val="14"/>
          <w:color w:val="auto"/>
        </w:rPr>
        <w:t>- Compensation Committee;</w:t>
      </w:r>
      <w:r>
        <w:rPr>
          <w:rFonts w:ascii="Times New Roman" w:cs="Times New Roman" w:eastAsia="Times New Roman" w:hAnsi="Times New Roman"/>
          <w:sz w:val="14"/>
          <w:szCs w:val="14"/>
          <w:b w:val="1"/>
          <w:bCs w:val="1"/>
          <w:color w:val="auto"/>
        </w:rPr>
        <w:t xml:space="preserve"> NCG </w:t>
      </w:r>
      <w:r>
        <w:rPr>
          <w:rFonts w:ascii="Times New Roman" w:cs="Times New Roman" w:eastAsia="Times New Roman" w:hAnsi="Times New Roman"/>
          <w:sz w:val="14"/>
          <w:szCs w:val="14"/>
          <w:color w:val="auto"/>
        </w:rPr>
        <w:t>- Nominating and Corporate Governance Committee</w:t>
      </w:r>
    </w:p>
    <w:p>
      <w:pPr>
        <w:spacing w:after="0" w:line="200" w:lineRule="exact"/>
        <w:rPr>
          <w:sz w:val="20"/>
          <w:szCs w:val="20"/>
          <w:color w:val="auto"/>
        </w:rPr>
      </w:pPr>
    </w:p>
    <w:p>
      <w:pPr>
        <w:spacing w:after="0" w:line="2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Director Nominees</w:t>
      </w:r>
    </w:p>
    <w:p>
      <w:pPr>
        <w:spacing w:after="0" w:line="200" w:lineRule="exact"/>
        <w:rPr>
          <w:sz w:val="20"/>
          <w:szCs w:val="20"/>
          <w:color w:val="auto"/>
        </w:rPr>
      </w:pPr>
    </w:p>
    <w:p>
      <w:pPr>
        <w:spacing w:after="0" w:line="2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305494"/>
        </w:rPr>
        <w:t>Class I Directors – Nominees for Election at the Annual Meeting</w:t>
      </w:r>
    </w:p>
    <w:p>
      <w:pPr>
        <w:spacing w:after="0" w:line="200" w:lineRule="exact"/>
        <w:rPr>
          <w:sz w:val="20"/>
          <w:szCs w:val="20"/>
          <w:color w:val="auto"/>
        </w:rPr>
      </w:pPr>
    </w:p>
    <w:p>
      <w:pPr>
        <w:spacing w:after="0" w:line="23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Jon Faiz Kayyem, Ph.D. </w:t>
      </w:r>
      <w:r>
        <w:rPr>
          <w:rFonts w:ascii="Times New Roman" w:cs="Times New Roman" w:eastAsia="Times New Roman" w:hAnsi="Times New Roman"/>
          <w:sz w:val="18"/>
          <w:szCs w:val="18"/>
          <w:color w:val="auto"/>
        </w:rPr>
        <w:t>has served as a Director of the Company since December 2021. Dr. Kayyem has over 20 years of experience inventing,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patenting, licensing, developing, and commercializing novel solutions for molecular diagnostics and DNA detection opportunities. Dr. Kayyem has served in various leadership positions throughout his career. He held numerous roles at GenMark Diagnostics, Inc., including Founder, CEO and President, Chief Scientific Officer, Senior Vice President of Research and Development. Prior to his work at GenMark Diagnostics, Dr. Kayyem served as director and founder of Calimmune, Inc. and was Vice President of Life Sciences at Motorola Solutions, Inc. In October 2004, he co-founded the biotechnology fund management company, Efficacy Capital Limited and served as a managing partner. Additionally, Dr. Kayyem founded Clinical Micro Sensors Inc., the predecessor company of GenMark Diagnostics, to commercialize multiple technical innovations that he developed while serving as a Senior Research Fellow at the California Institute of Technology (Caltech). Dr. Kayyem holds a B.S. and M.S. in Biochemistry from Yale University and a Ph.D. in Molecular Biology from Caltech. Currently, Dr. Kayyem is on the board of directors of Inhibrx, Inc.</w:t>
      </w:r>
    </w:p>
    <w:p>
      <w:pPr>
        <w:spacing w:after="0" w:line="192"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We believe that Dr. Kayyem is qualified to serve on our board of directors because of his experience in leadership and management roles in the field of medicine, as well as his experience as a board member and investor in companies in the healthcare industry.</w:t>
      </w:r>
    </w:p>
    <w:p>
      <w:pPr>
        <w:spacing w:after="0" w:line="158" w:lineRule="exact"/>
        <w:rPr>
          <w:sz w:val="20"/>
          <w:szCs w:val="20"/>
          <w:color w:val="auto"/>
        </w:rPr>
      </w:pPr>
    </w:p>
    <w:p>
      <w:pPr>
        <w:ind w:left="120" w:right="7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Scott Hutton </w:t>
      </w:r>
      <w:r>
        <w:rPr>
          <w:rFonts w:ascii="Times New Roman" w:cs="Times New Roman" w:eastAsia="Times New Roman" w:hAnsi="Times New Roman"/>
          <w:sz w:val="18"/>
          <w:szCs w:val="18"/>
          <w:color w:val="auto"/>
        </w:rPr>
        <w:t>has served as our President, Chief Executive Officer and Director since January 2020, and previously held the role of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Officer from March 2018 to December 2019. Mr. Hutton also serves</w:t>
      </w:r>
    </w:p>
    <w:p>
      <w:pPr>
        <w:spacing w:after="0" w:line="100"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40" w:type="dxa"/>
            <w:vAlign w:val="bottom"/>
          </w:tcPr>
          <w:p>
            <w:pPr>
              <w:spacing w:after="0"/>
              <w:rPr>
                <w:sz w:val="20"/>
                <w:szCs w:val="20"/>
                <w:color w:val="auto"/>
              </w:rPr>
            </w:pPr>
            <w:r>
              <w:rPr>
                <w:rFonts w:ascii="Arial" w:cs="Arial" w:eastAsia="Arial" w:hAnsi="Arial"/>
                <w:sz w:val="14"/>
                <w:szCs w:val="14"/>
                <w:b w:val="1"/>
                <w:bCs w:val="1"/>
                <w:color w:val="305494"/>
              </w:rPr>
              <w:t>2024 Proxy Statement</w:t>
            </w:r>
          </w:p>
        </w:tc>
        <w:tc>
          <w:tcPr>
            <w:tcW w:w="2240" w:type="dxa"/>
            <w:vAlign w:val="bottom"/>
          </w:tcPr>
          <w:p>
            <w:pPr>
              <w:jc w:val="right"/>
              <w:spacing w:after="0"/>
              <w:rPr>
                <w:sz w:val="20"/>
                <w:szCs w:val="20"/>
                <w:color w:val="auto"/>
              </w:rPr>
            </w:pPr>
            <w:r>
              <w:rPr>
                <w:rFonts w:ascii="Arial" w:cs="Arial" w:eastAsia="Arial" w:hAnsi="Arial"/>
                <w:sz w:val="14"/>
                <w:szCs w:val="14"/>
                <w:b w:val="1"/>
                <w:bCs w:val="1"/>
                <w:color w:val="305494"/>
              </w:rPr>
              <w:t>9</w:t>
            </w:r>
          </w:p>
        </w:tc>
      </w:tr>
    </w:tbl>
    <w:p>
      <w:pPr>
        <w:sectPr>
          <w:pgSz w:w="11900" w:h="16838" w:orient="portrait"/>
          <w:cols w:equalWidth="0" w:num="1">
            <w:col w:w="11140"/>
          </w:cols>
          <w:pgMar w:left="320" w:top="455"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 xml:space="preserve">as a director and board secretary for the Coalition for 21st Century Medicine, a non-profit organization that advocates for high-quality diagnostic testing availability. Additionally, Mr. Hutton has served on the board of directors of Eximis Surgical, Inc. since February 2018 and was on the board of the Colorado Bioscience Association from April 2011 to April 2013. Mr. Hutton was an observer on the board of directors of Aqueduct Critical Care, Inc. from September 2014 to January 2017, and an observer on the Board of Visualase, Inc. from October 2012 to July 2014. Mr. Hutton joined Biodesix from Spectranetics Corp. (Spectranetics), a U.S.-based global leader in vascular intervention and lead management solutions (now part of Royal Philips), where he served as Senior Vice President and General Manager of the Vascular Intervention division from January 2017 to December 2017. Prior to joining Spectranetics, Mr. Hutton held several positions of increasing responsibility, including Vice President and General Manager, at Medtronic plc, a global healthcare products company and manufacturer of medical devices and supplies, over a period of 16 years. From April 2012 to January 2017, Mr. Hutton was Vice President and General Manager of Neurosurgery, where he oversaw the operations of the approximately $1 billion Neurosurgery business unit. From 2008 to 2012, he grew from Senior Director of Global Marketing to Vice President and Business Leader of the Surgical Navigation and Intra-Operative Imaging business. Mr. Hutton holds a B.A. from the College of Health and Human Sciences, Department of Health and Kinesiology at Purdue University. In March 2021, Mr. Hutton was named a Significant Sig by Sigma Chi International Fraternity. Mr. Hutton was named a Top 25 Biotech CEO of 2021 and 2022 by the Healthcare Technology Report in February 2021 and February 2022, respectively. In January 2021, Mr. Hutton was named 2020 CEO of the Year-USA by CEO Monthly Magazine. In July 2011, Mr. Hutton received the Medtronic plc </w:t>
      </w:r>
      <w:r>
        <w:rPr>
          <w:rFonts w:ascii="Times New Roman" w:cs="Times New Roman" w:eastAsia="Times New Roman" w:hAnsi="Times New Roman"/>
          <w:sz w:val="18"/>
          <w:szCs w:val="18"/>
          <w:i w:val="1"/>
          <w:iCs w:val="1"/>
          <w:color w:val="auto"/>
        </w:rPr>
        <w:t>Wallin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Leadership Award </w:t>
      </w:r>
      <w:r>
        <w:rPr>
          <w:rFonts w:ascii="Times New Roman" w:cs="Times New Roman" w:eastAsia="Times New Roman" w:hAnsi="Times New Roman"/>
          <w:sz w:val="18"/>
          <w:szCs w:val="18"/>
          <w:color w:val="auto"/>
        </w:rPr>
        <w:t>for his focus on talent development, business performance, and his personal and intentional demonstration of leadership.</w:t>
      </w:r>
    </w:p>
    <w:p>
      <w:pPr>
        <w:spacing w:after="0" w:line="196"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believe that Mr. Hutton is qualified to serve on our board of directors because of his experience in leadership and management roles at our Company, as well as his experience as a board member in the healthcare and medical device industries.</w:t>
      </w:r>
    </w:p>
    <w:p>
      <w:pPr>
        <w:spacing w:after="0" w:line="158"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Patience </w:t>
      </w:r>
      <w:r>
        <w:rPr>
          <w:rFonts w:ascii="Times New Roman" w:cs="Times New Roman" w:eastAsia="Times New Roman" w:hAnsi="Times New Roman"/>
          <w:sz w:val="18"/>
          <w:szCs w:val="18"/>
          <w:color w:val="auto"/>
        </w:rPr>
        <w:t>has served as a Director of the Company since June 2008 and as Chairman of the Board since September 2020. Mr. Patience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currently serves as a director (since 2012) of Accelerate Diagnostics, Inc.,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diagnostics company (Accelerate Diagnostics). Mr. Patience served as a director of Ventana Medical Systems, Inc. (Ventana), from 1989 and as Vice Chairman from 1999 until Ventana’s acquisition by Roche in 2008. Mr. Patience also served as a director of Stericycle, Inc. since its founding in 1989 to June 2018. Mr. Patience is a founding partner of Crabtree Partners, a private equity investment partnership in Lake Forest, Illinois, and an angel investor. He was also previously a partner of a venture capital investment firm that provided both Ventana and Stericycle, Inc. with early-stage funding. Mr. Patience was also previously a partner at the consulting firm McKinsey &amp; Company, Inc., specializing in healthcare. Mr. Patience holds a B.A. in Liberal Arts and an L.L.B. from the University of Sydney, Australia, and an M.B.A. from the University of Pennsylvania’s Wharton School of Business.</w:t>
      </w:r>
    </w:p>
    <w:p>
      <w:pPr>
        <w:spacing w:after="0" w:line="18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We believe that Mr. Patience is qualified to serve on our board of directors because of his experience in leadership and management roles in the field of medicine, as well as his experience as a board member and investor in companies in the healthcare industry.</w:t>
      </w:r>
    </w:p>
    <w:p>
      <w:pPr>
        <w:spacing w:after="0" w:line="3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Continuing Directors</w:t>
      </w:r>
    </w:p>
    <w:p>
      <w:pPr>
        <w:spacing w:after="0" w:line="200" w:lineRule="exact"/>
        <w:rPr>
          <w:sz w:val="20"/>
          <w:szCs w:val="20"/>
          <w:color w:val="auto"/>
        </w:rPr>
      </w:pPr>
    </w:p>
    <w:p>
      <w:pPr>
        <w:spacing w:after="0" w:line="2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305494"/>
        </w:rPr>
        <w:t>Class II Directors – Term Expiring at the 2025 Annual Meeting</w:t>
      </w:r>
    </w:p>
    <w:p>
      <w:pPr>
        <w:spacing w:after="0" w:line="200" w:lineRule="exact"/>
        <w:rPr>
          <w:sz w:val="20"/>
          <w:szCs w:val="20"/>
          <w:color w:val="auto"/>
        </w:rPr>
      </w:pPr>
    </w:p>
    <w:p>
      <w:pPr>
        <w:spacing w:after="0" w:line="239" w:lineRule="exact"/>
        <w:rPr>
          <w:sz w:val="20"/>
          <w:szCs w:val="20"/>
          <w:color w:val="auto"/>
        </w:rPr>
      </w:pPr>
    </w:p>
    <w:p>
      <w:pPr>
        <w:ind w:left="120" w:right="8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Lawrence T. Kennedy, Jr. </w:t>
      </w:r>
      <w:r>
        <w:rPr>
          <w:rFonts w:ascii="Times New Roman" w:cs="Times New Roman" w:eastAsia="Times New Roman" w:hAnsi="Times New Roman"/>
          <w:sz w:val="18"/>
          <w:szCs w:val="18"/>
          <w:color w:val="auto"/>
        </w:rPr>
        <w:t>has served as a Director of the Company since January 2023. Mr. Kennedy brings to Biodesix more than 25 years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broad operating, corporate finance, company creation and investment experience with a specific focus in the healthcare industry. Mr. Kennedy currently serves as the Managing</w:t>
      </w:r>
    </w:p>
    <w:p>
      <w:pPr>
        <w:spacing w:after="0" w:line="116"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Arial" w:cs="Arial" w:eastAsia="Arial" w:hAnsi="Arial"/>
                <w:sz w:val="14"/>
                <w:szCs w:val="14"/>
                <w:b w:val="1"/>
                <w:bCs w:val="1"/>
                <w:color w:val="305494"/>
              </w:rPr>
              <w:t>2024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305494"/>
              </w:rPr>
              <w:t>10</w:t>
            </w:r>
          </w:p>
        </w:tc>
      </w:tr>
    </w:tbl>
    <w:p>
      <w:pPr>
        <w:sectPr>
          <w:pgSz w:w="11900" w:h="16838" w:orient="portrait"/>
          <w:cols w:equalWidth="0" w:num="1">
            <w:col w:w="11140"/>
          </w:cols>
          <w:pgMar w:left="320" w:top="455"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Partner and Chief Executive Officer of Westwood Management, a private investment and wealth management firm directing a diverse investment portfolio across a range of alternative and traditional asset classes. Prior to his role at Westwood Management, Mr. Kennedy was the co-founder, Chief Financial Officer and chairman of Health Carousel, a talent management company with a leading portfolio of healthcare staffing and workforce solution businesses. Mr. Kennedy currently serves on the boards of directors of Healthcare for Kids, Caliber Healthcare Solutions, Revolution 4.0 and Health Carousel. Mr. Kennedy has received an M.B.A. from Duke University’s Fuqua School of Business and a B.A. from Colgate University.</w:t>
      </w:r>
    </w:p>
    <w:p>
      <w:pPr>
        <w:spacing w:after="0" w:line="183"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believe that Mr. Kennedy is qualified to serve on our board of directors because of his experience in leadership and management roles in the field of healthcare, as well as his experience as a board member and investor in companies in the healthcare industry.</w:t>
      </w:r>
    </w:p>
    <w:p>
      <w:pPr>
        <w:spacing w:after="0" w:line="158"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Matthew Strobeck, Ph.D</w:t>
      </w:r>
      <w:r>
        <w:rPr>
          <w:rFonts w:ascii="Times New Roman" w:cs="Times New Roman" w:eastAsia="Times New Roman" w:hAnsi="Times New Roman"/>
          <w:sz w:val="18"/>
          <w:szCs w:val="18"/>
          <w:color w:val="auto"/>
        </w:rPr>
        <w:t>. has served as a Director of the Company since January 2012. Dr. Strobeck is currently the Managing Partner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Birchview Capital LP, an investment management company. In addition, Dr. Strobeck is currently a director of QuidelOrtho Corporation (Quidel), Accelerate Diagnostics, Monteris Medical Corporation and the Schuler Education Foundation. Dr. Strobeck was a director of Yield 10 Biosciences from 2012 to 2017. Dr. Strobeck received a B.S. from St. Lawrence University, a Ph.D. from the University of Cincinnati, an M.S. from the Harvard University-MIT Health Sciences and Technology Program, and an M.S. from the MIT Sloan School of Management.</w:t>
      </w:r>
    </w:p>
    <w:p>
      <w:pPr>
        <w:spacing w:after="0" w:line="183"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We believe that Dr. Strobeck is qualified to serve on our board of directors because of his experience in leadership and management roles at medical technology companies, as well as his experience as a board member and investor in the medical technology industry.</w:t>
      </w:r>
    </w:p>
    <w:p>
      <w:pPr>
        <w:spacing w:after="0" w:line="15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Charles Watts, M.D</w:t>
      </w:r>
      <w:r>
        <w:rPr>
          <w:rFonts w:ascii="Times New Roman" w:cs="Times New Roman" w:eastAsia="Times New Roman" w:hAnsi="Times New Roman"/>
          <w:sz w:val="18"/>
          <w:szCs w:val="18"/>
          <w:color w:val="auto"/>
        </w:rPr>
        <w:t>. has served as a Director of the Company since July 2019. Until his retirement, Dr. Watts served as Chief Medical Officer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Northwestern Memorial Hospital and Associate Dean for Clinical Affairs at the Feinberg School of Medicine, Northwestern University (Northwestern) from 2001 to 2011. Prior to his tenure at Northwestern, Dr. Watts served as Chief of Clinical Affairs and Associate Dean at the University of Michigan Medical Center. He also previously served as Executive in Residence for the Health Management Academy and as an active faculty member of a national physician leadership program. Dr. Watts served as a director of Providence Health and Services (Seattle, Washington) from 2012 to 2016 where he chaired the Quality and Patient Safety Improvement Committee, and served as a Trustee of Swedish Health Services until May 2017, when he accepted an appointment as interim Chief Medical Officer, serving in that capacity until June 2019. He currently serves as chairman of the Institute for Systems Biology board and served as a director of Accelerate Diagnostics until 2023. Dr. Watts received his medical degree from the University of Michigan.</w:t>
      </w:r>
    </w:p>
    <w:p>
      <w:pPr>
        <w:spacing w:after="0" w:line="19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We believe that Dr. Watts is qualified to serve on our board of directors because of his experience in leadership and management roles in the field of medicine, as well as his experience as a board member in the healthcare industry.</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305494"/>
        </w:rPr>
        <w:t>Class III Directors – Term Expiring at the 2026 Annual Meeting</w:t>
      </w:r>
    </w:p>
    <w:p>
      <w:pPr>
        <w:spacing w:after="0" w:line="331" w:lineRule="exact"/>
        <w:rPr>
          <w:sz w:val="20"/>
          <w:szCs w:val="20"/>
          <w:color w:val="auto"/>
        </w:rPr>
      </w:pPr>
    </w:p>
    <w:p>
      <w:pPr>
        <w:ind w:left="120" w:right="100" w:firstLine="440"/>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Jean M. Franchi </w:t>
      </w:r>
      <w:r>
        <w:rPr>
          <w:rFonts w:ascii="Times New Roman" w:cs="Times New Roman" w:eastAsia="Times New Roman" w:hAnsi="Times New Roman"/>
          <w:sz w:val="17"/>
          <w:szCs w:val="17"/>
          <w:color w:val="auto"/>
        </w:rPr>
        <w:t>has served as a Director of the Company since April 2020. Ms. Franchi is currently Chief Financial Officer of Disc Medicine,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Inc., a clinical stage company focused on hematologic diseases, prior to which she served as Chief Financial Officer of Replimune Group, Inc. (Replimune) from 2019 to 2023, a biotechnology company developing oncolytic immuno-gene therapies. Prior to Replimune, Ms. Franchi was Chief Financial Officer at Merrimack Pharmaceuticals, Inc., a biopharmaceutical company, from 2017 to 2019, Dimension Therapeutics, Inc., a gene therapy company, from 2015 to 2017, and Good Start Genetics, Inc., a molecular genetic information company, from 2012 to 2015. From 1995 to 2011,</w:t>
      </w:r>
    </w:p>
    <w:p>
      <w:pPr>
        <w:spacing w:after="0" w:line="3" w:lineRule="exact"/>
        <w:rPr>
          <w:sz w:val="20"/>
          <w:szCs w:val="20"/>
          <w:color w:val="auto"/>
        </w:rPr>
      </w:pPr>
    </w:p>
    <w:p>
      <w:pPr>
        <w:ind w:left="120" w:right="180"/>
        <w:spacing w:after="0" w:line="260" w:lineRule="auto"/>
        <w:rPr>
          <w:sz w:val="20"/>
          <w:szCs w:val="20"/>
          <w:color w:val="auto"/>
        </w:rPr>
      </w:pPr>
      <w:r>
        <w:rPr>
          <w:rFonts w:ascii="Times New Roman" w:cs="Times New Roman" w:eastAsia="Times New Roman" w:hAnsi="Times New Roman"/>
          <w:sz w:val="18"/>
          <w:szCs w:val="18"/>
          <w:color w:val="auto"/>
        </w:rPr>
        <w:t>Ms. Franchi held various positions at Genzyme Corporation, including Senior Vice President of Corporate Finance, Senior Vice President of Business Unit Finance, and Vice President of Finance and Controller, Product Line and International Group.</w:t>
      </w:r>
    </w:p>
    <w:p>
      <w:pPr>
        <w:spacing w:after="0" w:line="123"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40" w:type="dxa"/>
            <w:vAlign w:val="bottom"/>
          </w:tcPr>
          <w:p>
            <w:pPr>
              <w:spacing w:after="0"/>
              <w:rPr>
                <w:sz w:val="20"/>
                <w:szCs w:val="20"/>
                <w:color w:val="auto"/>
              </w:rPr>
            </w:pPr>
            <w:r>
              <w:rPr>
                <w:rFonts w:ascii="Arial" w:cs="Arial" w:eastAsia="Arial" w:hAnsi="Arial"/>
                <w:sz w:val="14"/>
                <w:szCs w:val="14"/>
                <w:b w:val="1"/>
                <w:bCs w:val="1"/>
                <w:color w:val="305494"/>
              </w:rPr>
              <w:t>2024 Proxy Statement</w:t>
            </w:r>
          </w:p>
        </w:tc>
        <w:tc>
          <w:tcPr>
            <w:tcW w:w="2280" w:type="dxa"/>
            <w:vAlign w:val="bottom"/>
          </w:tcPr>
          <w:p>
            <w:pPr>
              <w:jc w:val="right"/>
              <w:spacing w:after="0"/>
              <w:rPr>
                <w:sz w:val="20"/>
                <w:szCs w:val="20"/>
                <w:color w:val="auto"/>
              </w:rPr>
            </w:pPr>
            <w:r>
              <w:rPr>
                <w:rFonts w:ascii="Arial" w:cs="Arial" w:eastAsia="Arial" w:hAnsi="Arial"/>
                <w:sz w:val="14"/>
                <w:szCs w:val="14"/>
                <w:b w:val="1"/>
                <w:bCs w:val="1"/>
                <w:color w:val="305494"/>
              </w:rPr>
              <w:t>11</w:t>
            </w:r>
          </w:p>
        </w:tc>
      </w:tr>
    </w:tbl>
    <w:p>
      <w:pPr>
        <w:sectPr>
          <w:pgSz w:w="11900" w:h="16838" w:orient="portrait"/>
          <w:cols w:equalWidth="0" w:num="1">
            <w:col w:w="11080"/>
          </w:cols>
          <w:pgMar w:left="320" w:top="455" w:right="4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Ms. Franchi currently serves on the board of directors of VectorY Therapeutics. Ms. Franchi also served on the board of directors of Biophytis S.A. through July 2021, Visioneering Technologies, Inc. through December 2022 and Flamingo Therapeutics through March 2024. Ms. Franchi received her B.A. in Accounting from Hofstra University.</w:t>
      </w:r>
    </w:p>
    <w:p>
      <w:pPr>
        <w:spacing w:after="0" w:line="176"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We believe that Ms. Franchi is qualified to serve on our board of directors because of her experience in leadership and management roles in the healthcare industry as well as her experience holding finance-related roles of increasing responsibility.</w:t>
      </w:r>
    </w:p>
    <w:p>
      <w:pPr>
        <w:spacing w:after="0" w:line="15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Hany Massarany </w:t>
      </w:r>
      <w:r>
        <w:rPr>
          <w:rFonts w:ascii="Times New Roman" w:cs="Times New Roman" w:eastAsia="Times New Roman" w:hAnsi="Times New Roman"/>
          <w:sz w:val="18"/>
          <w:szCs w:val="18"/>
          <w:color w:val="auto"/>
        </w:rPr>
        <w:t>has served as a Director of the Company since July 2020. Mr. Massarany currently serves as both a director (since 2020)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chairman (since February 2023) of Accelerate Diagnostics. Mr. Massarany was President and Chief Executive Officer of GenMark Diagnostics, Inc., a provider of multiplex molecular diagnostic solutions, from April 2011 to March 2020. From February 2009 to April 2011, Mr. Massarany served as President at Ventana and Head of Roche Tissue Diagnostics, a division of F. Hoffman-La Roche Ltd. focused on manufacturing instruments and reagents that automate tissue processing and slide staining diagnostics for cancer. From 1999 to 2009, Mr. Massarany held various global leadership positions with Ventana, including Chief Operating Officer, Executive Vice President, Worldwide Operations, Senior Vice President, Corporate Strategy and Development, and Vice President, North American Commercial Operations. Mr. Massarany also held executive management positions with Bayer Diagnostics and Chiron Diagnostics, working in both the Asia Pacific region and the United States. Mr. Massarany served on the board of directors of GenMark Diagnostics, Inc. from May 2011 to February 2020. Mr. Massarany earned a B.S. in Microbiology and Immunology from Monash University in Australia and an M.B.A. from Melbourne University.</w:t>
      </w:r>
    </w:p>
    <w:p>
      <w:pPr>
        <w:spacing w:after="0" w:line="18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believe that Mr. Massarany is qualified to serve on our board of directors because of his experience in leadership and management roles, and experience as a board member, in the healthcare industry.</w:t>
      </w:r>
    </w:p>
    <w:p>
      <w:pPr>
        <w:spacing w:after="0" w:line="158"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Jack Schuler </w:t>
      </w:r>
      <w:r>
        <w:rPr>
          <w:rFonts w:ascii="Times New Roman" w:cs="Times New Roman" w:eastAsia="Times New Roman" w:hAnsi="Times New Roman"/>
          <w:sz w:val="18"/>
          <w:szCs w:val="18"/>
          <w:color w:val="auto"/>
        </w:rPr>
        <w:t>has served as a Director of the Company since June 2008. Mr. Schuler served as a director of Ventana from 1991 and as chairman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board from 1995 until Ventana’s acquisition by Roche in 2008. Prior to joining Ventana, Mr. Schuler was President and Chief Operating Officer of Abbott Laboratories, a diversified healthcare company, which he joined in 1972 and where he held a number of management and marketing positions, also serving as a director from April 1985 to August 1989. Mr. Schuler is the co-founder of Crabtree Partners, a private investment partnership based in Lake Forest, Illinois, and the president and co-founder of the Schuler Scholar Program. Additionally, Mr. Schuler has served as a director of Medtronic plc (lead director), Stericycle, Inc. (chairman), Hansen Medical, Inc. and Quidel, and currently serves as a director (since 2012) of Accelerate Diagnostics. Mr. Schuler holds a B.S. in Mechanical Engineering from Tufts University and an M.B.A. from Stanford University Graduate School of Business.</w:t>
      </w:r>
    </w:p>
    <w:p>
      <w:pPr>
        <w:spacing w:after="0" w:line="18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We believe that Mr. Schuler is qualified to serve on our board of directors because of his experience in leadership and management roles in the healthcare industry, as well as his experience as a board member in the healthcare and medical device industries.</w:t>
      </w:r>
    </w:p>
    <w:p>
      <w:pPr>
        <w:spacing w:after="0" w:line="2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305494"/>
        </w:rPr>
        <w:t>Board Composition</w:t>
      </w:r>
    </w:p>
    <w:p>
      <w:pPr>
        <w:spacing w:after="0" w:line="338" w:lineRule="exact"/>
        <w:rPr>
          <w:sz w:val="20"/>
          <w:szCs w:val="20"/>
          <w:color w:val="auto"/>
        </w:rPr>
      </w:pPr>
    </w:p>
    <w:p>
      <w:pPr>
        <w:jc w:val="both"/>
        <w:ind w:left="120" w:right="180" w:firstLine="771"/>
        <w:spacing w:after="0" w:line="266" w:lineRule="auto"/>
        <w:rPr>
          <w:sz w:val="20"/>
          <w:szCs w:val="20"/>
          <w:color w:val="auto"/>
        </w:rPr>
      </w:pPr>
      <w:r>
        <w:rPr>
          <w:rFonts w:ascii="Times New Roman" w:cs="Times New Roman" w:eastAsia="Times New Roman" w:hAnsi="Times New Roman"/>
          <w:sz w:val="18"/>
          <w:szCs w:val="18"/>
          <w:color w:val="auto"/>
        </w:rPr>
        <w:t>In accordance with our amended and restated certificate of incorporation, our board of directors is divided into three classes with staggered, three-year terms. At each annual meeting of stockholders, the successors to directors whose terms then expire will be elected to serve from the time of election and qualification until the third annual meeting following election. Our directors are divided among the three classes as follows:</w:t>
      </w:r>
    </w:p>
    <w:p>
      <w:pPr>
        <w:spacing w:after="0" w:line="203" w:lineRule="exact"/>
        <w:rPr>
          <w:sz w:val="20"/>
          <w:szCs w:val="20"/>
          <w:color w:val="auto"/>
        </w:rPr>
      </w:pPr>
    </w:p>
    <w:p>
      <w:pPr>
        <w:ind w:left="1200" w:hanging="315"/>
        <w:spacing w:after="0"/>
        <w:tabs>
          <w:tab w:leader="none" w:pos="12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are Jon Faiz Kayyem, Ph.D., John Patience and Scott Hutton, and their terms will expire at the Annual Meeting;</w:t>
      </w:r>
    </w:p>
    <w:p>
      <w:pPr>
        <w:spacing w:after="0" w:line="167"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Arial" w:cs="Arial" w:eastAsia="Arial" w:hAnsi="Arial"/>
                <w:sz w:val="14"/>
                <w:szCs w:val="14"/>
                <w:b w:val="1"/>
                <w:bCs w:val="1"/>
                <w:color w:val="305494"/>
              </w:rPr>
              <w:t>2024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305494"/>
              </w:rPr>
              <w:t>12</w:t>
            </w:r>
          </w:p>
        </w:tc>
      </w:tr>
    </w:tbl>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0" w:right="360" w:hanging="315"/>
        <w:spacing w:after="0" w:line="282" w:lineRule="auto"/>
        <w:tabs>
          <w:tab w:leader="none" w:pos="1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are Matthew Strobeck, Ph.D., Charles Watts, M.D., and Lawrence T. Kennedy, Jr., and their terms expire at the 2025 annual meeting of stockholders; and</w:t>
      </w:r>
    </w:p>
    <w:p>
      <w:pPr>
        <w:spacing w:after="0" w:line="188" w:lineRule="exact"/>
        <w:rPr>
          <w:rFonts w:ascii="Times New Roman" w:cs="Times New Roman" w:eastAsia="Times New Roman" w:hAnsi="Times New Roman"/>
          <w:sz w:val="18"/>
          <w:szCs w:val="18"/>
          <w:color w:val="auto"/>
        </w:rPr>
      </w:pPr>
    </w:p>
    <w:p>
      <w:pPr>
        <w:ind w:left="1200" w:right="360" w:hanging="315"/>
        <w:spacing w:after="0" w:line="282" w:lineRule="auto"/>
        <w:tabs>
          <w:tab w:leader="none" w:pos="1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Jean Franchi, Hany Massarany and Jack Schuler, and their terms will expire at the 2026 annual meeting of stockholders.</w:t>
      </w:r>
    </w:p>
    <w:p>
      <w:pPr>
        <w:spacing w:after="0" w:line="162" w:lineRule="exact"/>
        <w:rPr>
          <w:sz w:val="20"/>
          <w:szCs w:val="20"/>
          <w:color w:val="auto"/>
        </w:rPr>
      </w:pPr>
    </w:p>
    <w:p>
      <w:pPr>
        <w:ind w:left="120" w:firstLine="771"/>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 third of the directors. Each director’s term continues until the election and qualification of his or her successor, or, if sooner, his or her death, resignation or removal.</w:t>
      </w:r>
    </w:p>
    <w:p>
      <w:pPr>
        <w:spacing w:after="0" w:line="1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305494"/>
        </w:rPr>
        <w:t>Director Independence</w:t>
      </w:r>
    </w:p>
    <w:p>
      <w:pPr>
        <w:spacing w:after="0" w:line="230" w:lineRule="exact"/>
        <w:rPr>
          <w:sz w:val="20"/>
          <w:szCs w:val="20"/>
          <w:color w:val="auto"/>
        </w:rPr>
      </w:pPr>
    </w:p>
    <w:p>
      <w:pPr>
        <w:ind w:left="120" w:right="140" w:firstLine="771"/>
        <w:spacing w:after="0" w:line="282" w:lineRule="auto"/>
        <w:rPr>
          <w:sz w:val="20"/>
          <w:szCs w:val="20"/>
          <w:color w:val="auto"/>
        </w:rPr>
      </w:pPr>
      <w:r>
        <w:rPr>
          <w:rFonts w:ascii="Times New Roman" w:cs="Times New Roman" w:eastAsia="Times New Roman" w:hAnsi="Times New Roman"/>
          <w:sz w:val="18"/>
          <w:szCs w:val="18"/>
          <w:color w:val="auto"/>
        </w:rPr>
        <w:t>Under the listing requirements and rules of Nasdaq Stock Market (Nasdaq), independent directors must comprise a majority of our board of directors as a listed company within one year of the closing of our initial public offering.</w:t>
      </w:r>
    </w:p>
    <w:p>
      <w:pPr>
        <w:spacing w:after="0" w:line="162" w:lineRule="exact"/>
        <w:rPr>
          <w:sz w:val="20"/>
          <w:szCs w:val="20"/>
          <w:color w:val="auto"/>
        </w:rPr>
      </w:pPr>
    </w:p>
    <w:p>
      <w:pPr>
        <w:ind w:left="120" w:right="20" w:firstLine="771"/>
        <w:spacing w:after="0" w:line="254" w:lineRule="auto"/>
        <w:rPr>
          <w:sz w:val="20"/>
          <w:szCs w:val="20"/>
          <w:color w:val="auto"/>
        </w:rPr>
      </w:pPr>
      <w:r>
        <w:rPr>
          <w:rFonts w:ascii="Times New Roman" w:cs="Times New Roman" w:eastAsia="Times New Roman" w:hAnsi="Times New Roman"/>
          <w:sz w:val="18"/>
          <w:szCs w:val="18"/>
          <w:color w:val="auto"/>
        </w:rPr>
        <w:t>Our board of directors has undertaken a review of its composition, the composition of its committees and the independence of each director. Based upon information requested from and provided by each director concerning his or her background, employment and affiliations, including family relationships, our board of directors has determined that Ms. Franchi, Messrs. Massarany, Schuler, Patience and Kennedy and Drs. Kayyem, Strobeck and Watts do not have any relationships that would interfere with the exercise of independent judgment in carrying out the responsibilities of a director and that each of these directors is “independent” as that term is defined under the applicable listing requirements and rules of Nasdaq. In making this determination,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305494"/>
        </w:rPr>
        <w:t>Board Leadership Structure</w:t>
      </w:r>
    </w:p>
    <w:p>
      <w:pPr>
        <w:spacing w:after="0" w:line="230" w:lineRule="exact"/>
        <w:rPr>
          <w:sz w:val="20"/>
          <w:szCs w:val="20"/>
          <w:color w:val="auto"/>
        </w:rPr>
      </w:pPr>
    </w:p>
    <w:p>
      <w:pPr>
        <w:ind w:left="120" w:right="20" w:firstLine="771"/>
        <w:spacing w:after="0" w:line="277" w:lineRule="auto"/>
        <w:rPr>
          <w:sz w:val="20"/>
          <w:szCs w:val="20"/>
          <w:color w:val="auto"/>
        </w:rPr>
      </w:pPr>
      <w:r>
        <w:rPr>
          <w:rFonts w:ascii="Times New Roman" w:cs="Times New Roman" w:eastAsia="Times New Roman" w:hAnsi="Times New Roman"/>
          <w:sz w:val="17"/>
          <w:szCs w:val="17"/>
          <w:color w:val="auto"/>
        </w:rPr>
        <w:t>Our corporate governance guidelines provide our board of directors with flexibility to combine or separate the positions of Chairman of the board of directors and the Chief Executive Officer and/or the implementation of a lead director in accordance with its determination that utilizing one or the other structure would be in the best interests of the Company. Mr. Patience currently serves as the independent Chairman of our board of directors. Our board of directors believes that separating these positions reinforces the independence of our board of directors from management, creates an environment that encourages objective oversight of management’s performance and enhances the effectiveness of our board of directors as a whole.</w:t>
      </w:r>
    </w:p>
    <w:p>
      <w:pPr>
        <w:spacing w:after="0" w:line="1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305494"/>
        </w:rPr>
        <w:t>Role of our Board of Directors in Risk Oversight</w:t>
      </w:r>
    </w:p>
    <w:p>
      <w:pPr>
        <w:spacing w:after="0" w:line="230" w:lineRule="exact"/>
        <w:rPr>
          <w:sz w:val="20"/>
          <w:szCs w:val="20"/>
          <w:color w:val="auto"/>
        </w:rPr>
      </w:pPr>
    </w:p>
    <w:p>
      <w:pPr>
        <w:ind w:left="120" w:right="40" w:firstLine="771"/>
        <w:spacing w:after="0" w:line="274" w:lineRule="auto"/>
        <w:rPr>
          <w:sz w:val="20"/>
          <w:szCs w:val="20"/>
          <w:color w:val="auto"/>
        </w:rPr>
      </w:pPr>
      <w:r>
        <w:rPr>
          <w:rFonts w:ascii="Times New Roman" w:cs="Times New Roman" w:eastAsia="Times New Roman" w:hAnsi="Times New Roman"/>
          <w:sz w:val="17"/>
          <w:szCs w:val="17"/>
          <w:color w:val="auto"/>
        </w:rPr>
        <w:t>Our board of directors is responsible for overseeing the overall risk management process at Biodesix. The day-to-day responsibility for managing risks and exposures resides with our executive management team while our board committees and our board of directors as a whole participate in the oversight process. The risk oversight process includes receiving regular reports from committees and management to enable our board of directors to understand management’s risk assessment and mitigation processes, which includes areas of potential material risk, including long-term strategic and operational planning, strategic biopharmaceutical partnerships, executive development and evaluation, regulatory and legal compliance, information technology (including cybersecurity), financial reporting and internal controls and reputational risk. Our board of directors focuses on</w:t>
      </w:r>
    </w:p>
    <w:p>
      <w:pPr>
        <w:spacing w:after="0" w:line="115"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Arial" w:cs="Arial" w:eastAsia="Arial" w:hAnsi="Arial"/>
                <w:sz w:val="14"/>
                <w:szCs w:val="14"/>
                <w:b w:val="1"/>
                <w:bCs w:val="1"/>
                <w:color w:val="305494"/>
              </w:rPr>
              <w:t>2024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305494"/>
              </w:rPr>
              <w:t>13</w:t>
            </w:r>
          </w:p>
        </w:tc>
      </w:tr>
    </w:tbl>
    <w:p>
      <w:pPr>
        <w:sectPr>
          <w:pgSz w:w="11900" w:h="16838" w:orient="portrait"/>
          <w:cols w:equalWidth="0" w:num="1">
            <w:col w:w="11080"/>
          </w:cols>
          <w:pgMar w:left="320" w:top="455" w:right="4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overall risks affecting us, and each of its standing committees has been delegated responsibility for oversight of specific risks that fall within its areas of responsibility. For example:</w:t>
      </w:r>
    </w:p>
    <w:p>
      <w:pPr>
        <w:spacing w:after="0" w:line="189" w:lineRule="exact"/>
        <w:rPr>
          <w:sz w:val="20"/>
          <w:szCs w:val="20"/>
          <w:color w:val="auto"/>
        </w:rPr>
      </w:pPr>
    </w:p>
    <w:p>
      <w:pPr>
        <w:ind w:left="1200" w:right="40" w:hanging="315"/>
        <w:spacing w:after="0" w:line="261" w:lineRule="auto"/>
        <w:tabs>
          <w:tab w:leader="none" w:pos="1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audit committee is responsible for overseeing our major financial, legal and regulatory risk exposures, which spans a variety of areas including litigation, regulatory compliance, financial reporting, insurance and cybersecurity. Our audit committee also oversees the steps management has taken to monitor and control such exposures, including guidelines and policies for assessing and managing risk and related compliance efforts.</w:t>
      </w:r>
    </w:p>
    <w:p>
      <w:pPr>
        <w:spacing w:after="0" w:line="206" w:lineRule="exact"/>
        <w:rPr>
          <w:rFonts w:ascii="Times New Roman" w:cs="Times New Roman" w:eastAsia="Times New Roman" w:hAnsi="Times New Roman"/>
          <w:sz w:val="18"/>
          <w:szCs w:val="18"/>
          <w:color w:val="auto"/>
        </w:rPr>
      </w:pPr>
    </w:p>
    <w:p>
      <w:pPr>
        <w:ind w:left="1200" w:right="160" w:hanging="315"/>
        <w:spacing w:after="0" w:line="261" w:lineRule="auto"/>
        <w:tabs>
          <w:tab w:leader="none" w:pos="1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nominating and corporate governance committee oversees the management of risks associated with our overall compliance and corporate governance practices and the independence and composition of our board of directors, including monitoring the effectiveness of our corporate governance guidelines and cybersecurity risk profile and other policies such as our code of conduct and overseeing our environmental and sustainability efforts and progress.</w:t>
      </w:r>
    </w:p>
    <w:p>
      <w:pPr>
        <w:spacing w:after="0" w:line="206" w:lineRule="exact"/>
        <w:rPr>
          <w:rFonts w:ascii="Times New Roman" w:cs="Times New Roman" w:eastAsia="Times New Roman" w:hAnsi="Times New Roman"/>
          <w:sz w:val="18"/>
          <w:szCs w:val="18"/>
          <w:color w:val="auto"/>
        </w:rPr>
      </w:pPr>
    </w:p>
    <w:p>
      <w:pPr>
        <w:ind w:left="1200" w:right="20" w:hanging="315"/>
        <w:spacing w:after="0" w:line="282" w:lineRule="auto"/>
        <w:tabs>
          <w:tab w:leader="none" w:pos="1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compensation committee regularly assesses risks arising from our compensation plans, policies and programs, including whether any such plans encourage excessive or inappropriate risk-taking.</w:t>
      </w:r>
    </w:p>
    <w:p>
      <w:pPr>
        <w:spacing w:after="0" w:line="162" w:lineRule="exact"/>
        <w:rPr>
          <w:sz w:val="20"/>
          <w:szCs w:val="20"/>
          <w:color w:val="auto"/>
        </w:rPr>
      </w:pPr>
    </w:p>
    <w:p>
      <w:pPr>
        <w:ind w:left="120" w:right="240" w:firstLine="771"/>
        <w:spacing w:after="0" w:line="282" w:lineRule="auto"/>
        <w:rPr>
          <w:sz w:val="20"/>
          <w:szCs w:val="20"/>
          <w:color w:val="auto"/>
        </w:rPr>
      </w:pPr>
      <w:r>
        <w:rPr>
          <w:rFonts w:ascii="Times New Roman" w:cs="Times New Roman" w:eastAsia="Times New Roman" w:hAnsi="Times New Roman"/>
          <w:sz w:val="18"/>
          <w:szCs w:val="18"/>
          <w:color w:val="auto"/>
        </w:rPr>
        <w:t>While each committee is responsible for evaluating certain risks and overseeing the management of such risks, the full board of directors is regularly informed through committee reports about such risks.</w:t>
      </w:r>
    </w:p>
    <w:p>
      <w:pPr>
        <w:spacing w:after="0" w:line="1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305494"/>
        </w:rPr>
        <w:t>Meetings of our Board of Directors</w:t>
      </w:r>
    </w:p>
    <w:p>
      <w:pPr>
        <w:spacing w:after="0" w:line="230" w:lineRule="exact"/>
        <w:rPr>
          <w:sz w:val="20"/>
          <w:szCs w:val="20"/>
          <w:color w:val="auto"/>
        </w:rPr>
      </w:pPr>
    </w:p>
    <w:p>
      <w:pPr>
        <w:ind w:left="120" w:right="80" w:firstLine="771"/>
        <w:spacing w:after="0" w:line="261" w:lineRule="auto"/>
        <w:rPr>
          <w:sz w:val="20"/>
          <w:szCs w:val="20"/>
          <w:color w:val="auto"/>
        </w:rPr>
      </w:pPr>
      <w:r>
        <w:rPr>
          <w:rFonts w:ascii="Times New Roman" w:cs="Times New Roman" w:eastAsia="Times New Roman" w:hAnsi="Times New Roman"/>
          <w:sz w:val="18"/>
          <w:szCs w:val="18"/>
          <w:color w:val="auto"/>
        </w:rPr>
        <w:t>Our board of directors held five meetings during 2023. Each incumbent director attended at least 75% of the aggregate total number of meetings of the board of directors and the committees on which he or she served held during the portion of 2023 for which he or she was a director or committee member. We encourage our directors to attend our annual meetings of stockholders. Six directors, including our Chief Executive Officer, Mr. Hutton, attended our 2023 annual meeting of stockholders.</w:t>
      </w:r>
    </w:p>
    <w:p>
      <w:pPr>
        <w:spacing w:after="0" w:line="1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305494"/>
        </w:rPr>
        <w:t>Committees of our Board of Directors</w:t>
      </w:r>
    </w:p>
    <w:p>
      <w:pPr>
        <w:spacing w:after="0" w:line="230" w:lineRule="exact"/>
        <w:rPr>
          <w:sz w:val="20"/>
          <w:szCs w:val="20"/>
          <w:color w:val="auto"/>
        </w:rPr>
      </w:pPr>
    </w:p>
    <w:p>
      <w:pPr>
        <w:ind w:left="120" w:right="40" w:firstLine="771"/>
        <w:spacing w:after="0" w:line="256"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committee and a nominating and corporate governance committee. Our board of directors may establish other committees to facilitate the management of our business. The composition and functions of each committee are described below. Members serve on these committees until their resignation or until otherwise determined by our board of directors. The charter of each committee is available on our corporate website at www.biodesix.com in the Investors section under “Governance—Governance Highlights.” Reference to our website does not constitute incorporation by reference of the information contained at or accessible through our website into this proxy statement.</w:t>
      </w:r>
    </w:p>
    <w:p>
      <w:pPr>
        <w:spacing w:after="0" w:line="129"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Arial" w:cs="Arial" w:eastAsia="Arial" w:hAnsi="Arial"/>
                <w:sz w:val="14"/>
                <w:szCs w:val="14"/>
                <w:b w:val="1"/>
                <w:bCs w:val="1"/>
                <w:color w:val="305494"/>
              </w:rPr>
              <w:t>2024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305494"/>
              </w:rPr>
              <w:t>14</w:t>
            </w:r>
          </w:p>
        </w:tc>
      </w:tr>
    </w:tbl>
    <w:p>
      <w:pPr>
        <w:sectPr>
          <w:pgSz w:w="11900" w:h="16838" w:orient="portrait"/>
          <w:cols w:equalWidth="0" w:num="1">
            <w:col w:w="11140"/>
          </w:cols>
          <w:pgMar w:left="320" w:top="455"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Committee Composition and Meetings</w:t>
      </w:r>
    </w:p>
    <w:p>
      <w:pPr>
        <w:spacing w:after="0" w:line="22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provides current membership and 2023 meeting information for each committee of our board of directors: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Name:</w:t>
            </w:r>
          </w:p>
        </w:tc>
        <w:tc>
          <w:tcPr>
            <w:tcW w:w="2120" w:type="dxa"/>
            <w:vAlign w:val="bottom"/>
            <w:gridSpan w:val="2"/>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w w:val="99"/>
              </w:rPr>
              <w:t>Audit</w:t>
            </w:r>
          </w:p>
        </w:tc>
        <w:tc>
          <w:tcPr>
            <w:tcW w:w="2340" w:type="dxa"/>
            <w:vAlign w:val="bottom"/>
            <w:gridSpan w:val="2"/>
          </w:tcPr>
          <w:p>
            <w:pPr>
              <w:jc w:val="center"/>
              <w:ind w:right="144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Nominating and Corporate</w:t>
            </w:r>
          </w:p>
        </w:tc>
        <w:tc>
          <w:tcPr>
            <w:tcW w:w="0" w:type="dxa"/>
            <w:vAlign w:val="bottom"/>
          </w:tcPr>
          <w:p>
            <w:pPr>
              <w:spacing w:after="0"/>
              <w:rPr>
                <w:sz w:val="1"/>
                <w:szCs w:val="1"/>
                <w:color w:val="auto"/>
              </w:rPr>
            </w:pPr>
          </w:p>
        </w:tc>
      </w:tr>
      <w:tr>
        <w:trPr>
          <w:trHeight w:val="173"/>
        </w:trPr>
        <w:tc>
          <w:tcPr>
            <w:tcW w:w="4880" w:type="dxa"/>
            <w:vAlign w:val="bottom"/>
            <w:gridSpan w:val="2"/>
            <w:vMerge w:val="continue"/>
          </w:tcPr>
          <w:p>
            <w:pPr>
              <w:spacing w:after="0"/>
              <w:rPr>
                <w:sz w:val="15"/>
                <w:szCs w:val="15"/>
                <w:color w:val="auto"/>
              </w:rPr>
            </w:pPr>
          </w:p>
        </w:tc>
        <w:tc>
          <w:tcPr>
            <w:tcW w:w="2120" w:type="dxa"/>
            <w:vAlign w:val="bottom"/>
            <w:gridSpan w:val="2"/>
          </w:tcPr>
          <w:p>
            <w:pPr>
              <w:jc w:val="center"/>
              <w:ind w:right="1440"/>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2340" w:type="dxa"/>
            <w:vAlign w:val="bottom"/>
            <w:gridSpan w:val="2"/>
          </w:tcPr>
          <w:p>
            <w:pPr>
              <w:jc w:val="center"/>
              <w:ind w:right="1460"/>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Governance Committee</w:t>
            </w:r>
          </w:p>
        </w:tc>
        <w:tc>
          <w:tcPr>
            <w:tcW w:w="0" w:type="dxa"/>
            <w:vAlign w:val="bottom"/>
          </w:tcPr>
          <w:p>
            <w:pPr>
              <w:spacing w:after="0"/>
              <w:rPr>
                <w:sz w:val="1"/>
                <w:szCs w:val="1"/>
                <w:color w:val="auto"/>
              </w:rPr>
            </w:pPr>
          </w:p>
        </w:tc>
      </w:tr>
      <w:tr>
        <w:trPr>
          <w:trHeight w:val="236"/>
        </w:trPr>
        <w:tc>
          <w:tcPr>
            <w:tcW w:w="3460" w:type="dxa"/>
            <w:vAlign w:val="bottom"/>
            <w:tcBorders>
              <w:top w:val="single" w:sz="8" w:color="auto"/>
            </w:tcBorders>
            <w:shd w:val="clear" w:color="auto" w:fill="F2F2F2"/>
          </w:tcPr>
          <w:p>
            <w:pPr>
              <w:spacing w:after="0"/>
              <w:rPr>
                <w:sz w:val="20"/>
                <w:szCs w:val="20"/>
                <w:color w:val="auto"/>
              </w:rPr>
            </w:pPr>
            <w:r>
              <w:rPr>
                <w:rFonts w:ascii="Times New Roman" w:cs="Times New Roman" w:eastAsia="Times New Roman" w:hAnsi="Times New Roman"/>
                <w:sz w:val="18"/>
                <w:szCs w:val="18"/>
                <w:color w:val="auto"/>
              </w:rPr>
              <w:t>  Jean Franchi</w:t>
            </w:r>
          </w:p>
        </w:tc>
        <w:tc>
          <w:tcPr>
            <w:tcW w:w="1420" w:type="dxa"/>
            <w:vAlign w:val="bottom"/>
            <w:tcBorders>
              <w:top w:val="single" w:sz="8" w:color="F2F2F2"/>
            </w:tcBorders>
            <w:shd w:val="clear" w:color="auto" w:fill="F2F2F2"/>
          </w:tcPr>
          <w:p>
            <w:pPr>
              <w:spacing w:after="0"/>
              <w:rPr>
                <w:sz w:val="20"/>
                <w:szCs w:val="20"/>
                <w:color w:val="auto"/>
              </w:rPr>
            </w:pPr>
          </w:p>
        </w:tc>
        <w:tc>
          <w:tcPr>
            <w:tcW w:w="70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1420" w:type="dxa"/>
            <w:vAlign w:val="bottom"/>
            <w:tcBorders>
              <w:top w:val="single" w:sz="8" w:color="F2F2F2"/>
            </w:tcBorders>
            <w:shd w:val="clear" w:color="auto" w:fill="F2F2F2"/>
          </w:tcPr>
          <w:p>
            <w:pPr>
              <w:spacing w:after="0"/>
              <w:rPr>
                <w:sz w:val="20"/>
                <w:szCs w:val="20"/>
                <w:color w:val="auto"/>
              </w:rPr>
            </w:pPr>
          </w:p>
        </w:tc>
        <w:tc>
          <w:tcPr>
            <w:tcW w:w="900" w:type="dxa"/>
            <w:vAlign w:val="bottom"/>
            <w:tcBorders>
              <w:top w:val="single" w:sz="8" w:color="auto"/>
            </w:tcBorders>
            <w:shd w:val="clear" w:color="auto" w:fill="F2F2F2"/>
          </w:tcPr>
          <w:p>
            <w:pPr>
              <w:spacing w:after="0"/>
              <w:rPr>
                <w:sz w:val="20"/>
                <w:szCs w:val="20"/>
                <w:color w:val="auto"/>
              </w:rPr>
            </w:pPr>
          </w:p>
        </w:tc>
        <w:tc>
          <w:tcPr>
            <w:tcW w:w="1440" w:type="dxa"/>
            <w:vAlign w:val="bottom"/>
            <w:tcBorders>
              <w:top w:val="single" w:sz="8" w:color="F2F2F2"/>
            </w:tcBorders>
            <w:shd w:val="clear" w:color="auto" w:fill="F2F2F2"/>
          </w:tcPr>
          <w:p>
            <w:pPr>
              <w:spacing w:after="0"/>
              <w:rPr>
                <w:sz w:val="20"/>
                <w:szCs w:val="20"/>
                <w:color w:val="auto"/>
              </w:rPr>
            </w:pPr>
          </w:p>
        </w:tc>
        <w:tc>
          <w:tcPr>
            <w:tcW w:w="168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9"/>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Jon Faiz Kayyem, Ph.D.</w:t>
            </w:r>
          </w:p>
        </w:tc>
        <w:tc>
          <w:tcPr>
            <w:tcW w:w="7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340" w:type="dxa"/>
            <w:vAlign w:val="bottom"/>
            <w:gridSpan w:val="2"/>
          </w:tcPr>
          <w:p>
            <w:pPr>
              <w:jc w:val="center"/>
              <w:ind w:right="1440"/>
              <w:spacing w:after="0"/>
              <w:rPr>
                <w:sz w:val="20"/>
                <w:szCs w:val="20"/>
                <w:color w:val="auto"/>
              </w:rPr>
            </w:pPr>
            <w:r>
              <w:rPr>
                <w:rFonts w:ascii="Times New Roman" w:cs="Times New Roman" w:eastAsia="Times New Roman" w:hAnsi="Times New Roman"/>
                <w:sz w:val="18"/>
                <w:szCs w:val="18"/>
                <w:color w:val="auto"/>
              </w:rPr>
              <w:t>X</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80" w:type="dxa"/>
            <w:vAlign w:val="bottom"/>
            <w:gridSpan w:val="2"/>
            <w:shd w:val="clear" w:color="auto" w:fill="F2F2F2"/>
          </w:tcPr>
          <w:p>
            <w:pPr>
              <w:spacing w:after="0"/>
              <w:rPr>
                <w:sz w:val="20"/>
                <w:szCs w:val="20"/>
                <w:color w:val="auto"/>
              </w:rPr>
            </w:pPr>
            <w:r>
              <w:rPr>
                <w:rFonts w:ascii="Times New Roman" w:cs="Times New Roman" w:eastAsia="Times New Roman" w:hAnsi="Times New Roman"/>
                <w:sz w:val="18"/>
                <w:szCs w:val="18"/>
                <w:color w:val="auto"/>
              </w:rPr>
              <w:t>  Lawrence T. Kennedy, Jr.</w:t>
            </w:r>
          </w:p>
        </w:tc>
        <w:tc>
          <w:tcPr>
            <w:tcW w:w="2120" w:type="dxa"/>
            <w:vAlign w:val="bottom"/>
            <w:gridSpan w:val="2"/>
            <w:shd w:val="clear" w:color="auto" w:fill="F2F2F2"/>
          </w:tcPr>
          <w:p>
            <w:pPr>
              <w:jc w:val="center"/>
              <w:ind w:right="1420"/>
              <w:spacing w:after="0"/>
              <w:rPr>
                <w:sz w:val="20"/>
                <w:szCs w:val="20"/>
                <w:color w:val="auto"/>
              </w:rPr>
            </w:pPr>
            <w:r>
              <w:rPr>
                <w:rFonts w:ascii="Times New Roman" w:cs="Times New Roman" w:eastAsia="Times New Roman" w:hAnsi="Times New Roman"/>
                <w:sz w:val="18"/>
                <w:szCs w:val="18"/>
                <w:color w:val="auto"/>
              </w:rPr>
              <w:t>X</w:t>
            </w:r>
          </w:p>
        </w:tc>
        <w:tc>
          <w:tcPr>
            <w:tcW w:w="900" w:type="dxa"/>
            <w:vAlign w:val="bottom"/>
            <w:shd w:val="clear" w:color="auto" w:fill="F2F2F2"/>
          </w:tcPr>
          <w:p>
            <w:pPr>
              <w:spacing w:after="0"/>
              <w:rPr>
                <w:sz w:val="21"/>
                <w:szCs w:val="21"/>
                <w:color w:val="auto"/>
              </w:rPr>
            </w:pPr>
          </w:p>
        </w:tc>
        <w:tc>
          <w:tcPr>
            <w:tcW w:w="1440" w:type="dxa"/>
            <w:vAlign w:val="bottom"/>
            <w:shd w:val="clear" w:color="auto" w:fill="F2F2F2"/>
          </w:tcPr>
          <w:p>
            <w:pPr>
              <w:spacing w:after="0"/>
              <w:rPr>
                <w:sz w:val="21"/>
                <w:szCs w:val="21"/>
                <w:color w:val="auto"/>
              </w:rPr>
            </w:pPr>
          </w:p>
        </w:tc>
        <w:tc>
          <w:tcPr>
            <w:tcW w:w="1680" w:type="dxa"/>
            <w:vAlign w:val="bottom"/>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Hany Massarany</w:t>
            </w:r>
          </w:p>
        </w:tc>
        <w:tc>
          <w:tcPr>
            <w:tcW w:w="212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color w:val="auto"/>
              </w:rPr>
              <w:t>X</w:t>
            </w:r>
          </w:p>
        </w:tc>
        <w:tc>
          <w:tcPr>
            <w:tcW w:w="2340" w:type="dxa"/>
            <w:vAlign w:val="bottom"/>
            <w:gridSpan w:val="2"/>
          </w:tcPr>
          <w:p>
            <w:pPr>
              <w:jc w:val="center"/>
              <w:ind w:right="1460"/>
              <w:spacing w:after="0"/>
              <w:rPr>
                <w:sz w:val="20"/>
                <w:szCs w:val="20"/>
                <w:color w:val="auto"/>
              </w:rPr>
            </w:pPr>
            <w:r>
              <w:rPr>
                <w:rFonts w:ascii="Times New Roman" w:cs="Times New Roman" w:eastAsia="Times New Roman" w:hAnsi="Times New Roman"/>
                <w:sz w:val="18"/>
                <w:szCs w:val="18"/>
                <w:color w:val="auto"/>
                <w:w w:val="99"/>
              </w:rPr>
              <w:t>Chair</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80" w:type="dxa"/>
            <w:vAlign w:val="bottom"/>
            <w:gridSpan w:val="2"/>
            <w:shd w:val="clear" w:color="auto" w:fill="F2F2F2"/>
          </w:tcPr>
          <w:p>
            <w:pPr>
              <w:spacing w:after="0"/>
              <w:rPr>
                <w:sz w:val="20"/>
                <w:szCs w:val="20"/>
                <w:color w:val="auto"/>
              </w:rPr>
            </w:pPr>
            <w:r>
              <w:rPr>
                <w:rFonts w:ascii="Times New Roman" w:cs="Times New Roman" w:eastAsia="Times New Roman" w:hAnsi="Times New Roman"/>
                <w:sz w:val="18"/>
                <w:szCs w:val="18"/>
                <w:color w:val="auto"/>
              </w:rPr>
              <w:t>  John Patience</w:t>
            </w:r>
          </w:p>
        </w:tc>
        <w:tc>
          <w:tcPr>
            <w:tcW w:w="700" w:type="dxa"/>
            <w:vAlign w:val="bottom"/>
            <w:shd w:val="clear" w:color="auto" w:fill="F2F2F2"/>
          </w:tcPr>
          <w:p>
            <w:pPr>
              <w:spacing w:after="0"/>
              <w:rPr>
                <w:sz w:val="21"/>
                <w:szCs w:val="21"/>
                <w:color w:val="auto"/>
              </w:rPr>
            </w:pPr>
          </w:p>
        </w:tc>
        <w:tc>
          <w:tcPr>
            <w:tcW w:w="1420" w:type="dxa"/>
            <w:vAlign w:val="bottom"/>
            <w:shd w:val="clear" w:color="auto" w:fill="F2F2F2"/>
          </w:tcPr>
          <w:p>
            <w:pPr>
              <w:spacing w:after="0"/>
              <w:rPr>
                <w:sz w:val="21"/>
                <w:szCs w:val="21"/>
                <w:color w:val="auto"/>
              </w:rPr>
            </w:pPr>
          </w:p>
        </w:tc>
        <w:tc>
          <w:tcPr>
            <w:tcW w:w="2340" w:type="dxa"/>
            <w:vAlign w:val="bottom"/>
            <w:gridSpan w:val="2"/>
            <w:shd w:val="clear" w:color="auto" w:fill="F2F2F2"/>
          </w:tcPr>
          <w:p>
            <w:pPr>
              <w:jc w:val="center"/>
              <w:ind w:right="1440"/>
              <w:spacing w:after="0"/>
              <w:rPr>
                <w:sz w:val="20"/>
                <w:szCs w:val="20"/>
                <w:color w:val="auto"/>
              </w:rPr>
            </w:pPr>
            <w:r>
              <w:rPr>
                <w:rFonts w:ascii="Times New Roman" w:cs="Times New Roman" w:eastAsia="Times New Roman" w:hAnsi="Times New Roman"/>
                <w:sz w:val="18"/>
                <w:szCs w:val="18"/>
                <w:color w:val="auto"/>
              </w:rPr>
              <w:t>X</w:t>
            </w:r>
          </w:p>
        </w:tc>
        <w:tc>
          <w:tcPr>
            <w:tcW w:w="1680" w:type="dxa"/>
            <w:vAlign w:val="bottom"/>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Jack Schuler</w:t>
            </w:r>
          </w:p>
        </w:tc>
        <w:tc>
          <w:tcPr>
            <w:tcW w:w="7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47"/>
        </w:trPr>
        <w:tc>
          <w:tcPr>
            <w:tcW w:w="4880" w:type="dxa"/>
            <w:vAlign w:val="bottom"/>
            <w:gridSpan w:val="2"/>
            <w:shd w:val="clear" w:color="auto" w:fill="F2F2F2"/>
          </w:tcPr>
          <w:p>
            <w:pPr>
              <w:spacing w:after="0"/>
              <w:rPr>
                <w:sz w:val="20"/>
                <w:szCs w:val="20"/>
                <w:color w:val="auto"/>
              </w:rPr>
            </w:pPr>
            <w:r>
              <w:rPr>
                <w:rFonts w:ascii="Times New Roman" w:cs="Times New Roman" w:eastAsia="Times New Roman" w:hAnsi="Times New Roman"/>
                <w:sz w:val="18"/>
                <w:szCs w:val="18"/>
                <w:color w:val="auto"/>
              </w:rPr>
              <w:t>  Matthew Strobeck, Ph.D.</w:t>
            </w:r>
          </w:p>
        </w:tc>
        <w:tc>
          <w:tcPr>
            <w:tcW w:w="2120" w:type="dxa"/>
            <w:vAlign w:val="bottom"/>
            <w:gridSpan w:val="2"/>
            <w:shd w:val="clear" w:color="auto" w:fill="F2F2F2"/>
          </w:tcPr>
          <w:p>
            <w:pPr>
              <w:jc w:val="center"/>
              <w:ind w:right="1420"/>
              <w:spacing w:after="0"/>
              <w:rPr>
                <w:sz w:val="20"/>
                <w:szCs w:val="20"/>
                <w:color w:val="auto"/>
              </w:rPr>
            </w:pPr>
            <w:r>
              <w:rPr>
                <w:rFonts w:ascii="Times New Roman" w:cs="Times New Roman" w:eastAsia="Times New Roman" w:hAnsi="Times New Roman"/>
                <w:sz w:val="18"/>
                <w:szCs w:val="18"/>
                <w:color w:val="auto"/>
              </w:rPr>
              <w:t>X</w:t>
            </w:r>
          </w:p>
        </w:tc>
        <w:tc>
          <w:tcPr>
            <w:tcW w:w="900" w:type="dxa"/>
            <w:vAlign w:val="bottom"/>
            <w:shd w:val="clear" w:color="auto" w:fill="F2F2F2"/>
          </w:tcPr>
          <w:p>
            <w:pPr>
              <w:spacing w:after="0"/>
              <w:rPr>
                <w:sz w:val="21"/>
                <w:szCs w:val="21"/>
                <w:color w:val="auto"/>
              </w:rPr>
            </w:pPr>
          </w:p>
        </w:tc>
        <w:tc>
          <w:tcPr>
            <w:tcW w:w="1440" w:type="dxa"/>
            <w:vAlign w:val="bottom"/>
            <w:shd w:val="clear" w:color="auto" w:fill="F2F2F2"/>
          </w:tcPr>
          <w:p>
            <w:pPr>
              <w:spacing w:after="0"/>
              <w:rPr>
                <w:sz w:val="21"/>
                <w:szCs w:val="21"/>
                <w:color w:val="auto"/>
              </w:rPr>
            </w:pPr>
          </w:p>
        </w:tc>
        <w:tc>
          <w:tcPr>
            <w:tcW w:w="168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0" w:type="dxa"/>
            <w:vAlign w:val="bottom"/>
          </w:tcPr>
          <w:p>
            <w:pPr>
              <w:spacing w:after="0"/>
              <w:rPr>
                <w:sz w:val="1"/>
                <w:szCs w:val="1"/>
                <w:color w:val="auto"/>
              </w:rPr>
            </w:pPr>
          </w:p>
        </w:tc>
      </w:tr>
      <w:tr>
        <w:trPr>
          <w:trHeight w:val="239"/>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Charles Watts, M.D.</w:t>
            </w:r>
          </w:p>
        </w:tc>
        <w:tc>
          <w:tcPr>
            <w:tcW w:w="7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340" w:type="dxa"/>
            <w:vAlign w:val="bottom"/>
            <w:gridSpan w:val="2"/>
          </w:tcPr>
          <w:p>
            <w:pPr>
              <w:jc w:val="center"/>
              <w:ind w:right="1440"/>
              <w:spacing w:after="0"/>
              <w:rPr>
                <w:sz w:val="20"/>
                <w:szCs w:val="20"/>
                <w:color w:val="auto"/>
              </w:rPr>
            </w:pPr>
            <w:r>
              <w:rPr>
                <w:rFonts w:ascii="Times New Roman" w:cs="Times New Roman" w:eastAsia="Times New Roman" w:hAnsi="Times New Roman"/>
                <w:sz w:val="18"/>
                <w:szCs w:val="18"/>
                <w:color w:val="auto"/>
              </w:rPr>
              <w:t>X</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80" w:type="dxa"/>
            <w:vAlign w:val="bottom"/>
            <w:gridSpan w:val="2"/>
            <w:shd w:val="clear" w:color="auto" w:fill="F2F2F2"/>
          </w:tcPr>
          <w:p>
            <w:pPr>
              <w:spacing w:after="0"/>
              <w:rPr>
                <w:sz w:val="20"/>
                <w:szCs w:val="20"/>
                <w:color w:val="auto"/>
              </w:rPr>
            </w:pPr>
            <w:r>
              <w:rPr>
                <w:rFonts w:ascii="Times New Roman" w:cs="Times New Roman" w:eastAsia="Times New Roman" w:hAnsi="Times New Roman"/>
                <w:sz w:val="18"/>
                <w:szCs w:val="18"/>
                <w:color w:val="auto"/>
              </w:rPr>
              <w:t>  Total meetings held in 2023</w:t>
            </w:r>
          </w:p>
        </w:tc>
        <w:tc>
          <w:tcPr>
            <w:tcW w:w="70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420" w:type="dxa"/>
            <w:vAlign w:val="bottom"/>
            <w:shd w:val="clear" w:color="auto" w:fill="F2F2F2"/>
          </w:tcPr>
          <w:p>
            <w:pPr>
              <w:spacing w:after="0"/>
              <w:rPr>
                <w:sz w:val="21"/>
                <w:szCs w:val="21"/>
                <w:color w:val="auto"/>
              </w:rPr>
            </w:pPr>
          </w:p>
        </w:tc>
        <w:tc>
          <w:tcPr>
            <w:tcW w:w="90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440" w:type="dxa"/>
            <w:vAlign w:val="bottom"/>
            <w:shd w:val="clear" w:color="auto" w:fill="F2F2F2"/>
          </w:tcPr>
          <w:p>
            <w:pPr>
              <w:spacing w:after="0"/>
              <w:rPr>
                <w:sz w:val="21"/>
                <w:szCs w:val="21"/>
                <w:color w:val="auto"/>
              </w:rPr>
            </w:pPr>
          </w:p>
        </w:tc>
        <w:tc>
          <w:tcPr>
            <w:tcW w:w="168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Audit Committee</w:t>
      </w:r>
    </w:p>
    <w:p>
      <w:pPr>
        <w:spacing w:after="0" w:line="229" w:lineRule="exact"/>
        <w:rPr>
          <w:sz w:val="20"/>
          <w:szCs w:val="20"/>
          <w:color w:val="auto"/>
        </w:rPr>
      </w:pPr>
    </w:p>
    <w:p>
      <w:pPr>
        <w:ind w:left="120" w:right="20" w:firstLine="771"/>
        <w:spacing w:after="0" w:line="256" w:lineRule="auto"/>
        <w:rPr>
          <w:sz w:val="20"/>
          <w:szCs w:val="20"/>
          <w:color w:val="auto"/>
        </w:rPr>
      </w:pPr>
      <w:r>
        <w:rPr>
          <w:rFonts w:ascii="Times New Roman" w:cs="Times New Roman" w:eastAsia="Times New Roman" w:hAnsi="Times New Roman"/>
          <w:sz w:val="18"/>
          <w:szCs w:val="18"/>
          <w:color w:val="auto"/>
        </w:rPr>
        <w:t>Our audit committee consists of Ms. Franchi, Messrs. Kennedy and Massarany and Dr. Strobeck, each of whom our board of directors has determined satisfies the independence requirements under Nasdaq listing rules and Rule 10A-3(b)(1)(ii) of the Exchange Act. The chair of our audit committee is Ms. Franchi, whom our board of directors has determined is an “audit committee financial expert” within the meaning of the SEC regulations. Each member of our audit committee can read and understand fundamental financial statements in accordance with applicable listing standards. In arriving at these determinations, our board of directors has examined each audit committee member’s scope of experience and the nature of her or his employment in the corporate finance sector. The functions of this committee include:</w:t>
      </w:r>
    </w:p>
    <w:p>
      <w:pPr>
        <w:spacing w:after="0" w:line="214"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our board of directors oversee our corporate accounting and financial reporting processes;</w:t>
      </w:r>
    </w:p>
    <w:p>
      <w:pPr>
        <w:spacing w:after="0" w:line="25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our management the adequacy and effectiveness of our disclosure controls and procedures;</w:t>
      </w:r>
    </w:p>
    <w:p>
      <w:pPr>
        <w:spacing w:after="0" w:line="25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with design and implementation of our risk assessment functions;</w:t>
      </w:r>
    </w:p>
    <w:p>
      <w:pPr>
        <w:spacing w:after="0" w:line="252"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qualifications, performance and independence of our independent registered public accounting firm and deciding whether to retain its services;</w:t>
      </w:r>
    </w:p>
    <w:p>
      <w:pPr>
        <w:spacing w:after="0" w:line="1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rotation of partners of our independent registered public accounting firm on our engagement team as required by law;</w:t>
      </w:r>
    </w:p>
    <w:p>
      <w:pPr>
        <w:spacing w:after="0" w:line="252"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our interim and year-end results;</w:t>
      </w:r>
    </w:p>
    <w:p>
      <w:pPr>
        <w:spacing w:after="0" w:line="1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25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related-party transactions;</w:t>
      </w:r>
    </w:p>
    <w:p>
      <w:pPr>
        <w:spacing w:after="0" w:line="252"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audit and permissible non-audit services to be performed by our independent registered public accounting firm; and</w:t>
      </w:r>
    </w:p>
    <w:p>
      <w:pPr>
        <w:spacing w:after="0" w:line="103"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Arial" w:cs="Arial" w:eastAsia="Arial" w:hAnsi="Arial"/>
                <w:sz w:val="14"/>
                <w:szCs w:val="14"/>
                <w:b w:val="1"/>
                <w:bCs w:val="1"/>
                <w:color w:val="305494"/>
              </w:rPr>
              <w:t>2024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305494"/>
              </w:rPr>
              <w:t>15</w:t>
            </w:r>
          </w:p>
        </w:tc>
      </w:tr>
    </w:tbl>
    <w:p>
      <w:pPr>
        <w:sectPr>
          <w:pgSz w:w="11900" w:h="16838" w:orient="portrait"/>
          <w:cols w:equalWidth="0" w:num="1">
            <w:col w:w="11140"/>
          </w:cols>
          <w:pgMar w:left="320" w:top="455"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at least annually, the performance of the audit committee and adequacy of its charter.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Compensation Committee</w:t>
      </w:r>
    </w:p>
    <w:p>
      <w:pPr>
        <w:spacing w:after="0" w:line="229" w:lineRule="exact"/>
        <w:rPr>
          <w:sz w:val="20"/>
          <w:szCs w:val="20"/>
          <w:color w:val="auto"/>
        </w:rPr>
      </w:pPr>
    </w:p>
    <w:p>
      <w:pPr>
        <w:ind w:left="120" w:right="120" w:firstLine="771"/>
        <w:spacing w:after="0" w:line="261" w:lineRule="auto"/>
        <w:rPr>
          <w:sz w:val="20"/>
          <w:szCs w:val="20"/>
          <w:color w:val="auto"/>
        </w:rPr>
      </w:pPr>
      <w:r>
        <w:rPr>
          <w:rFonts w:ascii="Times New Roman" w:cs="Times New Roman" w:eastAsia="Times New Roman" w:hAnsi="Times New Roman"/>
          <w:sz w:val="18"/>
          <w:szCs w:val="18"/>
          <w:color w:val="auto"/>
        </w:rPr>
        <w:t>Our compensation committee consists of Messrs. Massarany and Patience and Drs. Kayyem and Watts, and the chair of our compensation committee is Mr. Massarany. Our board of directors has determined that each of Messrs. Massarany and Patience and Drs. Kayyem and Watts is independent under the applicable Nasdaq listing rules and is a “non-employee director” as defined in Rule 16b-3 promulgated under the Exchange Act. The functions of this committee include:</w:t>
      </w:r>
    </w:p>
    <w:p>
      <w:pPr>
        <w:spacing w:after="0" w:line="207" w:lineRule="exact"/>
        <w:rPr>
          <w:sz w:val="20"/>
          <w:szCs w:val="20"/>
          <w:color w:val="auto"/>
        </w:rPr>
      </w:pPr>
    </w:p>
    <w:p>
      <w:pPr>
        <w:ind w:left="1540" w:hanging="331"/>
        <w:spacing w:after="0"/>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modifying and overseeing overall compensation strategy and policies;</w:t>
      </w:r>
    </w:p>
    <w:p>
      <w:pPr>
        <w:spacing w:after="0" w:line="252" w:lineRule="exact"/>
        <w:rPr>
          <w:rFonts w:ascii="Times New Roman" w:cs="Times New Roman" w:eastAsia="Times New Roman" w:hAnsi="Times New Roman"/>
          <w:sz w:val="18"/>
          <w:szCs w:val="18"/>
          <w:color w:val="auto"/>
        </w:rPr>
      </w:pPr>
    </w:p>
    <w:p>
      <w:pPr>
        <w:ind w:left="1540" w:right="560" w:hanging="331"/>
        <w:spacing w:after="0" w:line="282" w:lineRule="auto"/>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arrangements and other terms of employment of our chief executive officer, other executive officers and senior management, as appropriate;</w:t>
      </w:r>
    </w:p>
    <w:p>
      <w:pPr>
        <w:spacing w:after="0" w:line="18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full board of directors the compensation of our directors;</w:t>
      </w:r>
    </w:p>
    <w:p>
      <w:pPr>
        <w:spacing w:after="0" w:line="252" w:lineRule="exact"/>
        <w:rPr>
          <w:rFonts w:ascii="Times New Roman" w:cs="Times New Roman" w:eastAsia="Times New Roman" w:hAnsi="Times New Roman"/>
          <w:sz w:val="18"/>
          <w:szCs w:val="18"/>
          <w:color w:val="auto"/>
        </w:rPr>
      </w:pPr>
    </w:p>
    <w:p>
      <w:pPr>
        <w:ind w:left="1540" w:hanging="331"/>
        <w:spacing w:after="0" w:line="282" w:lineRule="auto"/>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and overseeing the work of compensation consultants, legal counsel or any other advisors and consultants engaged for the purpose of advising the compensation committee;</w:t>
      </w:r>
    </w:p>
    <w:p>
      <w:pPr>
        <w:spacing w:after="0" w:line="188" w:lineRule="exact"/>
        <w:rPr>
          <w:rFonts w:ascii="Times New Roman" w:cs="Times New Roman" w:eastAsia="Times New Roman" w:hAnsi="Times New Roman"/>
          <w:sz w:val="18"/>
          <w:szCs w:val="18"/>
          <w:color w:val="auto"/>
        </w:rPr>
      </w:pPr>
    </w:p>
    <w:p>
      <w:pPr>
        <w:ind w:left="1540" w:right="220" w:hanging="331"/>
        <w:spacing w:after="0" w:line="282" w:lineRule="auto"/>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recommending to the full board of directors, as appropriate, and administering equity award plans, compensation plans and similar programs, as well as modification or termination of plans and programs;</w:t>
      </w:r>
    </w:p>
    <w:p>
      <w:pPr>
        <w:spacing w:after="0" w:line="18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with respect to equity compensation arrangements;</w:t>
      </w:r>
    </w:p>
    <w:p>
      <w:pPr>
        <w:spacing w:after="0" w:line="252" w:lineRule="exact"/>
        <w:rPr>
          <w:rFonts w:ascii="Times New Roman" w:cs="Times New Roman" w:eastAsia="Times New Roman" w:hAnsi="Times New Roman"/>
          <w:sz w:val="18"/>
          <w:szCs w:val="18"/>
          <w:color w:val="auto"/>
        </w:rPr>
      </w:pPr>
    </w:p>
    <w:p>
      <w:pPr>
        <w:ind w:left="1540" w:right="520" w:hanging="331"/>
        <w:spacing w:after="0" w:line="282" w:lineRule="auto"/>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with the chief executive officer and the full board of directors the succession plans for our executive officers; and</w:t>
      </w:r>
    </w:p>
    <w:p>
      <w:pPr>
        <w:spacing w:after="0" w:line="18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at least annually, the performance of the compensation committee and the adequacy of its charter.</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Compensation Committee Interlocks and Insider Participation</w:t>
      </w:r>
    </w:p>
    <w:p>
      <w:pPr>
        <w:spacing w:after="0" w:line="229" w:lineRule="exact"/>
        <w:rPr>
          <w:sz w:val="20"/>
          <w:szCs w:val="20"/>
          <w:color w:val="auto"/>
        </w:rPr>
      </w:pPr>
    </w:p>
    <w:p>
      <w:pPr>
        <w:jc w:val="both"/>
        <w:ind w:left="120" w:right="380" w:firstLine="771"/>
        <w:spacing w:after="0" w:line="266" w:lineRule="auto"/>
        <w:rPr>
          <w:sz w:val="20"/>
          <w:szCs w:val="20"/>
          <w:color w:val="auto"/>
        </w:rPr>
      </w:pPr>
      <w:r>
        <w:rPr>
          <w:rFonts w:ascii="Times New Roman" w:cs="Times New Roman" w:eastAsia="Times New Roman" w:hAnsi="Times New Roman"/>
          <w:sz w:val="18"/>
          <w:szCs w:val="18"/>
          <w:color w:val="auto"/>
        </w:rPr>
        <w:t>None of the members of the compensation committee is currently, or has been at any time during 2023, one of our officers or employees. None of our executive officers currently serve, or has served during 2023, as a member of the board of directors or compensation committee of any entity that has one or more executive officers serving as a member of our board of directors or compensation committee.</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Nominating and Corporate Governance Committee</w:t>
      </w:r>
    </w:p>
    <w:p>
      <w:pPr>
        <w:spacing w:after="0" w:line="229" w:lineRule="exact"/>
        <w:rPr>
          <w:sz w:val="20"/>
          <w:szCs w:val="20"/>
          <w:color w:val="auto"/>
        </w:rPr>
      </w:pPr>
    </w:p>
    <w:p>
      <w:pPr>
        <w:ind w:left="120" w:right="100" w:firstLine="771"/>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Ms. Franchi, Dr. Strobeck and Mr. Schuler, and the chair of our nominating and corporate governance committee is Dr. Strobeck. Our board of directors has determined that Ms. Franchi, Dr. Strobeck and Mr. Schuler are independent under the applicable Nasdaq listing rules. The functions of this committee include:</w:t>
      </w:r>
    </w:p>
    <w:p>
      <w:pPr>
        <w:spacing w:after="0" w:line="203" w:lineRule="exact"/>
        <w:rPr>
          <w:sz w:val="20"/>
          <w:szCs w:val="20"/>
          <w:color w:val="auto"/>
        </w:rPr>
      </w:pPr>
    </w:p>
    <w:p>
      <w:pPr>
        <w:ind w:left="1540" w:right="980" w:hanging="331"/>
        <w:spacing w:after="0" w:line="282" w:lineRule="auto"/>
        <w:tabs>
          <w:tab w:leader="none" w:pos="1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and evaluating director performance of our board of directors and its applicable committees, and recommending to our board of directors and management areas for improvement;</w:t>
      </w:r>
    </w:p>
    <w:p>
      <w:pPr>
        <w:spacing w:after="0" w:line="18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nominating and recommending individuals for membership on our board of directors;</w:t>
      </w:r>
    </w:p>
    <w:p>
      <w:pPr>
        <w:spacing w:after="0" w:line="167"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Arial" w:cs="Arial" w:eastAsia="Arial" w:hAnsi="Arial"/>
                <w:sz w:val="14"/>
                <w:szCs w:val="14"/>
                <w:b w:val="1"/>
                <w:bCs w:val="1"/>
                <w:color w:val="305494"/>
              </w:rPr>
              <w:t>2024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305494"/>
              </w:rPr>
              <w:t>16</w:t>
            </w:r>
          </w:p>
        </w:tc>
      </w:tr>
    </w:tbl>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right="400" w:hanging="331"/>
        <w:spacing w:after="0" w:line="312" w:lineRule="auto"/>
        <w:tabs>
          <w:tab w:leader="none" w:pos="15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with our chief executive officer the plans for succession to the offices of our executive officers and make recommendations to our board of directors with respect to the selection of appropriate individuals to succeed to these positions;</w:t>
      </w:r>
    </w:p>
    <w:p>
      <w:pPr>
        <w:spacing w:after="0" w:line="166" w:lineRule="exact"/>
        <w:rPr>
          <w:rFonts w:ascii="Times New Roman" w:cs="Times New Roman" w:eastAsia="Times New Roman" w:hAnsi="Times New Roman"/>
          <w:sz w:val="17"/>
          <w:szCs w:val="17"/>
          <w:color w:val="auto"/>
        </w:rPr>
      </w:pPr>
    </w:p>
    <w:p>
      <w:pPr>
        <w:ind w:left="1540" w:hanging="331"/>
        <w:spacing w:after="0"/>
        <w:tabs>
          <w:tab w:leader="none" w:pos="1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of directors any amendments to our corporate governance policies;</w:t>
      </w:r>
    </w:p>
    <w:p>
      <w:pPr>
        <w:spacing w:after="0" w:line="252" w:lineRule="exact"/>
        <w:rPr>
          <w:rFonts w:ascii="Times New Roman" w:cs="Times New Roman" w:eastAsia="Times New Roman" w:hAnsi="Times New Roman"/>
          <w:sz w:val="18"/>
          <w:szCs w:val="18"/>
          <w:color w:val="auto"/>
        </w:rPr>
      </w:pPr>
    </w:p>
    <w:p>
      <w:pPr>
        <w:ind w:left="1540" w:right="180" w:hanging="331"/>
        <w:spacing w:after="0" w:line="282" w:lineRule="auto"/>
        <w:tabs>
          <w:tab w:leader="none" w:pos="1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our cybersecurity risk profile, receiving periodic updates from management on all matters related to cybersecurity, and reporting to our full Board of Directors on an annual or as necessary basis; and</w:t>
      </w:r>
    </w:p>
    <w:p>
      <w:pPr>
        <w:spacing w:after="0" w:line="188" w:lineRule="exact"/>
        <w:rPr>
          <w:rFonts w:ascii="Times New Roman" w:cs="Times New Roman" w:eastAsia="Times New Roman" w:hAnsi="Times New Roman"/>
          <w:sz w:val="18"/>
          <w:szCs w:val="18"/>
          <w:color w:val="auto"/>
        </w:rPr>
      </w:pPr>
    </w:p>
    <w:p>
      <w:pPr>
        <w:ind w:left="1540" w:hanging="331"/>
        <w:spacing w:after="0" w:line="282" w:lineRule="auto"/>
        <w:tabs>
          <w:tab w:leader="none" w:pos="1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at least annually, the performance of the nominating and corporate governance committee and the adequacy of its charter.</w:t>
      </w:r>
    </w:p>
    <w:p>
      <w:pPr>
        <w:spacing w:after="0" w:line="1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305494"/>
        </w:rPr>
        <w:t>Director Nomination Process</w:t>
      </w:r>
    </w:p>
    <w:p>
      <w:pPr>
        <w:spacing w:after="0" w:line="2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Selection and Nomination Process</w:t>
      </w:r>
    </w:p>
    <w:p>
      <w:pPr>
        <w:spacing w:after="0" w:line="229" w:lineRule="exact"/>
        <w:rPr>
          <w:sz w:val="20"/>
          <w:szCs w:val="20"/>
          <w:color w:val="auto"/>
        </w:rPr>
      </w:pPr>
    </w:p>
    <w:p>
      <w:pPr>
        <w:ind w:left="120" w:firstLine="771"/>
        <w:spacing w:after="0" w:line="256" w:lineRule="auto"/>
        <w:rPr>
          <w:sz w:val="20"/>
          <w:szCs w:val="20"/>
          <w:color w:val="auto"/>
        </w:rPr>
      </w:pPr>
      <w:r>
        <w:rPr>
          <w:rFonts w:ascii="Times New Roman" w:cs="Times New Roman" w:eastAsia="Times New Roman" w:hAnsi="Times New Roman"/>
          <w:sz w:val="18"/>
          <w:szCs w:val="18"/>
          <w:color w:val="auto"/>
        </w:rPr>
        <w:t>Our board of directors is responsible for nominating members for election to our board of directors by our stockholders at our annual meetings of stockholders. Whenever a vacancy occurs on our board of directors, whether due to a newly created director position or the death, resignation, removal or retirement of an existing director, our board of directors is authorized to select a person to fill the vacancy to serve as a director until the annual meeting of stockholders at which the director’s term expires and until the election and qualification of his or her successor or, if sooner, his or her death, resignation or removal. Any increase or decrease in the number of directors will be distributed among the three classes so that, as nearly as possible, each class will consist of one-third of the directors.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Criteria for Board Membership</w:t>
      </w:r>
    </w:p>
    <w:p>
      <w:pPr>
        <w:spacing w:after="0" w:line="229" w:lineRule="exact"/>
        <w:rPr>
          <w:sz w:val="20"/>
          <w:szCs w:val="20"/>
          <w:color w:val="auto"/>
        </w:rPr>
      </w:pPr>
    </w:p>
    <w:p>
      <w:pPr>
        <w:ind w:left="120" w:right="160" w:firstLine="771"/>
        <w:spacing w:after="0" w:line="256" w:lineRule="auto"/>
        <w:rPr>
          <w:sz w:val="20"/>
          <w:szCs w:val="20"/>
          <w:color w:val="auto"/>
        </w:rPr>
      </w:pPr>
      <w:r>
        <w:rPr>
          <w:rFonts w:ascii="Times New Roman" w:cs="Times New Roman" w:eastAsia="Times New Roman" w:hAnsi="Times New Roman"/>
          <w:sz w:val="18"/>
          <w:szCs w:val="18"/>
          <w:color w:val="auto"/>
        </w:rPr>
        <w:t>The board of directors and the nominating and corporate governance committee will determine the appropriate characteristics, skills and experience for the board of directors as a whole and for its individual members. The board of directors and the nominating and corporate governance committee will consider the minimum general criteria set forth below, and may add any specific additional criteria with respect to specific searches, in selecting candidates and existing directors for service on the board of directors. An acceptable candidate may not fully satisfy all of the criteria, but is expected to satisfy nearly all of them. While the nominating and corporate governance committee does not have a formal policy in this regard, the diversity of the board of the directors is a consideration in evaluating candidates for director positions, among others.</w:t>
      </w:r>
    </w:p>
    <w:p>
      <w:pPr>
        <w:spacing w:after="0" w:line="187" w:lineRule="exact"/>
        <w:rPr>
          <w:sz w:val="20"/>
          <w:szCs w:val="20"/>
          <w:color w:val="auto"/>
        </w:rPr>
      </w:pPr>
    </w:p>
    <w:p>
      <w:pPr>
        <w:ind w:left="120" w:right="80" w:firstLine="771"/>
        <w:spacing w:after="0" w:line="256" w:lineRule="auto"/>
        <w:rPr>
          <w:sz w:val="20"/>
          <w:szCs w:val="20"/>
          <w:color w:val="auto"/>
        </w:rPr>
      </w:pPr>
      <w:r>
        <w:rPr>
          <w:rFonts w:ascii="Times New Roman" w:cs="Times New Roman" w:eastAsia="Times New Roman" w:hAnsi="Times New Roman"/>
          <w:sz w:val="18"/>
          <w:szCs w:val="18"/>
          <w:color w:val="auto"/>
        </w:rPr>
        <w:t>The board of directors and the nominating and corporate governance committee believe that candidates for director should have certain minimum qualifications, including being able to read and understand basic financial statements, being over 21 years of age and having the highest personal integrity and ethics. In considering candidates, the board of directors and the nominating and corporate governance committee intend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our stockholders.</w:t>
      </w:r>
    </w:p>
    <w:p>
      <w:pPr>
        <w:spacing w:after="0" w:line="187" w:lineRule="exact"/>
        <w:rPr>
          <w:sz w:val="20"/>
          <w:szCs w:val="20"/>
          <w:color w:val="auto"/>
        </w:rPr>
      </w:pPr>
    </w:p>
    <w:p>
      <w:pPr>
        <w:ind w:left="120" w:firstLine="771"/>
        <w:spacing w:after="0" w:line="261" w:lineRule="auto"/>
        <w:rPr>
          <w:sz w:val="20"/>
          <w:szCs w:val="20"/>
          <w:color w:val="auto"/>
        </w:rPr>
      </w:pPr>
      <w:r>
        <w:rPr>
          <w:rFonts w:ascii="Times New Roman" w:cs="Times New Roman" w:eastAsia="Times New Roman" w:hAnsi="Times New Roman"/>
          <w:sz w:val="18"/>
          <w:szCs w:val="18"/>
          <w:color w:val="auto"/>
        </w:rPr>
        <w:t>The board of directors and the nominating and corporate governance committee review candidates for director nomination in the context of the current composition of the board of directors, the operating requirements of the Company and the long-term interests of our stockholders. In conducting this assessment, the board of directors and the nominating and corporate governance committee consider diversity, age, skills, and such other factors as it deems appropriate given the current needs of the board of directors and the Company to</w:t>
      </w:r>
    </w:p>
    <w:p>
      <w:pPr>
        <w:spacing w:after="0" w:line="121"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Arial" w:cs="Arial" w:eastAsia="Arial" w:hAnsi="Arial"/>
                <w:sz w:val="14"/>
                <w:szCs w:val="14"/>
                <w:b w:val="1"/>
                <w:bCs w:val="1"/>
                <w:color w:val="305494"/>
              </w:rPr>
              <w:t>2024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305494"/>
              </w:rPr>
              <w:t>17</w:t>
            </w:r>
          </w:p>
        </w:tc>
      </w:tr>
    </w:tbl>
    <w:p>
      <w:pPr>
        <w:sectPr>
          <w:pgSz w:w="11900" w:h="16838" w:orient="portrait"/>
          <w:cols w:equalWidth="0" w:num="1">
            <w:col w:w="11100"/>
          </w:cols>
          <w:pgMar w:left="320" w:top="455"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maintain a balance of knowledge, experience and capability. In the case of incumbent directors whose terms of office are set to expire, the board of directors and the nominating and corporate governance committee review such directors’ overall service to the Company during their term, including the number of meetings attended, level of participation, quality of performance, and any other relationships and transactions that might impair such directors’ independence. In the case of new director candidates, the board of directors and the nominating and corporate governance committee also determine whether the nominee must be independent for purposes of any stock exchange on which any of the Company’s capital stock is listed.</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Stockholder Recommendations and Nominations</w:t>
      </w:r>
    </w:p>
    <w:p>
      <w:pPr>
        <w:spacing w:after="0" w:line="229" w:lineRule="exact"/>
        <w:rPr>
          <w:sz w:val="20"/>
          <w:szCs w:val="20"/>
          <w:color w:val="auto"/>
        </w:rPr>
      </w:pPr>
    </w:p>
    <w:p>
      <w:pPr>
        <w:ind w:left="120" w:right="40" w:firstLine="771"/>
        <w:spacing w:after="0" w:line="256" w:lineRule="auto"/>
        <w:rPr>
          <w:sz w:val="20"/>
          <w:szCs w:val="20"/>
          <w:color w:val="auto"/>
        </w:rPr>
      </w:pPr>
      <w:r>
        <w:rPr>
          <w:rFonts w:ascii="Times New Roman" w:cs="Times New Roman" w:eastAsia="Times New Roman" w:hAnsi="Times New Roman"/>
          <w:sz w:val="18"/>
          <w:szCs w:val="18"/>
          <w:color w:val="auto"/>
        </w:rPr>
        <w:t>Stockholders who wish to recommend candidates may contact the nominating and corporate governance committee in the manner described below under “Board and Corporate Governance Matters—Stockholder Communications with our Board of Directors.” Stockholder nominations must be made according to the procedures required under our bylaws and described in this proxy statement under the heading “Additional Information— Stockholder Proposals and Nominations for Next Year’s Annual Meeting of Stockholders.” Stockholder-recommended candidates and stockholder nominees whose nominations comply with these procedures will be evaluated by our nominating and corporate governance committee in the same manner as other nominees.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305494"/>
        </w:rPr>
        <w:t>Board Diversity Matrix</w:t>
      </w:r>
    </w:p>
    <w:p>
      <w:pPr>
        <w:spacing w:after="0" w:line="230" w:lineRule="exact"/>
        <w:rPr>
          <w:sz w:val="20"/>
          <w:szCs w:val="20"/>
          <w:color w:val="auto"/>
        </w:rPr>
      </w:pPr>
    </w:p>
    <w:p>
      <w:pPr>
        <w:ind w:left="120" w:right="20" w:firstLine="771"/>
        <w:spacing w:after="0" w:line="254" w:lineRule="auto"/>
        <w:rPr>
          <w:sz w:val="20"/>
          <w:szCs w:val="20"/>
          <w:color w:val="auto"/>
        </w:rPr>
      </w:pPr>
      <w:r>
        <w:rPr>
          <w:rFonts w:ascii="Times New Roman" w:cs="Times New Roman" w:eastAsia="Times New Roman" w:hAnsi="Times New Roman"/>
          <w:sz w:val="18"/>
          <w:szCs w:val="18"/>
          <w:color w:val="auto"/>
        </w:rPr>
        <w:t>The table below provides certain highlights of the composition of our board of directors members and nominees as of March 25, 2024. Nasdaq listing requirements require each listed company to have, or explain why it does not have, two diverse directors on the board, including at least one diverse director who self-identifies as female and at least one diverse director who self-identifies as an underrepresented minority or LGBTQ+, or for smaller reporting companies, two female directors. Companies listed on the Nasdaq Global Market must have at least one diverse director by December 31, 2023 and two diverse directors by December 31, 2025. As of March 25, 2024, our board of directors has one diverse director, and we intend to be fully compliant with Nasdaq’s diversity requirement by December 31, 2025. Each of the categories listed in the below table has the meaning as it is used in Nasdaq Listing Rule 5605(f). To see our Board Diversity Matrix as of March 24, 2023, please see our proxy statement filed with the SEC on April 12,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150495</wp:posOffset>
            </wp:positionV>
            <wp:extent cx="6995160" cy="24892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995160" cy="248920"/>
                    </a:xfrm>
                    <a:prstGeom prst="rect">
                      <a:avLst/>
                    </a:prstGeom>
                    <a:noFill/>
                  </pic:spPr>
                </pic:pic>
              </a:graphicData>
            </a:graphic>
          </wp:anchor>
        </w:drawing>
      </w:r>
    </w:p>
    <w:p>
      <w:pPr>
        <w:spacing w:after="0" w:line="2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FFFFFF"/>
        </w:rPr>
        <w:t>Board Diversity Matrix as of March 25, 2024</w:t>
      </w:r>
    </w:p>
    <w:p>
      <w:pPr>
        <w:spacing w:after="0" w:line="1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  Total Number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-118110</wp:posOffset>
            </wp:positionV>
            <wp:extent cx="6995160" cy="13716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9" w:lineRule="exact"/>
        <w:rPr>
          <w:sz w:val="20"/>
          <w:szCs w:val="20"/>
          <w:color w:val="auto"/>
        </w:rPr>
      </w:pPr>
    </w:p>
    <w:tbl>
      <w:tblPr>
        <w:tblLayout w:type="fixed"/>
        <w:tblInd w:w="120" w:type="dxa"/>
        <w:tblCellMar>
          <w:top w:w="0" w:type="dxa"/>
          <w:left w:w="0" w:type="dxa"/>
          <w:bottom w:w="0" w:type="dxa"/>
          <w:right w:w="0" w:type="dxa"/>
        </w:tblCellMar>
      </w:tblPr>
      <w:tr>
        <w:trPr>
          <w:trHeight w:val="270"/>
        </w:trPr>
        <w:tc>
          <w:tcPr>
            <w:tcW w:w="4160" w:type="dxa"/>
            <w:vAlign w:val="bottom"/>
            <w:tcBorders>
              <w:bottom w:val="single" w:sz="8" w:color="5C9ACF"/>
            </w:tcBorders>
            <w:shd w:val="clear" w:color="auto" w:fill="5C9ACF"/>
          </w:tcPr>
          <w:p>
            <w:pPr>
              <w:spacing w:after="0"/>
              <w:rPr>
                <w:sz w:val="23"/>
                <w:szCs w:val="23"/>
                <w:color w:val="auto"/>
              </w:rPr>
            </w:pPr>
          </w:p>
        </w:tc>
        <w:tc>
          <w:tcPr>
            <w:tcW w:w="1420" w:type="dxa"/>
            <w:vAlign w:val="bottom"/>
            <w:tcBorders>
              <w:bottom w:val="single" w:sz="8" w:color="5C9ACF"/>
            </w:tcBorders>
            <w:shd w:val="clear" w:color="auto" w:fill="5C9ACF"/>
          </w:tcPr>
          <w:p>
            <w:pPr>
              <w:ind w:left="680"/>
              <w:spacing w:after="0"/>
              <w:rPr>
                <w:sz w:val="20"/>
                <w:szCs w:val="20"/>
                <w:color w:val="auto"/>
              </w:rPr>
            </w:pPr>
            <w:r>
              <w:rPr>
                <w:rFonts w:ascii="Times New Roman" w:cs="Times New Roman" w:eastAsia="Times New Roman" w:hAnsi="Times New Roman"/>
                <w:sz w:val="18"/>
                <w:szCs w:val="18"/>
                <w:b w:val="1"/>
                <w:bCs w:val="1"/>
                <w:color w:val="FFFFFF"/>
              </w:rPr>
              <w:t>Female</w:t>
            </w:r>
          </w:p>
        </w:tc>
        <w:tc>
          <w:tcPr>
            <w:tcW w:w="1420" w:type="dxa"/>
            <w:vAlign w:val="bottom"/>
            <w:tcBorders>
              <w:bottom w:val="single" w:sz="8" w:color="5C9ACF"/>
            </w:tcBorders>
            <w:shd w:val="clear" w:color="auto" w:fill="5C9ACF"/>
          </w:tcPr>
          <w:p>
            <w:pPr>
              <w:jc w:val="right"/>
              <w:ind w:right="312"/>
              <w:spacing w:after="0"/>
              <w:rPr>
                <w:sz w:val="20"/>
                <w:szCs w:val="20"/>
                <w:color w:val="auto"/>
              </w:rPr>
            </w:pPr>
            <w:r>
              <w:rPr>
                <w:rFonts w:ascii="Times New Roman" w:cs="Times New Roman" w:eastAsia="Times New Roman" w:hAnsi="Times New Roman"/>
                <w:sz w:val="18"/>
                <w:szCs w:val="18"/>
                <w:b w:val="1"/>
                <w:bCs w:val="1"/>
                <w:color w:val="FFFFFF"/>
              </w:rPr>
              <w:t>Male</w:t>
            </w:r>
          </w:p>
        </w:tc>
        <w:tc>
          <w:tcPr>
            <w:tcW w:w="1720" w:type="dxa"/>
            <w:vAlign w:val="bottom"/>
            <w:tcBorders>
              <w:bottom w:val="single" w:sz="8" w:color="5C9ACF"/>
            </w:tcBorders>
            <w:shd w:val="clear" w:color="auto" w:fill="5C9ACF"/>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Non-Binary</w:t>
            </w:r>
          </w:p>
        </w:tc>
        <w:tc>
          <w:tcPr>
            <w:tcW w:w="2300" w:type="dxa"/>
            <w:vAlign w:val="bottom"/>
            <w:tcBorders>
              <w:bottom w:val="single" w:sz="8" w:color="5C9ACF"/>
            </w:tcBorders>
            <w:shd w:val="clear" w:color="auto" w:fill="5C9ACF"/>
          </w:tcPr>
          <w:p>
            <w:pPr>
              <w:jc w:val="center"/>
              <w:ind w:left="290"/>
              <w:spacing w:after="0"/>
              <w:rPr>
                <w:sz w:val="20"/>
                <w:szCs w:val="20"/>
                <w:color w:val="auto"/>
              </w:rPr>
            </w:pPr>
            <w:r>
              <w:rPr>
                <w:rFonts w:ascii="Times New Roman" w:cs="Times New Roman" w:eastAsia="Times New Roman" w:hAnsi="Times New Roman"/>
                <w:sz w:val="18"/>
                <w:szCs w:val="18"/>
                <w:b w:val="1"/>
                <w:bCs w:val="1"/>
                <w:color w:val="FFFFFF"/>
                <w:w w:val="99"/>
              </w:rPr>
              <w:t>Did Not Disclose Gender</w:t>
            </w:r>
          </w:p>
        </w:tc>
      </w:tr>
      <w:tr>
        <w:trPr>
          <w:trHeight w:val="216"/>
        </w:trPr>
        <w:tc>
          <w:tcPr>
            <w:tcW w:w="4160" w:type="dxa"/>
            <w:vAlign w:val="bottom"/>
            <w:shd w:val="clear" w:color="auto" w:fill="F2F2F2"/>
          </w:tcPr>
          <w:p>
            <w:pPr>
              <w:spacing w:after="0"/>
              <w:rPr>
                <w:sz w:val="20"/>
                <w:szCs w:val="20"/>
                <w:color w:val="auto"/>
              </w:rPr>
            </w:pPr>
            <w:r>
              <w:rPr>
                <w:rFonts w:ascii="Times New Roman" w:cs="Times New Roman" w:eastAsia="Times New Roman" w:hAnsi="Times New Roman"/>
                <w:sz w:val="18"/>
                <w:szCs w:val="18"/>
                <w:i w:val="1"/>
                <w:iCs w:val="1"/>
                <w:color w:val="auto"/>
              </w:rPr>
              <w:t>  Part I: Gender Identity</w:t>
            </w:r>
          </w:p>
        </w:tc>
        <w:tc>
          <w:tcPr>
            <w:tcW w:w="1420" w:type="dxa"/>
            <w:vAlign w:val="bottom"/>
            <w:shd w:val="clear" w:color="auto" w:fill="F2F2F2"/>
          </w:tcPr>
          <w:p>
            <w:pPr>
              <w:spacing w:after="0"/>
              <w:rPr>
                <w:sz w:val="18"/>
                <w:szCs w:val="18"/>
                <w:color w:val="auto"/>
              </w:rPr>
            </w:pPr>
          </w:p>
        </w:tc>
        <w:tc>
          <w:tcPr>
            <w:tcW w:w="1420" w:type="dxa"/>
            <w:vAlign w:val="bottom"/>
            <w:shd w:val="clear" w:color="auto" w:fill="F2F2F2"/>
          </w:tcPr>
          <w:p>
            <w:pPr>
              <w:spacing w:after="0"/>
              <w:rPr>
                <w:sz w:val="18"/>
                <w:szCs w:val="18"/>
                <w:color w:val="auto"/>
              </w:rPr>
            </w:pPr>
          </w:p>
        </w:tc>
        <w:tc>
          <w:tcPr>
            <w:tcW w:w="1720" w:type="dxa"/>
            <w:vAlign w:val="bottom"/>
            <w:shd w:val="clear" w:color="auto" w:fill="F2F2F2"/>
          </w:tcPr>
          <w:p>
            <w:pPr>
              <w:spacing w:after="0"/>
              <w:rPr>
                <w:sz w:val="18"/>
                <w:szCs w:val="18"/>
                <w:color w:val="auto"/>
              </w:rPr>
            </w:pPr>
          </w:p>
        </w:tc>
        <w:tc>
          <w:tcPr>
            <w:tcW w:w="2300" w:type="dxa"/>
            <w:vAlign w:val="bottom"/>
            <w:shd w:val="clear" w:color="auto" w:fill="F2F2F2"/>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Directors</w:t>
            </w:r>
          </w:p>
        </w:tc>
        <w:tc>
          <w:tcPr>
            <w:tcW w:w="142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1</w:t>
            </w:r>
          </w:p>
        </w:tc>
        <w:tc>
          <w:tcPr>
            <w:tcW w:w="142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88"/>
              </w:rPr>
              <w:t>8</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30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4160" w:type="dxa"/>
            <w:vAlign w:val="bottom"/>
            <w:shd w:val="clear" w:color="auto" w:fill="F2F2F2"/>
          </w:tcPr>
          <w:p>
            <w:pPr>
              <w:spacing w:after="0"/>
              <w:rPr>
                <w:sz w:val="20"/>
                <w:szCs w:val="20"/>
                <w:color w:val="auto"/>
              </w:rPr>
            </w:pPr>
            <w:r>
              <w:rPr>
                <w:rFonts w:ascii="Times New Roman" w:cs="Times New Roman" w:eastAsia="Times New Roman" w:hAnsi="Times New Roman"/>
                <w:sz w:val="18"/>
                <w:szCs w:val="18"/>
                <w:i w:val="1"/>
                <w:iCs w:val="1"/>
                <w:color w:val="auto"/>
              </w:rPr>
              <w:t>  Part II: Demographic Background</w:t>
            </w:r>
          </w:p>
        </w:tc>
        <w:tc>
          <w:tcPr>
            <w:tcW w:w="1420" w:type="dxa"/>
            <w:vAlign w:val="bottom"/>
            <w:shd w:val="clear" w:color="auto" w:fill="F2F2F2"/>
          </w:tcPr>
          <w:p>
            <w:pPr>
              <w:spacing w:after="0"/>
              <w:rPr>
                <w:sz w:val="18"/>
                <w:szCs w:val="18"/>
                <w:color w:val="auto"/>
              </w:rPr>
            </w:pPr>
          </w:p>
        </w:tc>
        <w:tc>
          <w:tcPr>
            <w:tcW w:w="1420" w:type="dxa"/>
            <w:vAlign w:val="bottom"/>
            <w:shd w:val="clear" w:color="auto" w:fill="F2F2F2"/>
          </w:tcPr>
          <w:p>
            <w:pPr>
              <w:spacing w:after="0"/>
              <w:rPr>
                <w:sz w:val="18"/>
                <w:szCs w:val="18"/>
                <w:color w:val="auto"/>
              </w:rPr>
            </w:pPr>
          </w:p>
        </w:tc>
        <w:tc>
          <w:tcPr>
            <w:tcW w:w="1720" w:type="dxa"/>
            <w:vAlign w:val="bottom"/>
            <w:shd w:val="clear" w:color="auto" w:fill="F2F2F2"/>
          </w:tcPr>
          <w:p>
            <w:pPr>
              <w:spacing w:after="0"/>
              <w:rPr>
                <w:sz w:val="18"/>
                <w:szCs w:val="18"/>
                <w:color w:val="auto"/>
              </w:rPr>
            </w:pPr>
          </w:p>
        </w:tc>
        <w:tc>
          <w:tcPr>
            <w:tcW w:w="2300" w:type="dxa"/>
            <w:vAlign w:val="bottom"/>
            <w:shd w:val="clear" w:color="auto" w:fill="F2F2F2"/>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African American or Black</w:t>
            </w:r>
          </w:p>
        </w:tc>
        <w:tc>
          <w:tcPr>
            <w:tcW w:w="142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9"/>
              </w:rPr>
              <w:t>-</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30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4160" w:type="dxa"/>
            <w:vAlign w:val="bottom"/>
            <w:shd w:val="clear" w:color="auto" w:fill="F2F2F2"/>
          </w:tcPr>
          <w:p>
            <w:pPr>
              <w:spacing w:after="0"/>
              <w:rPr>
                <w:sz w:val="20"/>
                <w:szCs w:val="20"/>
                <w:color w:val="auto"/>
              </w:rPr>
            </w:pPr>
            <w:r>
              <w:rPr>
                <w:rFonts w:ascii="Times New Roman" w:cs="Times New Roman" w:eastAsia="Times New Roman" w:hAnsi="Times New Roman"/>
                <w:sz w:val="18"/>
                <w:szCs w:val="18"/>
                <w:color w:val="auto"/>
              </w:rPr>
              <w:t>     Alaskan Native or Native American</w:t>
            </w:r>
          </w:p>
        </w:tc>
        <w:tc>
          <w:tcPr>
            <w:tcW w:w="1420" w:type="dxa"/>
            <w:vAlign w:val="bottom"/>
            <w:shd w:val="clear" w:color="auto" w:fill="F2F2F2"/>
          </w:tcPr>
          <w:p>
            <w:pPr>
              <w:jc w:val="center"/>
              <w:ind w:left="430"/>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shd w:val="clear" w:color="auto" w:fill="F2F2F2"/>
          </w:tcPr>
          <w:p>
            <w:pPr>
              <w:jc w:val="center"/>
              <w:ind w:left="152"/>
              <w:spacing w:after="0"/>
              <w:rPr>
                <w:sz w:val="20"/>
                <w:szCs w:val="20"/>
                <w:color w:val="auto"/>
              </w:rPr>
            </w:pPr>
            <w:r>
              <w:rPr>
                <w:rFonts w:ascii="Times New Roman" w:cs="Times New Roman" w:eastAsia="Times New Roman" w:hAnsi="Times New Roman"/>
                <w:sz w:val="18"/>
                <w:szCs w:val="18"/>
                <w:color w:val="auto"/>
                <w:w w:val="99"/>
              </w:rPr>
              <w:t>-</w:t>
            </w:r>
          </w:p>
        </w:tc>
        <w:tc>
          <w:tcPr>
            <w:tcW w:w="172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300" w:type="dxa"/>
            <w:vAlign w:val="bottom"/>
            <w:shd w:val="clear" w:color="auto" w:fill="F2F2F2"/>
          </w:tcPr>
          <w:p>
            <w:pPr>
              <w:jc w:val="center"/>
              <w:ind w:left="31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Asian</w:t>
            </w:r>
          </w:p>
        </w:tc>
        <w:tc>
          <w:tcPr>
            <w:tcW w:w="142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9"/>
              </w:rPr>
              <w:t>-</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30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4160" w:type="dxa"/>
            <w:vAlign w:val="bottom"/>
            <w:shd w:val="clear" w:color="auto" w:fill="F2F2F2"/>
          </w:tcPr>
          <w:p>
            <w:pPr>
              <w:spacing w:after="0"/>
              <w:rPr>
                <w:sz w:val="20"/>
                <w:szCs w:val="20"/>
                <w:color w:val="auto"/>
              </w:rPr>
            </w:pPr>
            <w:r>
              <w:rPr>
                <w:rFonts w:ascii="Times New Roman" w:cs="Times New Roman" w:eastAsia="Times New Roman" w:hAnsi="Times New Roman"/>
                <w:sz w:val="18"/>
                <w:szCs w:val="18"/>
                <w:color w:val="auto"/>
              </w:rPr>
              <w:t>     Hispanic or Latinx</w:t>
            </w:r>
          </w:p>
        </w:tc>
        <w:tc>
          <w:tcPr>
            <w:tcW w:w="1420" w:type="dxa"/>
            <w:vAlign w:val="bottom"/>
            <w:shd w:val="clear" w:color="auto" w:fill="F2F2F2"/>
          </w:tcPr>
          <w:p>
            <w:pPr>
              <w:jc w:val="center"/>
              <w:ind w:left="430"/>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shd w:val="clear" w:color="auto" w:fill="F2F2F2"/>
          </w:tcPr>
          <w:p>
            <w:pPr>
              <w:jc w:val="center"/>
              <w:ind w:left="152"/>
              <w:spacing w:after="0"/>
              <w:rPr>
                <w:sz w:val="20"/>
                <w:szCs w:val="20"/>
                <w:color w:val="auto"/>
              </w:rPr>
            </w:pPr>
            <w:r>
              <w:rPr>
                <w:rFonts w:ascii="Times New Roman" w:cs="Times New Roman" w:eastAsia="Times New Roman" w:hAnsi="Times New Roman"/>
                <w:sz w:val="18"/>
                <w:szCs w:val="18"/>
                <w:color w:val="auto"/>
                <w:w w:val="99"/>
              </w:rPr>
              <w:t>-</w:t>
            </w:r>
          </w:p>
        </w:tc>
        <w:tc>
          <w:tcPr>
            <w:tcW w:w="172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300" w:type="dxa"/>
            <w:vAlign w:val="bottom"/>
            <w:shd w:val="clear" w:color="auto" w:fill="F2F2F2"/>
          </w:tcPr>
          <w:p>
            <w:pPr>
              <w:jc w:val="center"/>
              <w:ind w:left="31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Native Hawaiian or Pacific Islander</w:t>
            </w:r>
          </w:p>
        </w:tc>
        <w:tc>
          <w:tcPr>
            <w:tcW w:w="1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4160" w:type="dxa"/>
            <w:vAlign w:val="bottom"/>
            <w:shd w:val="clear" w:color="auto" w:fill="F2F2F2"/>
          </w:tcPr>
          <w:p>
            <w:pPr>
              <w:spacing w:after="0"/>
              <w:rPr>
                <w:sz w:val="20"/>
                <w:szCs w:val="20"/>
                <w:color w:val="auto"/>
              </w:rPr>
            </w:pPr>
            <w:r>
              <w:rPr>
                <w:rFonts w:ascii="Times New Roman" w:cs="Times New Roman" w:eastAsia="Times New Roman" w:hAnsi="Times New Roman"/>
                <w:sz w:val="18"/>
                <w:szCs w:val="18"/>
                <w:color w:val="auto"/>
              </w:rPr>
              <w:t>     White</w:t>
            </w:r>
          </w:p>
        </w:tc>
        <w:tc>
          <w:tcPr>
            <w:tcW w:w="1420" w:type="dxa"/>
            <w:vAlign w:val="bottom"/>
            <w:shd w:val="clear" w:color="auto" w:fill="F2F2F2"/>
          </w:tcPr>
          <w:p>
            <w:pPr>
              <w:jc w:val="center"/>
              <w:ind w:left="430"/>
              <w:spacing w:after="0"/>
              <w:rPr>
                <w:sz w:val="20"/>
                <w:szCs w:val="20"/>
                <w:color w:val="auto"/>
              </w:rPr>
            </w:pPr>
            <w:r>
              <w:rPr>
                <w:rFonts w:ascii="Times New Roman" w:cs="Times New Roman" w:eastAsia="Times New Roman" w:hAnsi="Times New Roman"/>
                <w:sz w:val="18"/>
                <w:szCs w:val="18"/>
                <w:color w:val="auto"/>
              </w:rPr>
              <w:t>1</w:t>
            </w:r>
          </w:p>
        </w:tc>
        <w:tc>
          <w:tcPr>
            <w:tcW w:w="1420" w:type="dxa"/>
            <w:vAlign w:val="bottom"/>
            <w:shd w:val="clear" w:color="auto" w:fill="F2F2F2"/>
          </w:tcPr>
          <w:p>
            <w:pPr>
              <w:jc w:val="center"/>
              <w:ind w:left="132"/>
              <w:spacing w:after="0"/>
              <w:rPr>
                <w:sz w:val="20"/>
                <w:szCs w:val="20"/>
                <w:color w:val="auto"/>
              </w:rPr>
            </w:pPr>
            <w:r>
              <w:rPr>
                <w:rFonts w:ascii="Times New Roman" w:cs="Times New Roman" w:eastAsia="Times New Roman" w:hAnsi="Times New Roman"/>
                <w:sz w:val="18"/>
                <w:szCs w:val="18"/>
                <w:color w:val="auto"/>
                <w:w w:val="88"/>
              </w:rPr>
              <w:t>8</w:t>
            </w:r>
          </w:p>
        </w:tc>
        <w:tc>
          <w:tcPr>
            <w:tcW w:w="172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300" w:type="dxa"/>
            <w:vAlign w:val="bottom"/>
            <w:shd w:val="clear" w:color="auto" w:fill="F2F2F2"/>
          </w:tcPr>
          <w:p>
            <w:pPr>
              <w:jc w:val="center"/>
              <w:ind w:left="31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Two or More Races or Ethnicities</w:t>
            </w:r>
          </w:p>
        </w:tc>
        <w:tc>
          <w:tcPr>
            <w:tcW w:w="1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4160" w:type="dxa"/>
            <w:vAlign w:val="bottom"/>
            <w:shd w:val="clear" w:color="auto" w:fill="F2F2F2"/>
          </w:tcPr>
          <w:p>
            <w:pPr>
              <w:spacing w:after="0"/>
              <w:rPr>
                <w:sz w:val="20"/>
                <w:szCs w:val="20"/>
                <w:color w:val="auto"/>
              </w:rPr>
            </w:pPr>
            <w:r>
              <w:rPr>
                <w:rFonts w:ascii="Times New Roman" w:cs="Times New Roman" w:eastAsia="Times New Roman" w:hAnsi="Times New Roman"/>
                <w:sz w:val="18"/>
                <w:szCs w:val="18"/>
                <w:color w:val="auto"/>
              </w:rPr>
              <w:t>     LGBTQ+</w:t>
            </w:r>
          </w:p>
        </w:tc>
        <w:tc>
          <w:tcPr>
            <w:tcW w:w="1420" w:type="dxa"/>
            <w:vAlign w:val="bottom"/>
            <w:shd w:val="clear" w:color="auto" w:fill="F2F2F2"/>
          </w:tcPr>
          <w:p>
            <w:pPr>
              <w:jc w:val="center"/>
              <w:ind w:left="430"/>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shd w:val="clear" w:color="auto" w:fill="F2F2F2"/>
          </w:tcPr>
          <w:p>
            <w:pPr>
              <w:jc w:val="center"/>
              <w:ind w:left="152"/>
              <w:spacing w:after="0"/>
              <w:rPr>
                <w:sz w:val="20"/>
                <w:szCs w:val="20"/>
                <w:color w:val="auto"/>
              </w:rPr>
            </w:pPr>
            <w:r>
              <w:rPr>
                <w:rFonts w:ascii="Times New Roman" w:cs="Times New Roman" w:eastAsia="Times New Roman" w:hAnsi="Times New Roman"/>
                <w:sz w:val="18"/>
                <w:szCs w:val="18"/>
                <w:color w:val="auto"/>
                <w:w w:val="99"/>
              </w:rPr>
              <w:t>-</w:t>
            </w:r>
          </w:p>
        </w:tc>
        <w:tc>
          <w:tcPr>
            <w:tcW w:w="172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300" w:type="dxa"/>
            <w:vAlign w:val="bottom"/>
            <w:shd w:val="clear" w:color="auto" w:fill="F2F2F2"/>
          </w:tcPr>
          <w:p>
            <w:pPr>
              <w:jc w:val="center"/>
              <w:ind w:left="310"/>
              <w:spacing w:after="0"/>
              <w:rPr>
                <w:sz w:val="20"/>
                <w:szCs w:val="20"/>
                <w:color w:val="auto"/>
              </w:rPr>
            </w:pPr>
            <w:r>
              <w:rPr>
                <w:rFonts w:ascii="Times New Roman" w:cs="Times New Roman" w:eastAsia="Times New Roman" w:hAnsi="Times New Roman"/>
                <w:sz w:val="18"/>
                <w:szCs w:val="18"/>
                <w:color w:val="auto"/>
                <w:w w:val="99"/>
              </w:rPr>
              <w:t>-</w:t>
            </w: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Did Not Disclose Demographic Background</w:t>
            </w:r>
          </w:p>
        </w:tc>
        <w:tc>
          <w:tcPr>
            <w:tcW w:w="142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9"/>
              </w:rPr>
              <w:t>-</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30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w:t>
            </w:r>
          </w:p>
        </w:tc>
      </w:tr>
      <w:tr>
        <w:trPr>
          <w:trHeight w:val="317"/>
        </w:trPr>
        <w:tc>
          <w:tcPr>
            <w:tcW w:w="4160" w:type="dxa"/>
            <w:vAlign w:val="bottom"/>
          </w:tcPr>
          <w:p>
            <w:pPr>
              <w:spacing w:after="0"/>
              <w:rPr>
                <w:sz w:val="20"/>
                <w:szCs w:val="20"/>
                <w:color w:val="auto"/>
              </w:rPr>
            </w:pPr>
            <w:r>
              <w:rPr>
                <w:rFonts w:ascii="Arial" w:cs="Arial" w:eastAsia="Arial" w:hAnsi="Arial"/>
                <w:sz w:val="14"/>
                <w:szCs w:val="14"/>
                <w:b w:val="1"/>
                <w:bCs w:val="1"/>
                <w:color w:val="305494"/>
              </w:rPr>
              <w:t>2024 Proxy Statement</w:t>
            </w:r>
          </w:p>
        </w:tc>
        <w:tc>
          <w:tcPr>
            <w:tcW w:w="1420" w:type="dxa"/>
            <w:vAlign w:val="bottom"/>
          </w:tcPr>
          <w:p>
            <w:pPr>
              <w:spacing w:after="0"/>
              <w:rPr>
                <w:sz w:val="24"/>
                <w:szCs w:val="24"/>
                <w:color w:val="auto"/>
              </w:rPr>
            </w:pPr>
          </w:p>
        </w:tc>
        <w:tc>
          <w:tcPr>
            <w:tcW w:w="1420" w:type="dxa"/>
            <w:vAlign w:val="bottom"/>
          </w:tcPr>
          <w:p>
            <w:pPr>
              <w:jc w:val="right"/>
              <w:ind w:right="992"/>
              <w:spacing w:after="0"/>
              <w:rPr>
                <w:sz w:val="20"/>
                <w:szCs w:val="20"/>
                <w:color w:val="auto"/>
              </w:rPr>
            </w:pPr>
            <w:r>
              <w:rPr>
                <w:rFonts w:ascii="Arial" w:cs="Arial" w:eastAsia="Arial" w:hAnsi="Arial"/>
                <w:sz w:val="14"/>
                <w:szCs w:val="14"/>
                <w:b w:val="1"/>
                <w:bCs w:val="1"/>
                <w:color w:val="305494"/>
              </w:rPr>
              <w:t>18</w:t>
            </w:r>
          </w:p>
        </w:tc>
        <w:tc>
          <w:tcPr>
            <w:tcW w:w="172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305494"/>
        </w:rPr>
        <w:t>Executive Officers</w:t>
      </w:r>
    </w:p>
    <w:p>
      <w:pPr>
        <w:spacing w:after="0" w:line="230" w:lineRule="exact"/>
        <w:rPr>
          <w:sz w:val="20"/>
          <w:szCs w:val="20"/>
          <w:color w:val="auto"/>
        </w:rPr>
      </w:pPr>
    </w:p>
    <w:p>
      <w:pPr>
        <w:ind w:left="120" w:right="180" w:firstLine="771"/>
        <w:spacing w:after="0" w:line="266" w:lineRule="auto"/>
        <w:rPr>
          <w:sz w:val="20"/>
          <w:szCs w:val="20"/>
          <w:color w:val="auto"/>
        </w:rPr>
      </w:pPr>
      <w:r>
        <w:rPr>
          <w:rFonts w:ascii="Times New Roman" w:cs="Times New Roman" w:eastAsia="Times New Roman" w:hAnsi="Times New Roman"/>
          <w:sz w:val="18"/>
          <w:szCs w:val="18"/>
          <w:color w:val="auto"/>
        </w:rPr>
        <w:t>Set forth below is biographical information with respect to each current executive officer of the Company, except Mr. Hutton, our President and Chief Executive Officer. Mr. Hutton also serves as a director of the Company, and his biographical information is available above in the section titled “Overview of Our Nominees and Continuing Directors—Director Nominees.”</w:t>
      </w:r>
    </w:p>
    <w:p>
      <w:pPr>
        <w:spacing w:after="0" w:line="172" w:lineRule="exact"/>
        <w:rPr>
          <w:sz w:val="20"/>
          <w:szCs w:val="20"/>
          <w:color w:val="auto"/>
        </w:rPr>
      </w:pPr>
    </w:p>
    <w:p>
      <w:pPr>
        <w:ind w:left="120" w:firstLine="77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Robin Harper Cowie</w:t>
      </w:r>
      <w:r>
        <w:rPr>
          <w:rFonts w:ascii="Times New Roman" w:cs="Times New Roman" w:eastAsia="Times New Roman" w:hAnsi="Times New Roman"/>
          <w:sz w:val="18"/>
          <w:szCs w:val="18"/>
          <w:color w:val="auto"/>
        </w:rPr>
        <w:t>, age 44. Ms. Harper Cowie has served as our Chief Financial Officer since April 2017. She has been with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multiple financial and reimbursement positions since March 2011, serving as Vice President of Finance from February 2016 to April 2017, Vice President of Reimbursement &amp; Health Economics from February 2015 to February 2016, Senior Director of Reimbursement from January 2014 to February 2015, and Director of Reimbursement from March 2011 to January 2014. Prior to joining Biodesix, Ms. Harper Cowie held a leadership role in payer and government relations at Precision Therapeutics, Inc. Ms. Harper Cowie’s background includes corporate finance, managed care and payer relations, reimbursement and regulatory policy, and revenue cycle operations. Additionally, she spent several years as a researcher at the University of Pittsburgh Medical Center. Ms. Harper has also served on the board of the Colorado Bioscience Association since 2023. Ms. Harper Cowie holds a B.S. in Molecular Biology from the University of Pittsburgh, and an M.B.A. in Finance from the Joseph M. Katz Graduate School of Business from the University of Pittsburgh.</w:t>
      </w:r>
    </w:p>
    <w:p>
      <w:pPr>
        <w:spacing w:after="0" w:line="188" w:lineRule="exact"/>
        <w:rPr>
          <w:sz w:val="20"/>
          <w:szCs w:val="20"/>
          <w:color w:val="auto"/>
        </w:rPr>
      </w:pPr>
    </w:p>
    <w:p>
      <w:pPr>
        <w:ind w:left="120" w:right="180" w:firstLine="77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Kieran O’Kane</w:t>
      </w:r>
      <w:r>
        <w:rPr>
          <w:rFonts w:ascii="Times New Roman" w:cs="Times New Roman" w:eastAsia="Times New Roman" w:hAnsi="Times New Roman"/>
          <w:sz w:val="18"/>
          <w:szCs w:val="18"/>
          <w:color w:val="auto"/>
        </w:rPr>
        <w:t>, age 47. Mr. O’Kane has served as our Chief Commercial Officer since March 2020 and has been with the Company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multiple marketing management roles since February 2018. From April 2016 to February 2018, prior to joining Biodesix, Mr. O’Kane led the Global Diagnostics Marketing team at NanoString Technologies, a biotechnology company focused in developing cancer diagnostic tools. He is a highly experienced strategic and tactical global sales and marketing leader for both in-line and pipeline products with a career focus in oncology. Mr. O’Kane has held commercial leadership positions and managed multiple new product launches at Biotheranostics, Cell Therapeutics, Eisai, Cephalon, Bristol-Myers Squibb, and Roche. Mr. O’Kane received a B.S. in Pharmacology at King’s College, University of London.</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305494"/>
        </w:rPr>
        <w:t>Code of Business Conduct and Ethics</w:t>
      </w:r>
    </w:p>
    <w:p>
      <w:pPr>
        <w:spacing w:after="0" w:line="230" w:lineRule="exact"/>
        <w:rPr>
          <w:sz w:val="20"/>
          <w:szCs w:val="20"/>
          <w:color w:val="auto"/>
        </w:rPr>
      </w:pPr>
    </w:p>
    <w:p>
      <w:pPr>
        <w:ind w:left="120" w:right="100" w:firstLine="771"/>
        <w:spacing w:after="0" w:line="255" w:lineRule="auto"/>
        <w:rPr>
          <w:sz w:val="20"/>
          <w:szCs w:val="20"/>
          <w:color w:val="auto"/>
        </w:rPr>
      </w:pPr>
      <w:r>
        <w:rPr>
          <w:rFonts w:ascii="Times New Roman" w:cs="Times New Roman" w:eastAsia="Times New Roman" w:hAnsi="Times New Roman"/>
          <w:sz w:val="18"/>
          <w:szCs w:val="18"/>
          <w:color w:val="auto"/>
        </w:rPr>
        <w:t>We have adopted a Code of Business Conduct and Ethics (the Code of Conduct) that applies to all of our employees, officers (including our principal executive officer, principal financial officer and principal accounting officer or controller, or persons performing similar functions), and directors. Stockholders may request a free copy of our Code of Business Conduct and Ethics by contacting Biodesix, Inc., Attention: Chief Financial Officer, 919 West Dillon Rd., Louisville, Colorado 80027. We intend to disclose future amendments to certain provisions of our Code of Conduct, or waivers of such provisions, applicable to any principal executive officer, principal financial officer, principal accounting officer or controller or persons performing similar functions, and our directors, on our website at www.biodesix.com. Reference to our website does not constitute incorporation by reference of the information contained at or accessible through our website into this proxy statement.</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305494"/>
        </w:rPr>
        <w:t>Corporate Governance Guidelines</w:t>
      </w:r>
    </w:p>
    <w:p>
      <w:pPr>
        <w:spacing w:after="0" w:line="230" w:lineRule="exact"/>
        <w:rPr>
          <w:sz w:val="20"/>
          <w:szCs w:val="20"/>
          <w:color w:val="auto"/>
        </w:rPr>
      </w:pPr>
    </w:p>
    <w:p>
      <w:pPr>
        <w:ind w:left="120" w:right="180" w:firstLine="771"/>
        <w:spacing w:after="0" w:line="274" w:lineRule="auto"/>
        <w:rPr>
          <w:sz w:val="20"/>
          <w:szCs w:val="20"/>
          <w:color w:val="auto"/>
        </w:rPr>
      </w:pPr>
      <w:r>
        <w:rPr>
          <w:rFonts w:ascii="Times New Roman" w:cs="Times New Roman" w:eastAsia="Times New Roman" w:hAnsi="Times New Roman"/>
          <w:sz w:val="17"/>
          <w:szCs w:val="17"/>
          <w:color w:val="auto"/>
        </w:rPr>
        <w:t>We have adopted written corporate governance guidelines which provide the framework for our corporate governance, along with our amended and restated certificate of incorporation, amended and restated bylaws, committee charters and other key governance practices and policies. Our corporate governance guidelines cover a range of topics including, but not limited to, board composition, independence and selection of directors, board membership criteria, conduct of board meetings, board committee composition and functions, board assessment, director compensation and succession planning. Our corporate governance guidelines will be reviewed at least annually by our nominating and corporate governance committee and any proposed changes will be recommended to our full board of directors for approval. A copy of our corporate governance guidelines is</w:t>
      </w:r>
    </w:p>
    <w:p>
      <w:pPr>
        <w:spacing w:after="0" w:line="115"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Arial" w:cs="Arial" w:eastAsia="Arial" w:hAnsi="Arial"/>
                <w:sz w:val="14"/>
                <w:szCs w:val="14"/>
                <w:b w:val="1"/>
                <w:bCs w:val="1"/>
                <w:color w:val="305494"/>
              </w:rPr>
              <w:t>2024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305494"/>
              </w:rPr>
              <w:t>19</w:t>
            </w:r>
          </w:p>
        </w:tc>
      </w:tr>
    </w:tbl>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available on our corporate website at www.biodesix.com in the Investor section under “Governance—Governance Highlights.” Reference to our website does not constitute incorporation by reference of the information contained at or accessible through our website into this proxy statement.</w:t>
      </w:r>
    </w:p>
    <w:p>
      <w:pPr>
        <w:spacing w:after="0" w:line="1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305494"/>
        </w:rPr>
        <w:t>Anti-Hedging and Anti-Pledging Policy</w:t>
      </w:r>
    </w:p>
    <w:p>
      <w:pPr>
        <w:spacing w:after="0" w:line="230" w:lineRule="exact"/>
        <w:rPr>
          <w:sz w:val="20"/>
          <w:szCs w:val="20"/>
          <w:color w:val="auto"/>
        </w:rPr>
      </w:pPr>
    </w:p>
    <w:p>
      <w:pPr>
        <w:ind w:left="120" w:right="20" w:firstLine="771"/>
        <w:spacing w:after="0" w:line="261" w:lineRule="auto"/>
        <w:rPr>
          <w:sz w:val="20"/>
          <w:szCs w:val="20"/>
          <w:color w:val="auto"/>
        </w:rPr>
      </w:pPr>
      <w:r>
        <w:rPr>
          <w:rFonts w:ascii="Times New Roman" w:cs="Times New Roman" w:eastAsia="Times New Roman" w:hAnsi="Times New Roman"/>
          <w:sz w:val="18"/>
          <w:szCs w:val="18"/>
          <w:color w:val="auto"/>
        </w:rPr>
        <w:t>Our insider trading policy prohibits our directors, executive officers and other employees from engaging in hedging transactions or other inherently speculative transactions with respect to Company securities, such as short sales or transactions in put or call options. Our directors, executive officers and other employees are also prohibited from holding Company securities in a margin account or pledging company securities as collateral for a loan.</w:t>
      </w:r>
    </w:p>
    <w:p>
      <w:pPr>
        <w:spacing w:after="0" w:line="1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305494"/>
        </w:rPr>
        <w:t>Stockholder Communications with our Board of Directors</w:t>
      </w:r>
    </w:p>
    <w:p>
      <w:pPr>
        <w:spacing w:after="0" w:line="230" w:lineRule="exact"/>
        <w:rPr>
          <w:sz w:val="20"/>
          <w:szCs w:val="20"/>
          <w:color w:val="auto"/>
        </w:rPr>
      </w:pPr>
    </w:p>
    <w:p>
      <w:pPr>
        <w:ind w:left="120" w:right="40" w:firstLine="771"/>
        <w:spacing w:after="0" w:line="255" w:lineRule="auto"/>
        <w:rPr>
          <w:sz w:val="20"/>
          <w:szCs w:val="20"/>
          <w:color w:val="auto"/>
        </w:rPr>
      </w:pPr>
      <w:r>
        <w:rPr>
          <w:rFonts w:ascii="Times New Roman" w:cs="Times New Roman" w:eastAsia="Times New Roman" w:hAnsi="Times New Roman"/>
          <w:sz w:val="18"/>
          <w:szCs w:val="18"/>
          <w:color w:val="auto"/>
        </w:rPr>
        <w:t>Any stockholder or other interested party who wishes to communicate with our board of directors or any individual director may send written communications to our board of directors or such director c/o Corporate Secretary, Biodesix, Inc., 919 West Dillon Rd., Louisville, CO 80027. The communication must include the stockholder’s name, address and an indication that the person is our stockholder. The Corporate Secretary will review any communications received from stockholders and will forward such communications to the appropriate director or directors, or committee of our board of directors, based on the subject matter. Communications that are deemed inappropriate (such as communications that are commercial or frivolous in nature) will not be forwarded. In addition, communications that appear to be unduly hostile, intimidating, threatening, illegal or similarly inappropriate will not be forwarded.</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305494"/>
        </w:rPr>
        <w:t>Certain Relationships and Related-Party Transactions</w:t>
      </w:r>
    </w:p>
    <w:p>
      <w:pPr>
        <w:spacing w:after="0" w:line="230" w:lineRule="exact"/>
        <w:rPr>
          <w:sz w:val="20"/>
          <w:szCs w:val="20"/>
          <w:color w:val="auto"/>
        </w:rPr>
      </w:pPr>
    </w:p>
    <w:p>
      <w:pPr>
        <w:ind w:left="120" w:right="100" w:firstLine="771"/>
        <w:spacing w:after="0" w:line="258" w:lineRule="auto"/>
        <w:rPr>
          <w:sz w:val="20"/>
          <w:szCs w:val="20"/>
          <w:color w:val="auto"/>
        </w:rPr>
      </w:pPr>
      <w:r>
        <w:rPr>
          <w:rFonts w:ascii="Times New Roman" w:cs="Times New Roman" w:eastAsia="Times New Roman" w:hAnsi="Times New Roman"/>
          <w:sz w:val="18"/>
          <w:szCs w:val="18"/>
          <w:color w:val="auto"/>
        </w:rPr>
        <w:t>The following is a summary of the transactions since January 1, 2023 to which we have been a participant in which the amount involved in the transaction exceeds or will exceed $120,000 and in which any of our directors, director nominees, executive officers, or holders of more than 5% of our capital stock, or any immediate family member of, or person sharing the household with, any of these individuals, had or will have a direct or indirect material interest, with certain exceptions, other than compensation arrangements, which are under the section of this proxy statement captioned “Executive Compensation.”</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Subscription Agreements</w:t>
      </w:r>
    </w:p>
    <w:p>
      <w:pPr>
        <w:spacing w:after="0" w:line="229" w:lineRule="exact"/>
        <w:rPr>
          <w:sz w:val="20"/>
          <w:szCs w:val="20"/>
          <w:color w:val="auto"/>
        </w:rPr>
      </w:pPr>
    </w:p>
    <w:p>
      <w:pPr>
        <w:ind w:left="120" w:right="60" w:firstLine="771"/>
        <w:spacing w:after="0" w:line="258" w:lineRule="auto"/>
        <w:rPr>
          <w:sz w:val="20"/>
          <w:szCs w:val="20"/>
          <w:color w:val="auto"/>
        </w:rPr>
      </w:pPr>
      <w:r>
        <w:rPr>
          <w:rFonts w:ascii="Times New Roman" w:cs="Times New Roman" w:eastAsia="Times New Roman" w:hAnsi="Times New Roman"/>
          <w:sz w:val="18"/>
          <w:szCs w:val="18"/>
          <w:color w:val="auto"/>
        </w:rPr>
        <w:t>On August 3, 2023, we entered into subscription agreements with a consortium of investors, including all members of our board of directors, certain members of the Company’s management team, including our Chief Executive Officer, Chief Financial Officer and Chief Accounting Officer, for the issuance and sale by the Company of an aggregate of 16,975,298 shares at a purchase price of $1.62 per share in a private placement offering, for an aggregate purchase price of $27.5 million. The net proceeds were used, among other things, to fund the commercial expansion of the Company’s sales and research and development business units, and for general corporate purposes.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Investor Rights Agreement</w:t>
      </w:r>
    </w:p>
    <w:p>
      <w:pPr>
        <w:spacing w:after="0" w:line="229" w:lineRule="exact"/>
        <w:rPr>
          <w:sz w:val="20"/>
          <w:szCs w:val="20"/>
          <w:color w:val="auto"/>
        </w:rPr>
      </w:pPr>
    </w:p>
    <w:p>
      <w:pPr>
        <w:ind w:left="120" w:firstLine="771"/>
        <w:spacing w:after="0" w:line="258" w:lineRule="auto"/>
        <w:rPr>
          <w:sz w:val="20"/>
          <w:szCs w:val="20"/>
          <w:color w:val="auto"/>
        </w:rPr>
      </w:pPr>
      <w:r>
        <w:rPr>
          <w:rFonts w:ascii="Times New Roman" w:cs="Times New Roman" w:eastAsia="Times New Roman" w:hAnsi="Times New Roman"/>
          <w:sz w:val="18"/>
          <w:szCs w:val="18"/>
          <w:color w:val="auto"/>
        </w:rPr>
        <w:t>In October 2018, we entered into an amended and restated investor rights agreement (IRA) with certain holders of our preferred stock and common stock, including certain holders of 5% of our capital stock, and including certain members of, and affiliates of, our directors and certain of our executive officers. The IRA provides the holders of our preferred stock with certain registration rights. After the closing of our initial public offering, the holders of 20,090,745 shares of common stock issuable from conversion of outstanding preferred stock, became entitled to rights with respect to the registration of their shares of common stock under the Securities Act under this agreement.</w:t>
      </w:r>
    </w:p>
    <w:p>
      <w:pPr>
        <w:spacing w:after="0" w:line="125"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Arial" w:cs="Arial" w:eastAsia="Arial" w:hAnsi="Arial"/>
                <w:sz w:val="14"/>
                <w:szCs w:val="14"/>
                <w:b w:val="1"/>
                <w:bCs w:val="1"/>
                <w:color w:val="305494"/>
              </w:rPr>
              <w:t>2024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305494"/>
              </w:rPr>
              <w:t>20</w:t>
            </w:r>
          </w:p>
        </w:tc>
      </w:tr>
    </w:tbl>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Indemnification of Directors and Executive Officers</w:t>
      </w:r>
    </w:p>
    <w:p>
      <w:pPr>
        <w:spacing w:after="0" w:line="229" w:lineRule="exact"/>
        <w:rPr>
          <w:sz w:val="20"/>
          <w:szCs w:val="20"/>
          <w:color w:val="auto"/>
        </w:rPr>
      </w:pPr>
    </w:p>
    <w:p>
      <w:pPr>
        <w:ind w:left="120" w:right="400" w:firstLine="771"/>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in connection with our initial public offering or the start of their service on our board. The indemnification agreements and our bylaws will require us to indemnify our directors against certain liabilities, costs and expenses to the fullest extent not prohibited by DGCL, and have purchased directors’ and officers’ liability insurance. Subject to very limited exceptions, our bylaws will also require us to advance expenses incurred by our directors and officers.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Policies and Procedures for Related-Party Transactions</w:t>
      </w:r>
    </w:p>
    <w:p>
      <w:pPr>
        <w:spacing w:after="0" w:line="229" w:lineRule="exact"/>
        <w:rPr>
          <w:sz w:val="20"/>
          <w:szCs w:val="20"/>
          <w:color w:val="auto"/>
        </w:rPr>
      </w:pPr>
    </w:p>
    <w:p>
      <w:pPr>
        <w:ind w:left="120" w:firstLine="771"/>
        <w:spacing w:after="0" w:line="255" w:lineRule="auto"/>
        <w:rPr>
          <w:sz w:val="20"/>
          <w:szCs w:val="20"/>
          <w:color w:val="auto"/>
        </w:rPr>
      </w:pPr>
      <w:r>
        <w:rPr>
          <w:rFonts w:ascii="Times New Roman" w:cs="Times New Roman" w:eastAsia="Times New Roman" w:hAnsi="Times New Roman"/>
          <w:sz w:val="18"/>
          <w:szCs w:val="18"/>
          <w:color w:val="auto"/>
        </w:rPr>
        <w:t>Our audit committee has the primary responsibility for the review, approval and oversight of any “related-party transaction,” which is any transaction, arrangement or relationship (or series of similar transactions, arrangements or relationships) in which we are, were or will be a participant and the amount involved exceeds $120,000, and in which the related person has, had or will have a direct or indirect material interest. We adopted a written related-party transaction policy effective October 2020. Under our related-party transaction policy, our management is required to submit any related-party transaction not previously approved or ratified by our audit committee to our audit committee. In approving or rejecting the proposed transactions, our audit committee takes into account all of the relevant facts and circumstances available. All of the transactions described in this section, except for certain equity award grants, occurred prior to the adoption of this policy.</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Private Placement Transaction</w:t>
      </w:r>
    </w:p>
    <w:p>
      <w:pPr>
        <w:spacing w:after="0" w:line="229" w:lineRule="exact"/>
        <w:rPr>
          <w:sz w:val="20"/>
          <w:szCs w:val="20"/>
          <w:color w:val="auto"/>
        </w:rPr>
      </w:pPr>
    </w:p>
    <w:p>
      <w:pPr>
        <w:ind w:left="120" w:right="20" w:firstLine="771"/>
        <w:spacing w:after="0" w:line="258" w:lineRule="auto"/>
        <w:rPr>
          <w:sz w:val="20"/>
          <w:szCs w:val="20"/>
          <w:color w:val="auto"/>
        </w:rPr>
      </w:pPr>
      <w:r>
        <w:rPr>
          <w:rFonts w:ascii="Times New Roman" w:cs="Times New Roman" w:eastAsia="Times New Roman" w:hAnsi="Times New Roman"/>
          <w:sz w:val="18"/>
          <w:szCs w:val="18"/>
          <w:color w:val="auto"/>
        </w:rPr>
        <w:t>On April 5, 2024, we entered into securities purchase agreements with a consortium of investors, including members of our board of directors, certain members of the Company’s management team, including our Chief Executive Officer, Chief Financial Officer and Chief Commercial Officer, for the issuance and sale by the Company of 760,857 shares of Series A Preferred Stock at a price of $46.00 per share. On April 5, 2024 we also entered into a registration rights agreement with the consortium of investors, pursuant to which the investors are entitled to certain resale registration rights with respect to shares of our common stock underlying the Series A Preferred Stock that will be held by such investors.</w:t>
      </w:r>
    </w:p>
    <w:p>
      <w:pPr>
        <w:spacing w:after="0" w:line="125"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Arial" w:cs="Arial" w:eastAsia="Arial" w:hAnsi="Arial"/>
                <w:sz w:val="14"/>
                <w:szCs w:val="14"/>
                <w:b w:val="1"/>
                <w:bCs w:val="1"/>
                <w:color w:val="305494"/>
              </w:rPr>
              <w:t>2024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305494"/>
              </w:rPr>
              <w:t>21</w:t>
            </w:r>
          </w:p>
        </w:tc>
      </w:tr>
    </w:tbl>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305494"/>
        </w:rPr>
        <w:t>EQUITY COMPENSATION PLAN INFORMATION</w:t>
      </w:r>
    </w:p>
    <w:p>
      <w:pPr>
        <w:spacing w:after="0" w:line="240" w:lineRule="exact"/>
        <w:rPr>
          <w:sz w:val="20"/>
          <w:szCs w:val="20"/>
          <w:color w:val="auto"/>
        </w:rPr>
      </w:pPr>
    </w:p>
    <w:p>
      <w:pPr>
        <w:ind w:left="120" w:right="240" w:firstLine="771"/>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number of outstanding stock options and restricted stock unit (RSU) awards granted to our employees, consultants, and directors, as well as the number of shares of common stock remaining available for future issuance, under our equity compensation plans in effect as of December 31, 2023.</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40" w:type="dxa"/>
            <w:vAlign w:val="bottom"/>
            <w:gridSpan w:val="2"/>
            <w:vMerge w:val="continue"/>
          </w:tcPr>
          <w:p>
            <w:pPr>
              <w:spacing w:after="0"/>
              <w:rPr>
                <w:sz w:val="12"/>
                <w:szCs w:val="12"/>
                <w:color w:val="auto"/>
              </w:rPr>
            </w:pPr>
          </w:p>
        </w:tc>
        <w:tc>
          <w:tcPr>
            <w:tcW w:w="1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issuance under equity</w:t>
            </w: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1800" w:type="dxa"/>
            <w:vAlign w:val="bottom"/>
            <w:gridSpan w:val="2"/>
            <w:vMerge w:val="continue"/>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18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49"/>
        </w:trPr>
        <w:tc>
          <w:tcPr>
            <w:tcW w:w="54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3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8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 column</w:t>
            </w:r>
          </w:p>
        </w:tc>
        <w:tc>
          <w:tcPr>
            <w:tcW w:w="0" w:type="dxa"/>
            <w:vAlign w:val="bottom"/>
          </w:tcPr>
          <w:p>
            <w:pPr>
              <w:spacing w:after="0"/>
              <w:rPr>
                <w:sz w:val="1"/>
                <w:szCs w:val="1"/>
                <w:color w:val="auto"/>
              </w:rPr>
            </w:pPr>
          </w:p>
        </w:tc>
      </w:tr>
      <w:tr>
        <w:trPr>
          <w:trHeight w:val="173"/>
        </w:trPr>
        <w:tc>
          <w:tcPr>
            <w:tcW w:w="5420" w:type="dxa"/>
            <w:vAlign w:val="bottom"/>
            <w:gridSpan w:val="3"/>
            <w:vMerge w:val="continue"/>
          </w:tcPr>
          <w:p>
            <w:pPr>
              <w:spacing w:after="0"/>
              <w:rPr>
                <w:sz w:val="15"/>
                <w:szCs w:val="15"/>
                <w:color w:val="auto"/>
              </w:rPr>
            </w:pPr>
          </w:p>
        </w:tc>
        <w:tc>
          <w:tcPr>
            <w:tcW w:w="2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w:t>
            </w:r>
          </w:p>
        </w:tc>
        <w:tc>
          <w:tcPr>
            <w:tcW w:w="1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c>
          <w:tcPr>
            <w:tcW w:w="0" w:type="dxa"/>
            <w:vAlign w:val="bottom"/>
          </w:tcPr>
          <w:p>
            <w:pPr>
              <w:spacing w:after="0"/>
              <w:rPr>
                <w:sz w:val="1"/>
                <w:szCs w:val="1"/>
                <w:color w:val="auto"/>
              </w:rPr>
            </w:pPr>
          </w:p>
        </w:tc>
      </w:tr>
      <w:tr>
        <w:trPr>
          <w:trHeight w:val="237"/>
        </w:trPr>
        <w:tc>
          <w:tcPr>
            <w:tcW w:w="5200" w:type="dxa"/>
            <w:vAlign w:val="bottom"/>
            <w:tcBorders>
              <w:top w:val="single" w:sz="8" w:color="auto"/>
            </w:tcBorders>
            <w:gridSpan w:val="2"/>
            <w:shd w:val="clear" w:color="auto" w:fill="F2F2F2"/>
          </w:tcPr>
          <w:p>
            <w:pPr>
              <w:spacing w:after="0" w:line="236" w:lineRule="exact"/>
              <w:rPr>
                <w:sz w:val="20"/>
                <w:szCs w:val="20"/>
                <w:color w:val="auto"/>
              </w:rPr>
            </w:pPr>
            <w:r>
              <w:rPr>
                <w:rFonts w:ascii="Times New Roman" w:cs="Times New Roman" w:eastAsia="Times New Roman" w:hAnsi="Times New Roman"/>
                <w:sz w:val="18"/>
                <w:szCs w:val="18"/>
                <w:color w:val="auto"/>
              </w:rPr>
              <w:t>  Equity compensation plans approved by security holders</w:t>
            </w:r>
            <w:r>
              <w:rPr>
                <w:rFonts w:ascii="Times New Roman" w:cs="Times New Roman" w:eastAsia="Times New Roman" w:hAnsi="Times New Roman"/>
                <w:sz w:val="26"/>
                <w:szCs w:val="26"/>
                <w:color w:val="auto"/>
                <w:vertAlign w:val="superscript"/>
              </w:rPr>
              <w:t>(1)</w:t>
            </w:r>
          </w:p>
        </w:tc>
        <w:tc>
          <w:tcPr>
            <w:tcW w:w="220" w:type="dxa"/>
            <w:vAlign w:val="bottom"/>
            <w:tcBorders>
              <w:top w:val="single" w:sz="8" w:color="F2F2F2"/>
            </w:tcBorders>
            <w:shd w:val="clear" w:color="auto" w:fill="F2F2F2"/>
          </w:tcPr>
          <w:p>
            <w:pPr>
              <w:spacing w:after="0"/>
              <w:rPr>
                <w:sz w:val="20"/>
                <w:szCs w:val="20"/>
                <w:color w:val="auto"/>
              </w:rPr>
            </w:pPr>
          </w:p>
        </w:tc>
        <w:tc>
          <w:tcPr>
            <w:tcW w:w="2140" w:type="dxa"/>
            <w:vAlign w:val="bottom"/>
            <w:tcBorders>
              <w:top w:val="single" w:sz="8" w:color="auto"/>
            </w:tcBorders>
            <w:shd w:val="clear" w:color="auto" w:fill="F2F2F2"/>
          </w:tcPr>
          <w:p>
            <w:pPr>
              <w:ind w:left="740"/>
              <w:spacing w:after="0" w:line="236" w:lineRule="exact"/>
              <w:rPr>
                <w:sz w:val="20"/>
                <w:szCs w:val="20"/>
                <w:color w:val="auto"/>
              </w:rPr>
            </w:pPr>
            <w:r>
              <w:rPr>
                <w:rFonts w:ascii="Times New Roman" w:cs="Times New Roman" w:eastAsia="Times New Roman" w:hAnsi="Times New Roman"/>
                <w:sz w:val="18"/>
                <w:szCs w:val="18"/>
                <w:color w:val="auto"/>
              </w:rPr>
              <w:t>5,820,680</w:t>
            </w:r>
            <w:r>
              <w:rPr>
                <w:rFonts w:ascii="Times New Roman" w:cs="Times New Roman" w:eastAsia="Times New Roman" w:hAnsi="Times New Roman"/>
                <w:sz w:val="26"/>
                <w:szCs w:val="26"/>
                <w:color w:val="auto"/>
                <w:vertAlign w:val="superscript"/>
              </w:rPr>
              <w:t>(2)</w:t>
            </w:r>
          </w:p>
        </w:tc>
        <w:tc>
          <w:tcPr>
            <w:tcW w:w="200" w:type="dxa"/>
            <w:vAlign w:val="bottom"/>
            <w:tcBorders>
              <w:top w:val="single" w:sz="8" w:color="F2F2F2"/>
            </w:tcBorders>
            <w:shd w:val="clear" w:color="auto" w:fill="F2F2F2"/>
          </w:tcPr>
          <w:p>
            <w:pPr>
              <w:spacing w:after="0"/>
              <w:rPr>
                <w:sz w:val="20"/>
                <w:szCs w:val="20"/>
                <w:color w:val="auto"/>
              </w:rPr>
            </w:pPr>
          </w:p>
        </w:tc>
        <w:tc>
          <w:tcPr>
            <w:tcW w:w="1600" w:type="dxa"/>
            <w:vAlign w:val="bottom"/>
            <w:tcBorders>
              <w:top w:val="single" w:sz="8" w:color="auto"/>
            </w:tcBorders>
            <w:shd w:val="clear" w:color="auto" w:fill="F2F2F2"/>
          </w:tcPr>
          <w:p>
            <w:pPr>
              <w:ind w:left="600"/>
              <w:spacing w:after="0" w:line="236" w:lineRule="exact"/>
              <w:rPr>
                <w:sz w:val="20"/>
                <w:szCs w:val="20"/>
                <w:color w:val="auto"/>
              </w:rPr>
            </w:pPr>
            <w:r>
              <w:rPr>
                <w:rFonts w:ascii="Times New Roman" w:cs="Times New Roman" w:eastAsia="Times New Roman" w:hAnsi="Times New Roman"/>
                <w:sz w:val="18"/>
                <w:szCs w:val="18"/>
                <w:color w:val="auto"/>
              </w:rPr>
              <w:t>$3.17</w:t>
            </w:r>
            <w:r>
              <w:rPr>
                <w:rFonts w:ascii="Times New Roman" w:cs="Times New Roman" w:eastAsia="Times New Roman" w:hAnsi="Times New Roman"/>
                <w:sz w:val="26"/>
                <w:szCs w:val="26"/>
                <w:color w:val="auto"/>
                <w:vertAlign w:val="superscript"/>
              </w:rPr>
              <w:t>(3)</w:t>
            </w:r>
          </w:p>
        </w:tc>
        <w:tc>
          <w:tcPr>
            <w:tcW w:w="200" w:type="dxa"/>
            <w:vAlign w:val="bottom"/>
            <w:tcBorders>
              <w:top w:val="single" w:sz="8" w:color="F2F2F2"/>
            </w:tcBorders>
            <w:shd w:val="clear" w:color="auto" w:fill="F2F2F2"/>
          </w:tcPr>
          <w:p>
            <w:pPr>
              <w:spacing w:after="0"/>
              <w:rPr>
                <w:sz w:val="20"/>
                <w:szCs w:val="20"/>
                <w:color w:val="auto"/>
              </w:rPr>
            </w:pPr>
          </w:p>
        </w:tc>
        <w:tc>
          <w:tcPr>
            <w:tcW w:w="1460" w:type="dxa"/>
            <w:vAlign w:val="bottom"/>
            <w:tcBorders>
              <w:top w:val="single" w:sz="8" w:color="auto"/>
            </w:tcBorders>
            <w:shd w:val="clear" w:color="auto" w:fill="F2F2F2"/>
          </w:tcPr>
          <w:p>
            <w:pPr>
              <w:ind w:left="520"/>
              <w:spacing w:after="0" w:line="236" w:lineRule="exact"/>
              <w:rPr>
                <w:sz w:val="20"/>
                <w:szCs w:val="20"/>
                <w:color w:val="auto"/>
              </w:rPr>
            </w:pPr>
            <w:r>
              <w:rPr>
                <w:rFonts w:ascii="Times New Roman" w:cs="Times New Roman" w:eastAsia="Times New Roman" w:hAnsi="Times New Roman"/>
                <w:sz w:val="18"/>
                <w:szCs w:val="18"/>
                <w:color w:val="auto"/>
                <w:w w:val="99"/>
              </w:rPr>
              <w:t>1,269,317</w:t>
            </w:r>
            <w:r>
              <w:rPr>
                <w:rFonts w:ascii="Times New Roman" w:cs="Times New Roman" w:eastAsia="Times New Roman" w:hAnsi="Times New Roman"/>
                <w:sz w:val="26"/>
                <w:szCs w:val="26"/>
                <w:color w:val="auto"/>
                <w:w w:val="99"/>
                <w:vertAlign w:val="superscript"/>
              </w:rPr>
              <w:t>(4)</w:t>
            </w:r>
          </w:p>
        </w:tc>
        <w:tc>
          <w:tcPr>
            <w:tcW w:w="0" w:type="dxa"/>
            <w:vAlign w:val="bottom"/>
          </w:tcPr>
          <w:p>
            <w:pPr>
              <w:spacing w:after="0"/>
              <w:rPr>
                <w:sz w:val="1"/>
                <w:szCs w:val="1"/>
                <w:color w:val="auto"/>
              </w:rPr>
            </w:pPr>
          </w:p>
        </w:tc>
      </w:tr>
      <w:tr>
        <w:trPr>
          <w:trHeight w:val="239"/>
        </w:trPr>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Equity compensation plans not approved by security holders</w:t>
            </w:r>
          </w:p>
        </w:tc>
        <w:tc>
          <w:tcPr>
            <w:tcW w:w="23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7"/>
        </w:trPr>
        <w:tc>
          <w:tcPr>
            <w:tcW w:w="5420" w:type="dxa"/>
            <w:vAlign w:val="bottom"/>
            <w:gridSpan w:val="3"/>
            <w:shd w:val="clear" w:color="auto" w:fill="F2F2F2"/>
          </w:tcPr>
          <w:p>
            <w:pPr>
              <w:spacing w:after="0"/>
              <w:rPr>
                <w:sz w:val="20"/>
                <w:szCs w:val="20"/>
                <w:color w:val="auto"/>
              </w:rPr>
            </w:pPr>
            <w:r>
              <w:rPr>
                <w:rFonts w:ascii="Times New Roman" w:cs="Times New Roman" w:eastAsia="Times New Roman" w:hAnsi="Times New Roman"/>
                <w:sz w:val="18"/>
                <w:szCs w:val="18"/>
                <w:color w:val="auto"/>
              </w:rPr>
              <w:t>  Total</w:t>
            </w:r>
          </w:p>
        </w:tc>
        <w:tc>
          <w:tcPr>
            <w:tcW w:w="2140" w:type="dxa"/>
            <w:vAlign w:val="bottom"/>
            <w:shd w:val="clear" w:color="auto" w:fill="F2F2F2"/>
          </w:tcPr>
          <w:p>
            <w:pPr>
              <w:ind w:left="740"/>
              <w:spacing w:after="0"/>
              <w:rPr>
                <w:sz w:val="20"/>
                <w:szCs w:val="20"/>
                <w:color w:val="auto"/>
              </w:rPr>
            </w:pPr>
            <w:r>
              <w:rPr>
                <w:rFonts w:ascii="Times New Roman" w:cs="Times New Roman" w:eastAsia="Times New Roman" w:hAnsi="Times New Roman"/>
                <w:sz w:val="18"/>
                <w:szCs w:val="18"/>
                <w:color w:val="auto"/>
              </w:rPr>
              <w:t>5,820,680</w:t>
            </w:r>
          </w:p>
        </w:tc>
        <w:tc>
          <w:tcPr>
            <w:tcW w:w="200" w:type="dxa"/>
            <w:vAlign w:val="bottom"/>
            <w:shd w:val="clear" w:color="auto" w:fill="F2F2F2"/>
          </w:tcPr>
          <w:p>
            <w:pPr>
              <w:spacing w:after="0"/>
              <w:rPr>
                <w:sz w:val="21"/>
                <w:szCs w:val="21"/>
                <w:color w:val="auto"/>
              </w:rPr>
            </w:pPr>
          </w:p>
        </w:tc>
        <w:tc>
          <w:tcPr>
            <w:tcW w:w="1600" w:type="dxa"/>
            <w:vAlign w:val="bottom"/>
            <w:shd w:val="clear" w:color="auto" w:fill="F2F2F2"/>
          </w:tcPr>
          <w:p>
            <w:pPr>
              <w:ind w:left="600"/>
              <w:spacing w:after="0"/>
              <w:rPr>
                <w:sz w:val="20"/>
                <w:szCs w:val="20"/>
                <w:color w:val="auto"/>
              </w:rPr>
            </w:pPr>
            <w:r>
              <w:rPr>
                <w:rFonts w:ascii="Times New Roman" w:cs="Times New Roman" w:eastAsia="Times New Roman" w:hAnsi="Times New Roman"/>
                <w:sz w:val="18"/>
                <w:szCs w:val="18"/>
                <w:color w:val="auto"/>
              </w:rPr>
              <w:t>$3.17</w:t>
            </w:r>
          </w:p>
        </w:tc>
        <w:tc>
          <w:tcPr>
            <w:tcW w:w="200" w:type="dxa"/>
            <w:vAlign w:val="bottom"/>
            <w:shd w:val="clear" w:color="auto" w:fill="F2F2F2"/>
          </w:tcPr>
          <w:p>
            <w:pPr>
              <w:spacing w:after="0"/>
              <w:rPr>
                <w:sz w:val="21"/>
                <w:szCs w:val="21"/>
                <w:color w:val="auto"/>
              </w:rPr>
            </w:pPr>
          </w:p>
        </w:tc>
        <w:tc>
          <w:tcPr>
            <w:tcW w:w="1460" w:type="dxa"/>
            <w:vAlign w:val="bottom"/>
            <w:shd w:val="clear" w:color="auto" w:fill="F2F2F2"/>
          </w:tcPr>
          <w:p>
            <w:pPr>
              <w:ind w:left="520"/>
              <w:spacing w:after="0"/>
              <w:rPr>
                <w:sz w:val="20"/>
                <w:szCs w:val="20"/>
                <w:color w:val="auto"/>
              </w:rPr>
            </w:pPr>
            <w:r>
              <w:rPr>
                <w:rFonts w:ascii="Times New Roman" w:cs="Times New Roman" w:eastAsia="Times New Roman" w:hAnsi="Times New Roman"/>
                <w:sz w:val="18"/>
                <w:szCs w:val="18"/>
                <w:color w:val="auto"/>
              </w:rPr>
              <w:t>1,269,317</w:t>
            </w:r>
          </w:p>
        </w:tc>
        <w:tc>
          <w:tcPr>
            <w:tcW w:w="0" w:type="dxa"/>
            <w:vAlign w:val="bottom"/>
          </w:tcPr>
          <w:p>
            <w:pPr>
              <w:spacing w:after="0"/>
              <w:rPr>
                <w:sz w:val="1"/>
                <w:szCs w:val="1"/>
                <w:color w:val="auto"/>
              </w:rPr>
            </w:pPr>
          </w:p>
        </w:tc>
      </w:tr>
      <w:tr>
        <w:trPr>
          <w:trHeight w:val="148"/>
        </w:trPr>
        <w:tc>
          <w:tcPr>
            <w:tcW w:w="4080" w:type="dxa"/>
            <w:vAlign w:val="bottom"/>
            <w:tcBorders>
              <w:bottom w:val="single" w:sz="8" w:color="auto"/>
            </w:tcBorders>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980" w:right="200" w:hanging="432"/>
        <w:spacing w:after="0" w:line="267" w:lineRule="auto"/>
        <w:tabs>
          <w:tab w:leader="none" w:pos="9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2006 Employee, Director and Consultant Stock Plan (2006 Incentive Plan), the 2016 Equity Incentive Plan (2016 Incentive Plan), the 2020 Equity Incentive Plan (2020 Incentive Plan), the 2020 Employee Stock Purchase Plan (ESPP), the 2011 Second Amended and Restated Bonus-to-Options Program and the 2015 Third Amended and Restated Bonus-to-Options Program.</w:t>
      </w:r>
    </w:p>
    <w:p>
      <w:pPr>
        <w:spacing w:after="0" w:line="1" w:lineRule="exact"/>
        <w:rPr>
          <w:rFonts w:ascii="Times New Roman" w:cs="Times New Roman" w:eastAsia="Times New Roman" w:hAnsi="Times New Roman"/>
          <w:sz w:val="16"/>
          <w:szCs w:val="16"/>
          <w:color w:val="auto"/>
        </w:rPr>
      </w:pPr>
    </w:p>
    <w:p>
      <w:pPr>
        <w:ind w:left="980" w:right="760" w:hanging="432"/>
        <w:spacing w:after="0" w:line="264" w:lineRule="auto"/>
        <w:tabs>
          <w:tab w:leader="none" w:pos="9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79,104 RSUs that were outstanding on December 31, 2023 under the 2016 Incentive Plan and 2,649,951 RSUs that were outstanding on December 31, 2023 under the 2020 Incentive Plan. RSU awards may be settled only for shares of common stock on a one-for-one basis.</w:t>
      </w:r>
    </w:p>
    <w:p>
      <w:pPr>
        <w:ind w:left="980" w:hanging="432"/>
        <w:spacing w:after="0"/>
        <w:tabs>
          <w:tab w:leader="none" w:pos="9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Only option awards were used in computing the weighted-average exercise price.</w:t>
      </w:r>
    </w:p>
    <w:p>
      <w:pPr>
        <w:spacing w:after="0" w:line="18" w:lineRule="exact"/>
        <w:rPr>
          <w:rFonts w:ascii="Times New Roman" w:cs="Times New Roman" w:eastAsia="Times New Roman" w:hAnsi="Times New Roman"/>
          <w:sz w:val="16"/>
          <w:szCs w:val="16"/>
          <w:color w:val="auto"/>
        </w:rPr>
      </w:pPr>
    </w:p>
    <w:p>
      <w:pPr>
        <w:ind w:left="980" w:right="20" w:hanging="432"/>
        <w:spacing w:after="0" w:line="267" w:lineRule="auto"/>
        <w:tabs>
          <w:tab w:leader="none" w:pos="9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amount represents 960,305 shares of common stock available for issuance under the 2020 Incentive Plan and 309,012 shares of common stock available for issuance under the ESPP, 216,506 of which were subject to purchase under the offering period in effect as of December 31, 2023, which offering period ended on February 29, 2024. Awards available for grant under the Company’s 2020 Incentive Plan include stock options, stock appreciation rights, restricted stock, RSUs, other stock awards, performance awards, and any combination of the foregoing awards. The number of shares of our common stock reserved for issuance under our 2020 Incentive Plan will automatically increase on the first day of each fiscal year by 4% of the number of shares of common stock outstanding on the immediately preceding December 31 or such lesser amount as is determined by our board of directors. The ESPP provides the opportunity for eligible coworkers to acquire shares of our common stock at a discount. The number of shares of our common stock reserved for issuance under our ESPP will automatically increase on the first day of each fiscal year by the lesser of 1% of the number of shares of common stock outstanding on the immediately preceding December 31, 338,106 shares of our common stock or such lesser amount as is determined by our board of directors.</w:t>
      </w:r>
    </w:p>
    <w:p>
      <w:pPr>
        <w:spacing w:after="0" w:line="328"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Arial" w:cs="Arial" w:eastAsia="Arial" w:hAnsi="Arial"/>
                <w:sz w:val="14"/>
                <w:szCs w:val="14"/>
                <w:b w:val="1"/>
                <w:bCs w:val="1"/>
                <w:color w:val="305494"/>
              </w:rPr>
              <w:t>2024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305494"/>
              </w:rPr>
              <w:t>22</w:t>
            </w:r>
          </w:p>
        </w:tc>
      </w:tr>
    </w:tbl>
    <w:p>
      <w:pPr>
        <w:sectPr>
          <w:pgSz w:w="11900" w:h="16838" w:orient="portrait"/>
          <w:cols w:equalWidth="0" w:num="1">
            <w:col w:w="11140"/>
          </w:cols>
          <w:pgMar w:left="320" w:top="455"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0"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9"/>
          <w:szCs w:val="29"/>
          <w:b w:val="1"/>
          <w:bCs w:val="1"/>
          <w:color w:val="305494"/>
        </w:rPr>
        <w:t>DIRECTOR COMPENSATION</w:t>
      </w:r>
    </w:p>
    <w:p>
      <w:pPr>
        <w:spacing w:after="0" w:line="2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305494"/>
        </w:rPr>
        <w:t>Non-Employee Director Compensation Policy</w:t>
      </w:r>
    </w:p>
    <w:p>
      <w:pPr>
        <w:spacing w:after="0" w:line="122" w:lineRule="exact"/>
        <w:rPr>
          <w:sz w:val="20"/>
          <w:szCs w:val="20"/>
          <w:color w:val="auto"/>
        </w:rPr>
      </w:pPr>
    </w:p>
    <w:p>
      <w:pPr>
        <w:ind w:left="120" w:firstLine="991"/>
        <w:spacing w:after="0" w:line="282" w:lineRule="auto"/>
        <w:rPr>
          <w:sz w:val="20"/>
          <w:szCs w:val="20"/>
          <w:color w:val="auto"/>
        </w:rPr>
      </w:pPr>
      <w:r>
        <w:rPr>
          <w:rFonts w:ascii="Times New Roman" w:cs="Times New Roman" w:eastAsia="Times New Roman" w:hAnsi="Times New Roman"/>
          <w:sz w:val="18"/>
          <w:szCs w:val="18"/>
          <w:color w:val="auto"/>
        </w:rPr>
        <w:t>The following summarizes our non-employee director compensation policy, which was amended in the first quarter of 2023. Our employee director receives no additional compensation for service on our board of directors.</w:t>
      </w:r>
    </w:p>
    <w:p>
      <w:pPr>
        <w:spacing w:after="0" w:line="54" w:lineRule="exact"/>
        <w:rPr>
          <w:sz w:val="20"/>
          <w:szCs w:val="20"/>
          <w:color w:val="auto"/>
        </w:rPr>
      </w:pPr>
    </w:p>
    <w:p>
      <w:pPr>
        <w:ind w:left="840" w:hanging="147"/>
        <w:spacing w:after="0"/>
        <w:tabs>
          <w:tab w:leader="none" w:pos="840" w:val="left"/>
        </w:tabs>
        <w:numPr>
          <w:ilvl w:val="0"/>
          <w:numId w:val="23"/>
        </w:numPr>
        <w:rPr>
          <w:rFonts w:ascii="Times New Roman" w:cs="Times New Roman" w:eastAsia="Times New Roman" w:hAnsi="Times New Roman"/>
          <w:sz w:val="18"/>
          <w:szCs w:val="18"/>
          <w:color w:val="305494"/>
        </w:rPr>
      </w:pPr>
      <w:r>
        <w:rPr>
          <w:rFonts w:ascii="Times New Roman" w:cs="Times New Roman" w:eastAsia="Times New Roman" w:hAnsi="Times New Roman"/>
          <w:sz w:val="18"/>
          <w:szCs w:val="18"/>
          <w:u w:val="single" w:color="auto"/>
          <w:color w:val="auto"/>
        </w:rPr>
        <w:t>Annual Retainers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305494"/>
        </w:rPr>
      </w:pPr>
    </w:p>
    <w:p>
      <w:pPr>
        <w:ind w:left="1420" w:right="80" w:hanging="432"/>
        <w:spacing w:after="0" w:line="253" w:lineRule="auto"/>
        <w:rPr>
          <w:rFonts w:ascii="Times New Roman" w:cs="Times New Roman" w:eastAsia="Times New Roman" w:hAnsi="Times New Roman"/>
          <w:sz w:val="18"/>
          <w:szCs w:val="18"/>
          <w:color w:val="305494"/>
        </w:rPr>
      </w:pPr>
      <w:r>
        <w:rPr>
          <w:rFonts w:ascii="Times New Roman" w:cs="Times New Roman" w:eastAsia="Times New Roman" w:hAnsi="Times New Roman"/>
          <w:sz w:val="18"/>
          <w:szCs w:val="18"/>
          <w:color w:val="auto"/>
        </w:rPr>
        <w:t>–Each non-employee director was entitled to a retainer in the amount of $10,000 for the period of January 1, 2023 to March 31, 2023, and the Audit Committee Chair, Compensation Committee Chair, and Nominating and Corporate Governance Committee Chair were entitled to an additional retainer in the amount of $5,000, $3,750 and $2,500, respectively, for such period. Non-employee directors elected to receive this retainer in the form of RSUs, which were granted on January 3, 2023, valued based on the closing price of our common stock on the date of grant, and vested on March 31, 2023. If a non-employee director became a director after January 1, 2023, his or her RSU grant was prorated based on the period of the non-employee director’ service on our board during the quarter. The closing price of our common stock on January 3, 2023 was $2.05. Based on this price, it was determined that each non-employee director other than Mr. Kennedy was entitled to a grant of 4,878 RSUs. In addition, the Audit Committee Chair, Compensation Committee Chair, and Nominating and Corporate Governance Committee Chair were entitled to a grant of 2,439 RSUs, 1,829 RSUs, and 1,219 RSUs, respectively. Mr. Kennedy received a prorated grant of 4,769 RSUs based on the closing price of our common stock on January 3, 2023.</w:t>
      </w:r>
    </w:p>
    <w:p>
      <w:pPr>
        <w:spacing w:after="0" w:line="97" w:lineRule="exact"/>
        <w:rPr>
          <w:rFonts w:ascii="Times New Roman" w:cs="Times New Roman" w:eastAsia="Times New Roman" w:hAnsi="Times New Roman"/>
          <w:sz w:val="18"/>
          <w:szCs w:val="18"/>
          <w:color w:val="305494"/>
        </w:rPr>
      </w:pPr>
    </w:p>
    <w:p>
      <w:pPr>
        <w:ind w:left="1420" w:right="300" w:hanging="432"/>
        <w:spacing w:after="0" w:line="282" w:lineRule="auto"/>
        <w:rPr>
          <w:rFonts w:ascii="Times New Roman" w:cs="Times New Roman" w:eastAsia="Times New Roman" w:hAnsi="Times New Roman"/>
          <w:sz w:val="18"/>
          <w:szCs w:val="18"/>
          <w:color w:val="305494"/>
        </w:rPr>
      </w:pPr>
      <w:r>
        <w:rPr>
          <w:rFonts w:ascii="Times New Roman" w:cs="Times New Roman" w:eastAsia="Times New Roman" w:hAnsi="Times New Roman"/>
          <w:sz w:val="18"/>
          <w:szCs w:val="18"/>
          <w:color w:val="auto"/>
        </w:rPr>
        <w:t>–For service from April 1, 2023 to March 31, 2024, each non-employee director is entitled to receive annual retainers in the amount summarized in the table below.</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94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Annual Cash Retainer</w:t>
            </w:r>
          </w:p>
        </w:tc>
      </w:tr>
      <w:tr>
        <w:trPr>
          <w:trHeight w:val="21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Board Member</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96"/>
              </w:rPr>
              <w:t>40,000</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Chair of the Board of Directors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Committee Chairs:</w:t>
            </w:r>
          </w:p>
        </w:tc>
        <w:tc>
          <w:tcPr>
            <w:tcW w:w="7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Audit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96"/>
              </w:rPr>
              <w:t>20,000</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96"/>
              </w:rPr>
              <w:t>15,000</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Nominating and Corporate Governance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96"/>
              </w:rPr>
              <w:t>10,000</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Committee Members:</w:t>
            </w:r>
          </w:p>
        </w:tc>
        <w:tc>
          <w:tcPr>
            <w:tcW w:w="7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Audit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Nominating and Corporate Governance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0</w:t>
            </w:r>
          </w:p>
        </w:tc>
      </w:tr>
    </w:tbl>
    <w:p>
      <w:pPr>
        <w:spacing w:after="0" w:line="206" w:lineRule="exact"/>
        <w:rPr>
          <w:sz w:val="20"/>
          <w:szCs w:val="20"/>
          <w:color w:val="auto"/>
        </w:rPr>
      </w:pPr>
    </w:p>
    <w:p>
      <w:pPr>
        <w:ind w:left="1420" w:right="40" w:hanging="432"/>
        <w:spacing w:after="0" w:line="255" w:lineRule="auto"/>
        <w:rPr>
          <w:sz w:val="20"/>
          <w:szCs w:val="20"/>
          <w:color w:val="auto"/>
        </w:rPr>
      </w:pPr>
      <w:r>
        <w:rPr>
          <w:rFonts w:ascii="Times New Roman" w:cs="Times New Roman" w:eastAsia="Times New Roman" w:hAnsi="Times New Roman"/>
          <w:sz w:val="18"/>
          <w:szCs w:val="18"/>
          <w:color w:val="auto"/>
        </w:rPr>
        <w:t>–For service from April 1, 2023 to March 31, 2024, non-employee directors could elect to receive annual retainers in cash or equity, or a mixture of 50% cash and 50% equity. Annual retainers paid in cash would be paid in equal quarterly installments, in arrears following the end of each quarter in which the service was performed. Equity grants made in respect of annual retainers could have been in the form of stock options or RSUs, or an equal mixture of stock options and RSUs, were granted as of the date of our 2023 annual meeting of stockholders, were valued based on the average price of our common stock over a 90-day period preceding the date of grant, and vested on March 31, 2024. If a non-employee director became a director after April 1, 2023, his or her annual retainers were pro-rated based on the period of the non-employee director’s service on our board of directors during the year.</w:t>
      </w:r>
    </w:p>
    <w:p>
      <w:pPr>
        <w:spacing w:after="0" w:line="94" w:lineRule="exact"/>
        <w:rPr>
          <w:sz w:val="20"/>
          <w:szCs w:val="20"/>
          <w:color w:val="auto"/>
        </w:rPr>
      </w:pPr>
    </w:p>
    <w:p>
      <w:pPr>
        <w:ind w:left="1420" w:right="220" w:hanging="432"/>
        <w:spacing w:after="0" w:line="266" w:lineRule="auto"/>
        <w:rPr>
          <w:sz w:val="20"/>
          <w:szCs w:val="20"/>
          <w:color w:val="auto"/>
        </w:rPr>
      </w:pPr>
      <w:r>
        <w:rPr>
          <w:rFonts w:ascii="Times New Roman" w:cs="Times New Roman" w:eastAsia="Times New Roman" w:hAnsi="Times New Roman"/>
          <w:sz w:val="18"/>
          <w:szCs w:val="18"/>
          <w:color w:val="auto"/>
        </w:rPr>
        <w:t>–For service from April 1, 2023 to March 31, 2024, all of our non-employee directors elected to receive their annual retainers with respect to service on our board of directors or any of its committees in the form of RSUs. The average closing price of our common stock for the 90-day</w:t>
      </w:r>
    </w:p>
    <w:p>
      <w:pPr>
        <w:spacing w:after="0" w:line="117"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Arial" w:cs="Arial" w:eastAsia="Arial" w:hAnsi="Arial"/>
                <w:sz w:val="14"/>
                <w:szCs w:val="14"/>
                <w:b w:val="1"/>
                <w:bCs w:val="1"/>
                <w:color w:val="305494"/>
              </w:rPr>
              <w:t>2024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305494"/>
              </w:rPr>
              <w:t>23</w:t>
            </w:r>
          </w:p>
        </w:tc>
      </w:tr>
    </w:tbl>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420" w:right="100"/>
        <w:spacing w:after="0" w:line="261" w:lineRule="auto"/>
        <w:rPr>
          <w:sz w:val="20"/>
          <w:szCs w:val="20"/>
          <w:color w:val="auto"/>
        </w:rPr>
      </w:pPr>
      <w:r>
        <w:rPr>
          <w:rFonts w:ascii="Times New Roman" w:cs="Times New Roman" w:eastAsia="Times New Roman" w:hAnsi="Times New Roman"/>
          <w:sz w:val="18"/>
          <w:szCs w:val="18"/>
          <w:color w:val="auto"/>
        </w:rPr>
        <w:t>period beginning on February 22, 2023 and ending on May 22, 2023 was $1.73. Based on this price, it was determined that each non-employee director was entitled to a grant of 23,099 RSUs. In addition, the Audit Committee Chair, Compensation Committee Chair, and Nominating and Corporate Governance Committee Chair were entitled to a grant of 11,549 RSUs, 8,662 RSUs, and 5,774 RSUs, respectively.</w:t>
      </w:r>
    </w:p>
    <w:p>
      <w:pPr>
        <w:spacing w:after="0" w:line="72" w:lineRule="exact"/>
        <w:rPr>
          <w:sz w:val="20"/>
          <w:szCs w:val="20"/>
          <w:color w:val="auto"/>
        </w:rPr>
      </w:pPr>
    </w:p>
    <w:p>
      <w:pPr>
        <w:ind w:left="840" w:hanging="147"/>
        <w:spacing w:after="0"/>
        <w:tabs>
          <w:tab w:leader="none" w:pos="840" w:val="left"/>
        </w:tabs>
        <w:numPr>
          <w:ilvl w:val="0"/>
          <w:numId w:val="25"/>
        </w:numPr>
        <w:rPr>
          <w:rFonts w:ascii="Times New Roman" w:cs="Times New Roman" w:eastAsia="Times New Roman" w:hAnsi="Times New Roman"/>
          <w:sz w:val="18"/>
          <w:szCs w:val="18"/>
          <w:color w:val="305494"/>
        </w:rPr>
      </w:pPr>
      <w:r>
        <w:rPr>
          <w:rFonts w:ascii="Times New Roman" w:cs="Times New Roman" w:eastAsia="Times New Roman" w:hAnsi="Times New Roman"/>
          <w:sz w:val="18"/>
          <w:szCs w:val="18"/>
          <w:u w:val="single" w:color="auto"/>
          <w:color w:val="auto"/>
        </w:rPr>
        <w:t>Equity Compensation</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305494"/>
        </w:rPr>
      </w:pPr>
    </w:p>
    <w:p>
      <w:pPr>
        <w:ind w:left="1420" w:right="160" w:hanging="432"/>
        <w:spacing w:after="0" w:line="258" w:lineRule="auto"/>
        <w:rPr>
          <w:rFonts w:ascii="Times New Roman" w:cs="Times New Roman" w:eastAsia="Times New Roman" w:hAnsi="Times New Roman"/>
          <w:sz w:val="18"/>
          <w:szCs w:val="18"/>
          <w:color w:val="305494"/>
        </w:rPr>
      </w:pPr>
      <w:r>
        <w:rPr>
          <w:rFonts w:ascii="Times New Roman" w:cs="Times New Roman" w:eastAsia="Times New Roman" w:hAnsi="Times New Roman"/>
          <w:sz w:val="18"/>
          <w:szCs w:val="18"/>
          <w:color w:val="auto"/>
        </w:rPr>
        <w:t>–Upon appointment to our board of directors, each non-employee director is entitled to receive an initial stock option grant having a Black Scholes value of $187,500, determined as of the date of grant based on the average price of our common stock over a 90-day period preceding the date of grant, with 40% vesting on the two-year anniversary of the grant date and the remainder vesting ratably on each subsequent monthly anniversary of the grant date for 36 months, subject to such director’s continuous service through each applicable vesting date.</w:t>
      </w:r>
    </w:p>
    <w:p>
      <w:pPr>
        <w:spacing w:after="0" w:line="88" w:lineRule="exact"/>
        <w:rPr>
          <w:rFonts w:ascii="Times New Roman" w:cs="Times New Roman" w:eastAsia="Times New Roman" w:hAnsi="Times New Roman"/>
          <w:sz w:val="18"/>
          <w:szCs w:val="18"/>
          <w:color w:val="305494"/>
        </w:rPr>
      </w:pPr>
    </w:p>
    <w:p>
      <w:pPr>
        <w:ind w:left="1420" w:right="300" w:hanging="432"/>
        <w:spacing w:after="0" w:line="266" w:lineRule="auto"/>
        <w:rPr>
          <w:rFonts w:ascii="Times New Roman" w:cs="Times New Roman" w:eastAsia="Times New Roman" w:hAnsi="Times New Roman"/>
          <w:sz w:val="18"/>
          <w:szCs w:val="18"/>
          <w:color w:val="305494"/>
        </w:rPr>
      </w:pPr>
      <w:r>
        <w:rPr>
          <w:rFonts w:ascii="Times New Roman" w:cs="Times New Roman" w:eastAsia="Times New Roman" w:hAnsi="Times New Roman"/>
          <w:sz w:val="18"/>
          <w:szCs w:val="18"/>
          <w:color w:val="auto"/>
        </w:rPr>
        <w:t>–Upon appointment to our board of directors, each non-employee director is also entitled to receive an initial RSU grant valued at $187,500 as of the date of grant based on the average price of our common stock over a 90-day period preceding the date of grant, which will vest on the one-year anniversary of the grant date subject to such director’s continuous service through such date.</w:t>
      </w:r>
    </w:p>
    <w:p>
      <w:pPr>
        <w:spacing w:after="0" w:line="81" w:lineRule="exact"/>
        <w:rPr>
          <w:rFonts w:ascii="Times New Roman" w:cs="Times New Roman" w:eastAsia="Times New Roman" w:hAnsi="Times New Roman"/>
          <w:sz w:val="18"/>
          <w:szCs w:val="18"/>
          <w:color w:val="305494"/>
        </w:rPr>
      </w:pPr>
    </w:p>
    <w:p>
      <w:pPr>
        <w:ind w:left="1420" w:right="120" w:hanging="432"/>
        <w:spacing w:after="0" w:line="261" w:lineRule="auto"/>
        <w:rPr>
          <w:rFonts w:ascii="Times New Roman" w:cs="Times New Roman" w:eastAsia="Times New Roman" w:hAnsi="Times New Roman"/>
          <w:sz w:val="18"/>
          <w:szCs w:val="18"/>
          <w:color w:val="305494"/>
        </w:rPr>
      </w:pPr>
      <w:r>
        <w:rPr>
          <w:rFonts w:ascii="Times New Roman" w:cs="Times New Roman" w:eastAsia="Times New Roman" w:hAnsi="Times New Roman"/>
          <w:sz w:val="18"/>
          <w:szCs w:val="18"/>
          <w:color w:val="auto"/>
        </w:rPr>
        <w:t>–In January of 2023, each of Ms. Franchi, Drs. Kayyem, Strobeck and Watts, and Messrs. Massarany, Patience and Schuler received a grant of 62,500 RSUs, with a grant date value of $143,750, in respect of the portion of their annual RSU grant for 2022 that was not made because there were not sufficient shares available under the 2020 Incentive Plan to make such grants as of the date of the 2022 annual meeting of stockholders. The awards vested on March 31, 2023, at the time that all 2022 annual RSU awards vested.</w:t>
      </w:r>
    </w:p>
    <w:p>
      <w:pPr>
        <w:spacing w:after="0" w:line="85" w:lineRule="exact"/>
        <w:rPr>
          <w:rFonts w:ascii="Times New Roman" w:cs="Times New Roman" w:eastAsia="Times New Roman" w:hAnsi="Times New Roman"/>
          <w:sz w:val="18"/>
          <w:szCs w:val="18"/>
          <w:color w:val="305494"/>
        </w:rPr>
      </w:pPr>
    </w:p>
    <w:p>
      <w:pPr>
        <w:ind w:left="1420" w:right="20" w:hanging="432"/>
        <w:spacing w:after="0" w:line="253" w:lineRule="auto"/>
        <w:rPr>
          <w:rFonts w:ascii="Times New Roman" w:cs="Times New Roman" w:eastAsia="Times New Roman" w:hAnsi="Times New Roman"/>
          <w:sz w:val="18"/>
          <w:szCs w:val="18"/>
          <w:color w:val="305494"/>
        </w:rPr>
      </w:pPr>
      <w:r>
        <w:rPr>
          <w:rFonts w:ascii="Times New Roman" w:cs="Times New Roman" w:eastAsia="Times New Roman" w:hAnsi="Times New Roman"/>
          <w:sz w:val="18"/>
          <w:szCs w:val="18"/>
          <w:color w:val="auto"/>
        </w:rPr>
        <w:t>–For service from April 1, 2023 to March 31, 2024, each non-employee director continuing his or her service on our board of directors following the annual meeting of stockholders was entitled to receive an annual RSU grant valued at $192,500 as of the date of the 2023 annual meeting of stockholders, based on the average price of our common stock over the preceding 90 days, which vested on March 31, 2024, subject to such director’s continuous service through such date. The average closing price of our common stock for the 90-day period beginning on February 22, 2023 and ending on May 22, 2023 was $1.73. Based on this price, it was determined that each non-employee director was entitled to a grant of 111,164 RSUs, but there were not sufficient shares available under the 2020 Incentive Plan as of such date to make such grants. The board of directors therefore granted 5,774 RSUs to each non-employee director on May 23, 2023, with a grant date value of $6,756, and granted the remaining 105,389 RSUs to each non-employee director on January 1, 2024, with a grant date value of $193,916 after the number of shares of our common stock reserved for issuance under the 2020 Incentive Plan automatically increased in accordance with such plan’s terms.</w:t>
      </w:r>
    </w:p>
    <w:p>
      <w:pPr>
        <w:spacing w:after="0" w:line="99" w:lineRule="exact"/>
        <w:rPr>
          <w:rFonts w:ascii="Times New Roman" w:cs="Times New Roman" w:eastAsia="Times New Roman" w:hAnsi="Times New Roman"/>
          <w:sz w:val="18"/>
          <w:szCs w:val="18"/>
          <w:color w:val="305494"/>
        </w:rPr>
      </w:pPr>
    </w:p>
    <w:p>
      <w:pPr>
        <w:ind w:left="1420" w:hanging="432"/>
        <w:spacing w:after="0" w:line="261" w:lineRule="auto"/>
        <w:rPr>
          <w:rFonts w:ascii="Times New Roman" w:cs="Times New Roman" w:eastAsia="Times New Roman" w:hAnsi="Times New Roman"/>
          <w:sz w:val="18"/>
          <w:szCs w:val="18"/>
          <w:color w:val="305494"/>
        </w:rPr>
      </w:pPr>
      <w:r>
        <w:rPr>
          <w:rFonts w:ascii="Times New Roman" w:cs="Times New Roman" w:eastAsia="Times New Roman" w:hAnsi="Times New Roman"/>
          <w:sz w:val="18"/>
          <w:szCs w:val="18"/>
          <w:color w:val="auto"/>
        </w:rPr>
        <w:t>–Notwithstanding the vesting schedules described above, each non-employee director who remains in continuous service until a change of control (as defined in our 2020 Incentive Plan) will become fully vested in all then-outstanding equity awards. In addition, annual equity grants and equity grants in respect of annual retainers will vest on a prorated basis in the event a director resigns or otherwise experiences a termination of service other than for cause.</w:t>
      </w:r>
    </w:p>
    <w:p>
      <w:pPr>
        <w:spacing w:after="0" w:line="71" w:lineRule="exact"/>
        <w:rPr>
          <w:rFonts w:ascii="Times New Roman" w:cs="Times New Roman" w:eastAsia="Times New Roman" w:hAnsi="Times New Roman"/>
          <w:sz w:val="18"/>
          <w:szCs w:val="18"/>
          <w:color w:val="305494"/>
        </w:rPr>
      </w:pPr>
    </w:p>
    <w:p>
      <w:pPr>
        <w:ind w:left="1000" w:right="400" w:hanging="307"/>
        <w:spacing w:after="0" w:line="282" w:lineRule="auto"/>
        <w:tabs>
          <w:tab w:leader="none" w:pos="850" w:val="left"/>
        </w:tabs>
        <w:numPr>
          <w:ilvl w:val="0"/>
          <w:numId w:val="25"/>
        </w:numPr>
        <w:rPr>
          <w:rFonts w:ascii="Times New Roman" w:cs="Times New Roman" w:eastAsia="Times New Roman" w:hAnsi="Times New Roman"/>
          <w:sz w:val="18"/>
          <w:szCs w:val="18"/>
          <w:color w:val="305494"/>
        </w:rPr>
      </w:pPr>
      <w:r>
        <w:rPr>
          <w:rFonts w:ascii="Times New Roman" w:cs="Times New Roman" w:eastAsia="Times New Roman" w:hAnsi="Times New Roman"/>
          <w:sz w:val="18"/>
          <w:szCs w:val="18"/>
          <w:u w:val="single" w:color="auto"/>
          <w:color w:val="auto"/>
        </w:rPr>
        <w:t>Expense Reimbursement</w:t>
      </w:r>
      <w:r>
        <w:rPr>
          <w:rFonts w:ascii="Times New Roman" w:cs="Times New Roman" w:eastAsia="Times New Roman" w:hAnsi="Times New Roman"/>
          <w:sz w:val="18"/>
          <w:szCs w:val="18"/>
          <w:color w:val="auto"/>
        </w:rPr>
        <w:t>: Our non-employee directors are also reimbursed for their reasonable out-of-pocket travel expenses to cover in-person attendance at and participation in board and committee meetings.</w:t>
      </w:r>
    </w:p>
    <w:p>
      <w:pPr>
        <w:spacing w:after="0" w:line="162" w:lineRule="exact"/>
        <w:rPr>
          <w:sz w:val="20"/>
          <w:szCs w:val="20"/>
          <w:color w:val="auto"/>
        </w:rPr>
      </w:pPr>
    </w:p>
    <w:p>
      <w:pPr>
        <w:jc w:val="both"/>
        <w:ind w:left="120" w:firstLine="991"/>
        <w:spacing w:after="0" w:line="266" w:lineRule="auto"/>
        <w:rPr>
          <w:sz w:val="20"/>
          <w:szCs w:val="20"/>
          <w:color w:val="auto"/>
        </w:rPr>
      </w:pPr>
      <w:r>
        <w:rPr>
          <w:rFonts w:ascii="Times New Roman" w:cs="Times New Roman" w:eastAsia="Times New Roman" w:hAnsi="Times New Roman"/>
          <w:sz w:val="18"/>
          <w:szCs w:val="18"/>
          <w:color w:val="auto"/>
        </w:rPr>
        <w:t>The non-employee director compensation policy was further amended effective as of April 1, 2024 to provide that non-employee directors may elect to receive annual retainers in cash or RSUs, or a mixture of cash and RSUs. In addition, initial equity grants to be made after the effective date and annual equity grants to be</w:t>
      </w:r>
    </w:p>
    <w:p>
      <w:pPr>
        <w:spacing w:after="0" w:line="117"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Arial" w:cs="Arial" w:eastAsia="Arial" w:hAnsi="Arial"/>
                <w:sz w:val="14"/>
                <w:szCs w:val="14"/>
                <w:b w:val="1"/>
                <w:bCs w:val="1"/>
                <w:color w:val="305494"/>
              </w:rPr>
              <w:t>2024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305494"/>
              </w:rPr>
              <w:t>24</w:t>
            </w:r>
          </w:p>
        </w:tc>
      </w:tr>
    </w:tbl>
    <w:p>
      <w:pPr>
        <w:sectPr>
          <w:pgSz w:w="11900" w:h="16838" w:orient="portrait"/>
          <w:cols w:equalWidth="0" w:num="1">
            <w:col w:w="11100"/>
          </w:cols>
          <w:pgMar w:left="320" w:top="455"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made as of the date of the 2024 annual meeting of stockholders will be a mixture of stock options and RSUs, and the number of shares subject to the stock options and RSUs will be limited by a maximum percentage of our outstanding common stock.</w:t>
      </w:r>
    </w:p>
    <w:p>
      <w:pPr>
        <w:spacing w:after="0" w:line="1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305494"/>
        </w:rPr>
        <w:t>Director Deferred Compensation Plan</w:t>
      </w:r>
    </w:p>
    <w:p>
      <w:pPr>
        <w:spacing w:after="0" w:line="12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On December 21, 2021, our compensation committee adopted the 2021 Non-Employee Director Deferred Compensation Plan (the Director Deferred Compensation Plan), an unfunded, non-qualified deferred compensation plan that allows our non-employee directors to defer RSU awards that they receive.</w:t>
      </w:r>
    </w:p>
    <w:p>
      <w:pPr>
        <w:spacing w:after="0" w:line="6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Any RSU deferred will be credited as deferred units to the non-employee director’s account as of the date on which it vests. Each deferred unit is credited with dividend equivalents equal to the dividends paid, if any, on our common stock, which are deemed reinvested in additional deferred units on the dividend payment date. Deferred units will be appropriately adjusted in the event of any change in our common stock through merger, consolidation, or otherwise; a stock dividend; or a stock split, combination or other change in our common stock.</w:t>
      </w:r>
    </w:p>
    <w:p>
      <w:pPr>
        <w:spacing w:after="0" w:line="7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Payments will be made in shares of our common stock equal to the number of deferred units credited to the director’s account, with a cash payment for any fractional deferred unit. A director may elect to receive deferred amounts in a lump sum within 90 days after either his or her separation from service or, alternatively the later of his or her separation from service or January 1 of a calendar year elected by the director which may not be more than 15 years after the calendar year in which the director’s initial deferral election under the Director Deferred Compensation Plan was made. Within 90 days following a non-employee director’s death, a lump sum equal to the then-remaining balance in his or her account will be made to his or her beneficiary. Within 10 business days after a change in control (as defined in our 2020 Incentive Plan) and to the extent permitted by federal tax law, each non-employee director (or former non-employee director) will receive a cash lump sum payment equal to the number of deferred units credited to his or her account on the date of the change in control, multiplied by the fair market value of one share of our common stock on such date. If payment within 10 business days following a change in control is not permitted by federal tax laws, then payment will be made at the time and in the form that payment would have been made if a change in control had not occurred.</w:t>
      </w:r>
    </w:p>
    <w:p>
      <w:pPr>
        <w:spacing w:after="0" w:line="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305494"/>
        </w:rPr>
        <w:t>2023 Director Compensation Table</w:t>
      </w:r>
    </w:p>
    <w:p>
      <w:pPr>
        <w:spacing w:after="0" w:line="122" w:lineRule="exact"/>
        <w:rPr>
          <w:sz w:val="20"/>
          <w:szCs w:val="20"/>
          <w:color w:val="auto"/>
        </w:rPr>
      </w:pPr>
    </w:p>
    <w:p>
      <w:pPr>
        <w:ind w:left="120" w:right="80" w:firstLine="440"/>
        <w:spacing w:after="0" w:line="273" w:lineRule="auto"/>
        <w:rPr>
          <w:sz w:val="20"/>
          <w:szCs w:val="20"/>
          <w:color w:val="auto"/>
        </w:rPr>
      </w:pPr>
      <w:r>
        <w:rPr>
          <w:rFonts w:ascii="Times New Roman" w:cs="Times New Roman" w:eastAsia="Times New Roman" w:hAnsi="Times New Roman"/>
          <w:sz w:val="17"/>
          <w:szCs w:val="17"/>
          <w:color w:val="auto"/>
        </w:rPr>
        <w:t>The following table sets forth information for the fiscal year ended December 31, 2023 regarding the compensation awarded to, earned by or paid to our non-employee directors. The compensation received by our non-employee directors in respect of annual retainers and annual equity grants for 2023 service was in the form of RSU awards. Each of Messrs. Schuler and Patience, and Drs. Kayyem and Watts received grants for a total of 96,251 RSUs. Dr. Strobeck received grants for a total of 103,244 RSUs. Mr. Massarany received grants for a total of 106,742 RSUs. Ms. Franchi received grants for a total of 110,239 RSUs. Mr. Kennedy received an initial stock option grant in respect of 124,998 shares of our common stock and an initial grant of 91,463 RSUs for his appointment to the board of directors on January 3, 2023. In addition, Mr. Kennedy received grants for a total of 56,281 RSUs throughout 2023. Mr. Hutton, our Chief Executive Officer, does not receive any separate compensation for his service on our board of directors.</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1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40" w:type="dxa"/>
            <w:vAlign w:val="bottom"/>
          </w:tcPr>
          <w:p>
            <w:pPr>
              <w:spacing w:after="0"/>
              <w:rPr>
                <w:sz w:val="13"/>
                <w:szCs w:val="13"/>
                <w:color w:val="auto"/>
              </w:rPr>
            </w:pPr>
          </w:p>
        </w:tc>
        <w:tc>
          <w:tcPr>
            <w:tcW w:w="7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1320" w:type="dxa"/>
            <w:vAlign w:val="bottom"/>
          </w:tcPr>
          <w:p>
            <w:pPr>
              <w:spacing w:after="0"/>
              <w:rPr>
                <w:sz w:val="15"/>
                <w:szCs w:val="15"/>
                <w:color w:val="auto"/>
              </w:rPr>
            </w:pPr>
          </w:p>
        </w:tc>
        <w:tc>
          <w:tcPr>
            <w:tcW w:w="3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60" w:type="dxa"/>
            <w:vAlign w:val="bottom"/>
          </w:tcPr>
          <w:p>
            <w:pPr>
              <w:spacing w:after="0"/>
              <w:rPr>
                <w:sz w:val="15"/>
                <w:szCs w:val="15"/>
                <w:color w:val="auto"/>
              </w:rPr>
            </w:pPr>
          </w:p>
        </w:tc>
        <w:tc>
          <w:tcPr>
            <w:tcW w:w="11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2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3200" w:type="dxa"/>
            <w:vAlign w:val="bottom"/>
            <w:tcBorders>
              <w:bottom w:val="single" w:sz="8" w:color="CCEEFF"/>
            </w:tcBorders>
            <w:vMerge w:val="continue"/>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6"/>
                <w:szCs w:val="16"/>
                <w:b w:val="1"/>
                <w:bCs w:val="1"/>
                <w:color w:val="auto"/>
                <w:vertAlign w:val="superscript"/>
              </w:rPr>
              <w:t>(1)</w:t>
            </w:r>
          </w:p>
        </w:tc>
        <w:tc>
          <w:tcPr>
            <w:tcW w:w="46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center"/>
              <w:ind w:right="96"/>
              <w:spacing w:after="0" w:line="142" w:lineRule="exact"/>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6"/>
                <w:szCs w:val="16"/>
                <w:b w:val="1"/>
                <w:bCs w:val="1"/>
                <w:color w:val="auto"/>
                <w:vertAlign w:val="superscript"/>
              </w:rPr>
              <w:t>(2)</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320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Jean Franchi</w:t>
            </w:r>
            <w:r>
              <w:rPr>
                <w:rFonts w:ascii="Times New Roman" w:cs="Times New Roman" w:eastAsia="Times New Roman" w:hAnsi="Times New Roman"/>
                <w:sz w:val="24"/>
                <w:szCs w:val="24"/>
                <w:color w:val="auto"/>
                <w:vertAlign w:val="superscript"/>
              </w:rPr>
              <w:t>(3)</w:t>
            </w:r>
          </w:p>
        </w:tc>
        <w:tc>
          <w:tcPr>
            <w:tcW w:w="206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$206,104</w:t>
            </w: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$ 206,104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2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Jon Faiz Kayyem, Ph.D</w:t>
            </w:r>
            <w:r>
              <w:rPr>
                <w:rFonts w:ascii="Times New Roman" w:cs="Times New Roman" w:eastAsia="Times New Roman" w:hAnsi="Times New Roman"/>
                <w:sz w:val="25"/>
                <w:szCs w:val="25"/>
                <w:color w:val="auto"/>
                <w:vertAlign w:val="superscript"/>
              </w:rPr>
              <w:t>(3)</w:t>
            </w:r>
          </w:p>
        </w:tc>
        <w:tc>
          <w:tcPr>
            <w:tcW w:w="3220" w:type="dxa"/>
            <w:vAlign w:val="bottom"/>
            <w:gridSpan w:val="3"/>
          </w:tcPr>
          <w:p>
            <w:pPr>
              <w:jc w:val="center"/>
              <w:ind w:left="1512"/>
              <w:spacing w:after="0"/>
              <w:rPr>
                <w:sz w:val="20"/>
                <w:szCs w:val="20"/>
                <w:color w:val="auto"/>
              </w:rPr>
            </w:pPr>
            <w:r>
              <w:rPr>
                <w:rFonts w:ascii="Times New Roman" w:cs="Times New Roman" w:eastAsia="Times New Roman" w:hAnsi="Times New Roman"/>
                <w:sz w:val="18"/>
                <w:szCs w:val="18"/>
                <w:color w:val="auto"/>
              </w:rPr>
              <w:t>$187,575</w:t>
            </w:r>
          </w:p>
        </w:tc>
        <w:tc>
          <w:tcPr>
            <w:tcW w:w="9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7"/>
              </w:rPr>
              <w:t>$ 187,575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2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Hany Massarany</w:t>
            </w:r>
            <w:r>
              <w:rPr>
                <w:rFonts w:ascii="Times New Roman" w:cs="Times New Roman" w:eastAsia="Times New Roman" w:hAnsi="Times New Roman"/>
                <w:sz w:val="25"/>
                <w:szCs w:val="25"/>
                <w:color w:val="auto"/>
                <w:vertAlign w:val="superscript"/>
              </w:rPr>
              <w:t>(3)</w:t>
            </w:r>
          </w:p>
        </w:tc>
        <w:tc>
          <w:tcPr>
            <w:tcW w:w="3220" w:type="dxa"/>
            <w:vAlign w:val="bottom"/>
            <w:gridSpan w:val="3"/>
            <w:shd w:val="clear" w:color="auto" w:fill="CCEEFF"/>
          </w:tcPr>
          <w:p>
            <w:pPr>
              <w:jc w:val="center"/>
              <w:ind w:left="1512"/>
              <w:spacing w:after="0"/>
              <w:rPr>
                <w:sz w:val="20"/>
                <w:szCs w:val="20"/>
                <w:color w:val="auto"/>
              </w:rPr>
            </w:pPr>
            <w:r>
              <w:rPr>
                <w:rFonts w:ascii="Times New Roman" w:cs="Times New Roman" w:eastAsia="Times New Roman" w:hAnsi="Times New Roman"/>
                <w:sz w:val="18"/>
                <w:szCs w:val="18"/>
                <w:color w:val="auto"/>
              </w:rPr>
              <w:t>$201,472</w:t>
            </w:r>
          </w:p>
        </w:tc>
        <w:tc>
          <w:tcPr>
            <w:tcW w:w="9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7"/>
              </w:rPr>
              <w:t>$ 201,472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2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John Patience</w:t>
            </w:r>
            <w:r>
              <w:rPr>
                <w:rFonts w:ascii="Times New Roman" w:cs="Times New Roman" w:eastAsia="Times New Roman" w:hAnsi="Times New Roman"/>
                <w:sz w:val="25"/>
                <w:szCs w:val="25"/>
                <w:color w:val="auto"/>
                <w:vertAlign w:val="superscript"/>
              </w:rPr>
              <w:t>(3)</w:t>
            </w:r>
          </w:p>
        </w:tc>
        <w:tc>
          <w:tcPr>
            <w:tcW w:w="3220" w:type="dxa"/>
            <w:vAlign w:val="bottom"/>
            <w:gridSpan w:val="3"/>
          </w:tcPr>
          <w:p>
            <w:pPr>
              <w:jc w:val="center"/>
              <w:ind w:left="1512"/>
              <w:spacing w:after="0"/>
              <w:rPr>
                <w:sz w:val="20"/>
                <w:szCs w:val="20"/>
                <w:color w:val="auto"/>
              </w:rPr>
            </w:pPr>
            <w:r>
              <w:rPr>
                <w:rFonts w:ascii="Times New Roman" w:cs="Times New Roman" w:eastAsia="Times New Roman" w:hAnsi="Times New Roman"/>
                <w:sz w:val="18"/>
                <w:szCs w:val="18"/>
                <w:color w:val="auto"/>
              </w:rPr>
              <w:t>$187,575</w:t>
            </w:r>
          </w:p>
        </w:tc>
        <w:tc>
          <w:tcPr>
            <w:tcW w:w="9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7"/>
              </w:rPr>
              <w:t>$ 187,575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2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Jack Schuler</w:t>
            </w:r>
            <w:r>
              <w:rPr>
                <w:rFonts w:ascii="Times New Roman" w:cs="Times New Roman" w:eastAsia="Times New Roman" w:hAnsi="Times New Roman"/>
                <w:sz w:val="25"/>
                <w:szCs w:val="25"/>
                <w:color w:val="auto"/>
                <w:vertAlign w:val="superscript"/>
              </w:rPr>
              <w:t>(3)</w:t>
            </w:r>
          </w:p>
        </w:tc>
        <w:tc>
          <w:tcPr>
            <w:tcW w:w="3220" w:type="dxa"/>
            <w:vAlign w:val="bottom"/>
            <w:gridSpan w:val="3"/>
            <w:shd w:val="clear" w:color="auto" w:fill="CCEEFF"/>
          </w:tcPr>
          <w:p>
            <w:pPr>
              <w:jc w:val="center"/>
              <w:ind w:left="1512"/>
              <w:spacing w:after="0"/>
              <w:rPr>
                <w:sz w:val="20"/>
                <w:szCs w:val="20"/>
                <w:color w:val="auto"/>
              </w:rPr>
            </w:pPr>
            <w:r>
              <w:rPr>
                <w:rFonts w:ascii="Times New Roman" w:cs="Times New Roman" w:eastAsia="Times New Roman" w:hAnsi="Times New Roman"/>
                <w:sz w:val="18"/>
                <w:szCs w:val="18"/>
                <w:color w:val="auto"/>
              </w:rPr>
              <w:t>$187,575</w:t>
            </w:r>
          </w:p>
        </w:tc>
        <w:tc>
          <w:tcPr>
            <w:tcW w:w="9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7"/>
              </w:rPr>
              <w:t>$ 187,575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2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Matthew Strobeck, Ph.D</w:t>
            </w:r>
            <w:r>
              <w:rPr>
                <w:rFonts w:ascii="Times New Roman" w:cs="Times New Roman" w:eastAsia="Times New Roman" w:hAnsi="Times New Roman"/>
                <w:sz w:val="25"/>
                <w:szCs w:val="25"/>
                <w:color w:val="auto"/>
                <w:vertAlign w:val="superscript"/>
              </w:rPr>
              <w:t>(3)</w:t>
            </w:r>
          </w:p>
        </w:tc>
        <w:tc>
          <w:tcPr>
            <w:tcW w:w="3220" w:type="dxa"/>
            <w:vAlign w:val="bottom"/>
            <w:gridSpan w:val="3"/>
          </w:tcPr>
          <w:p>
            <w:pPr>
              <w:jc w:val="center"/>
              <w:ind w:left="1512"/>
              <w:spacing w:after="0"/>
              <w:rPr>
                <w:sz w:val="20"/>
                <w:szCs w:val="20"/>
                <w:color w:val="auto"/>
              </w:rPr>
            </w:pPr>
            <w:r>
              <w:rPr>
                <w:rFonts w:ascii="Times New Roman" w:cs="Times New Roman" w:eastAsia="Times New Roman" w:hAnsi="Times New Roman"/>
                <w:sz w:val="18"/>
                <w:szCs w:val="18"/>
                <w:color w:val="auto"/>
              </w:rPr>
              <w:t>$196,838</w:t>
            </w:r>
          </w:p>
        </w:tc>
        <w:tc>
          <w:tcPr>
            <w:tcW w:w="9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7"/>
              </w:rPr>
              <w:t>$ 196,838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2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Charles M. Watts, M.D</w:t>
            </w:r>
            <w:r>
              <w:rPr>
                <w:rFonts w:ascii="Times New Roman" w:cs="Times New Roman" w:eastAsia="Times New Roman" w:hAnsi="Times New Roman"/>
                <w:sz w:val="25"/>
                <w:szCs w:val="25"/>
                <w:color w:val="auto"/>
                <w:vertAlign w:val="superscript"/>
              </w:rPr>
              <w:t>(3)</w:t>
            </w:r>
          </w:p>
        </w:tc>
        <w:tc>
          <w:tcPr>
            <w:tcW w:w="3220" w:type="dxa"/>
            <w:vAlign w:val="bottom"/>
            <w:gridSpan w:val="3"/>
            <w:shd w:val="clear" w:color="auto" w:fill="CCEEFF"/>
          </w:tcPr>
          <w:p>
            <w:pPr>
              <w:jc w:val="center"/>
              <w:ind w:left="1512"/>
              <w:spacing w:after="0"/>
              <w:rPr>
                <w:sz w:val="20"/>
                <w:szCs w:val="20"/>
                <w:color w:val="auto"/>
              </w:rPr>
            </w:pPr>
            <w:r>
              <w:rPr>
                <w:rFonts w:ascii="Times New Roman" w:cs="Times New Roman" w:eastAsia="Times New Roman" w:hAnsi="Times New Roman"/>
                <w:sz w:val="18"/>
                <w:szCs w:val="18"/>
                <w:color w:val="auto"/>
              </w:rPr>
              <w:t>$187,575</w:t>
            </w:r>
          </w:p>
        </w:tc>
        <w:tc>
          <w:tcPr>
            <w:tcW w:w="9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7"/>
              </w:rPr>
              <w:t>$ 187,575</w:t>
            </w:r>
          </w:p>
        </w:tc>
        <w:tc>
          <w:tcPr>
            <w:tcW w:w="0" w:type="dxa"/>
            <w:vAlign w:val="bottom"/>
          </w:tcPr>
          <w:p>
            <w:pPr>
              <w:spacing w:after="0"/>
              <w:rPr>
                <w:sz w:val="1"/>
                <w:szCs w:val="1"/>
                <w:color w:val="auto"/>
              </w:rPr>
            </w:pPr>
          </w:p>
        </w:tc>
      </w:tr>
      <w:tr>
        <w:trPr>
          <w:trHeight w:val="355"/>
        </w:trPr>
        <w:tc>
          <w:tcPr>
            <w:tcW w:w="132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Lawrence Kennedy</w:t>
            </w:r>
            <w:r>
              <w:rPr>
                <w:rFonts w:ascii="Times New Roman" w:cs="Times New Roman" w:eastAsia="Times New Roman" w:hAnsi="Times New Roman"/>
                <w:sz w:val="26"/>
                <w:szCs w:val="26"/>
                <w:color w:val="auto"/>
                <w:vertAlign w:val="superscript"/>
              </w:rPr>
              <w:t>(3)(4)</w:t>
            </w:r>
          </w:p>
        </w:tc>
        <w:tc>
          <w:tcPr>
            <w:tcW w:w="3220" w:type="dxa"/>
            <w:vAlign w:val="bottom"/>
            <w:gridSpan w:val="3"/>
          </w:tcPr>
          <w:p>
            <w:pPr>
              <w:jc w:val="center"/>
              <w:ind w:left="1512"/>
              <w:spacing w:after="0"/>
              <w:rPr>
                <w:sz w:val="20"/>
                <w:szCs w:val="20"/>
                <w:color w:val="auto"/>
              </w:rPr>
            </w:pPr>
            <w:r>
              <w:rPr>
                <w:rFonts w:ascii="Times New Roman" w:cs="Times New Roman" w:eastAsia="Times New Roman" w:hAnsi="Times New Roman"/>
                <w:sz w:val="18"/>
                <w:szCs w:val="18"/>
                <w:color w:val="auto"/>
              </w:rPr>
              <w:t>$277,510</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4"/>
              </w:rPr>
              <w:t>$ 187,589</w:t>
            </w:r>
          </w:p>
        </w:tc>
        <w:tc>
          <w:tcPr>
            <w:tcW w:w="10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7"/>
              </w:rPr>
              <w:t>$ 465,099</w:t>
            </w:r>
          </w:p>
        </w:tc>
        <w:tc>
          <w:tcPr>
            <w:tcW w:w="0" w:type="dxa"/>
            <w:vAlign w:val="bottom"/>
          </w:tcPr>
          <w:p>
            <w:pPr>
              <w:spacing w:after="0"/>
              <w:rPr>
                <w:sz w:val="1"/>
                <w:szCs w:val="1"/>
                <w:color w:val="auto"/>
              </w:rPr>
            </w:pPr>
          </w:p>
        </w:tc>
      </w:tr>
      <w:tr>
        <w:trPr>
          <w:trHeight w:val="197"/>
        </w:trPr>
        <w:tc>
          <w:tcPr>
            <w:tcW w:w="4520" w:type="dxa"/>
            <w:vAlign w:val="bottom"/>
            <w:gridSpan w:val="2"/>
          </w:tcPr>
          <w:p>
            <w:pPr>
              <w:spacing w:after="0"/>
              <w:rPr>
                <w:sz w:val="20"/>
                <w:szCs w:val="20"/>
                <w:color w:val="auto"/>
              </w:rPr>
            </w:pPr>
            <w:r>
              <w:rPr>
                <w:rFonts w:ascii="Arial" w:cs="Arial" w:eastAsia="Arial" w:hAnsi="Arial"/>
                <w:sz w:val="14"/>
                <w:szCs w:val="14"/>
                <w:b w:val="1"/>
                <w:bCs w:val="1"/>
                <w:color w:val="305494"/>
              </w:rPr>
              <w:t>2024 Proxy Statement</w:t>
            </w:r>
          </w:p>
        </w:tc>
        <w:tc>
          <w:tcPr>
            <w:tcW w:w="2060" w:type="dxa"/>
            <w:vAlign w:val="bottom"/>
          </w:tcPr>
          <w:p>
            <w:pPr>
              <w:jc w:val="right"/>
              <w:ind w:right="572"/>
              <w:spacing w:after="0"/>
              <w:rPr>
                <w:sz w:val="20"/>
                <w:szCs w:val="20"/>
                <w:color w:val="auto"/>
              </w:rPr>
            </w:pPr>
            <w:r>
              <w:rPr>
                <w:rFonts w:ascii="Arial" w:cs="Arial" w:eastAsia="Arial" w:hAnsi="Arial"/>
                <w:sz w:val="14"/>
                <w:szCs w:val="14"/>
                <w:b w:val="1"/>
                <w:bCs w:val="1"/>
                <w:color w:val="305494"/>
              </w:rPr>
              <w:t>25</w:t>
            </w: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496570</wp:posOffset>
            </wp:positionH>
            <wp:positionV relativeFrom="paragraph">
              <wp:posOffset>-7620</wp:posOffset>
            </wp:positionV>
            <wp:extent cx="45720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111" w:lineRule="exact"/>
        <w:rPr>
          <w:sz w:val="20"/>
          <w:szCs w:val="20"/>
          <w:color w:val="auto"/>
        </w:rPr>
      </w:pPr>
    </w:p>
    <w:p>
      <w:pPr>
        <w:ind w:left="980" w:hanging="432"/>
        <w:spacing w:after="0" w:line="253"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the aggregate grant date fair market value of the RSUs, calculated in accordance with FASB ASC Topic 718 based on the assumption that the value of each RSU granted on January 1, 2023, January 3, 2023, and May 23, 2023 was equal to $2.30, $2.05, and $1.17, respectively, with such amount being the closing price of our common stock on the grant date. The assumptions used in calculating the grant date fair value of the award disclosed in this column are set forth in Note 12 of our audited financial statements included in the 2023 Annual Report on Form 10-K Item 8. “Financial Statements and Supplementary Data” for the year ended December 31, 2023. Pursuant to the Director Deferred Compensation Plan, non-employee directors may choose to defer receipt of the shares to be issued in connection with settlement of the annual RSU award. Dr. Kayyem chose to defer receipt of 33,751 shares upon their vesting.</w:t>
      </w:r>
    </w:p>
    <w:p>
      <w:pPr>
        <w:spacing w:after="0" w:line="2" w:lineRule="exact"/>
        <w:rPr>
          <w:rFonts w:ascii="Times New Roman" w:cs="Times New Roman" w:eastAsia="Times New Roman" w:hAnsi="Times New Roman"/>
          <w:sz w:val="18"/>
          <w:szCs w:val="18"/>
          <w:color w:val="auto"/>
        </w:rPr>
      </w:pPr>
    </w:p>
    <w:p>
      <w:pPr>
        <w:ind w:left="980" w:right="1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Massarany chose to defer receipt of 44,242 shares upon their vesting. Messrs. Schuler and Patience chose to defer receipt of 96,251 shares upon their vesting. Dr. Strobeck chose to defer receipt of 103,244 shares upon their vesting. Mr. Massarany chose to defer receipt of 37,535 shares upon their vesting. Ms. Franchi chose to defer receipt of 110,239 upon their vesting. Mr. Kennedy chose to defer receipt of 147,744 shares upon their vesting.</w:t>
      </w:r>
    </w:p>
    <w:p>
      <w:pPr>
        <w:spacing w:after="0" w:line="1" w:lineRule="exact"/>
        <w:rPr>
          <w:rFonts w:ascii="Times New Roman" w:cs="Times New Roman" w:eastAsia="Times New Roman" w:hAnsi="Times New Roman"/>
          <w:sz w:val="18"/>
          <w:szCs w:val="18"/>
          <w:color w:val="auto"/>
        </w:rPr>
      </w:pPr>
    </w:p>
    <w:p>
      <w:pPr>
        <w:ind w:left="980" w:right="40" w:hanging="432"/>
        <w:spacing w:after="0" w:line="250"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the aggregate grant date fair market value of the stock options calculated in accordance with FASB ASC Topic 718. The assumptions used in calculating the grant date fair value of the award disclosed in this column are set forth in Note 12 of our audited financial statements included in the 2023 Form 10-K Report under “Item 8. Financial Statements and Supplementary Data” for the year ended December 31, 2023. These amounts do not correspond to the actual value that may be recognized by the non-employee directors upon exercise of the applicable awards.</w:t>
      </w:r>
    </w:p>
    <w:p>
      <w:pPr>
        <w:spacing w:after="0" w:line="1" w:lineRule="exact"/>
        <w:rPr>
          <w:rFonts w:ascii="Times New Roman" w:cs="Times New Roman" w:eastAsia="Times New Roman" w:hAnsi="Times New Roman"/>
          <w:sz w:val="18"/>
          <w:szCs w:val="18"/>
          <w:color w:val="auto"/>
        </w:rPr>
      </w:pPr>
    </w:p>
    <w:p>
      <w:pPr>
        <w:ind w:left="980" w:hanging="432"/>
        <w:spacing w:after="0" w:line="250"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Ms. Franchi held options to purchase 29,363 shares of our common stock and RSUs in respect of 219,940 shares of our common stock; Dr. Kayyem held options to purchase 77,406 shares of our common stock and RSUs in respect of 33,751 shares of our common stock; Mr. Massarany held options to purchase 60,946 shares of our common stock and RSUs in respect of 70,610 shares of our common stock; Mr. Patience held options to purchase 46,102 shares of our common stock and RSUs in respect of 179,584 shares of our common stock; Mr. Schuler held options to purchase 46,102 shares of our common stock and RSUs in respect of 179,584 shares of our common stock; Dr. Strobeck held options to purchase 11,717 shares of our common stock and RSUs in respect of 186,577 shares of our common stock; Dr. Watts held options to purchase 95,910 shares of our common stock and RSUs in respect of 55,241 shares of our common stock; and Mr. Kennedy held options to purchase 124,998 shares of our common stock and RSUs in respect of 147,744 shares of our common stock.</w:t>
      </w:r>
    </w:p>
    <w:p>
      <w:pPr>
        <w:spacing w:after="0" w:line="3" w:lineRule="exact"/>
        <w:rPr>
          <w:rFonts w:ascii="Times New Roman" w:cs="Times New Roman" w:eastAsia="Times New Roman" w:hAnsi="Times New Roman"/>
          <w:sz w:val="18"/>
          <w:szCs w:val="18"/>
          <w:color w:val="auto"/>
        </w:rPr>
      </w:pPr>
    </w:p>
    <w:p>
      <w:pPr>
        <w:ind w:left="980" w:right="20" w:hanging="432"/>
        <w:spacing w:after="0" w:line="260"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his appointment to the Board of Directors on January 3, 2023, Mr. Kennedy received an initial equity grant in the form of stock options and RSUs. In addition, Mr. Kennedy received a prorated annual equity award in the form of RSUs.</w:t>
      </w:r>
    </w:p>
    <w:p>
      <w:pPr>
        <w:spacing w:after="0" w:line="123"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Arial" w:cs="Arial" w:eastAsia="Arial" w:hAnsi="Arial"/>
                <w:sz w:val="14"/>
                <w:szCs w:val="14"/>
                <w:b w:val="1"/>
                <w:bCs w:val="1"/>
                <w:color w:val="305494"/>
              </w:rPr>
              <w:t>2024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305494"/>
              </w:rPr>
              <w:t>26</w:t>
            </w:r>
          </w:p>
        </w:tc>
      </w:tr>
    </w:tbl>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305494"/>
        </w:rPr>
        <w:t>EXECUTIVE COMPENSATION</w:t>
      </w:r>
    </w:p>
    <w:p>
      <w:pPr>
        <w:spacing w:after="0" w:line="348" w:lineRule="exact"/>
        <w:rPr>
          <w:sz w:val="20"/>
          <w:szCs w:val="20"/>
          <w:color w:val="auto"/>
        </w:rPr>
      </w:pPr>
    </w:p>
    <w:p>
      <w:pPr>
        <w:ind w:left="120" w:firstLine="771"/>
        <w:spacing w:after="0" w:line="255" w:lineRule="auto"/>
        <w:rPr>
          <w:sz w:val="20"/>
          <w:szCs w:val="20"/>
          <w:color w:val="auto"/>
        </w:rPr>
      </w:pPr>
      <w:r>
        <w:rPr>
          <w:rFonts w:ascii="Times New Roman" w:cs="Times New Roman" w:eastAsia="Times New Roman" w:hAnsi="Times New Roman"/>
          <w:sz w:val="18"/>
          <w:szCs w:val="18"/>
          <w:color w:val="auto"/>
        </w:rPr>
        <w:t>The following is a discussion of compensation arrangements of our named executive officers. This discussion contains forward-looking statements that are based on our current plans, considerations, expectations, and determinations regarding future compensation programs. Actual compensation programs that we adopt may differ materially from currently planned programs as summarized in this discussion. As an “emerging growth company” as defined in the JOBS Act, we are not required to include a Compensation Discussion and Analysis section and have elected to comply with the scaled back disclosure requirements applicable to emerging growth companies. In addition, as an emerging growth company, we are not required to conduct votes seeking approval, on an advisory basis, of either the compensation of our named executive officers or the frequency with which such votes must be conducted.</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305494"/>
        </w:rPr>
        <w:t>Overview</w:t>
      </w:r>
    </w:p>
    <w:p>
      <w:pPr>
        <w:spacing w:after="0" w:line="122" w:lineRule="exact"/>
        <w:rPr>
          <w:sz w:val="20"/>
          <w:szCs w:val="20"/>
          <w:color w:val="auto"/>
        </w:rPr>
      </w:pPr>
    </w:p>
    <w:p>
      <w:pPr>
        <w:ind w:left="120" w:right="640" w:firstLine="440"/>
        <w:spacing w:after="0" w:line="266" w:lineRule="auto"/>
        <w:rPr>
          <w:sz w:val="20"/>
          <w:szCs w:val="20"/>
          <w:color w:val="auto"/>
        </w:rPr>
      </w:pPr>
      <w:r>
        <w:rPr>
          <w:rFonts w:ascii="Times New Roman" w:cs="Times New Roman" w:eastAsia="Times New Roman" w:hAnsi="Times New Roman"/>
          <w:sz w:val="18"/>
          <w:szCs w:val="18"/>
          <w:color w:val="auto"/>
        </w:rPr>
        <w:t>This section provides a discussion of the compensation paid or awarded to our Chief Executive Officer and our two other most highly compensated executive officers as of December 31, 2023. We refer to these individuals as our “named executive officers.” For 2023, our named executive officers were:</w:t>
      </w:r>
    </w:p>
    <w:p>
      <w:pPr>
        <w:spacing w:after="0" w:line="81" w:lineRule="exact"/>
        <w:rPr>
          <w:sz w:val="20"/>
          <w:szCs w:val="20"/>
          <w:color w:val="auto"/>
        </w:rPr>
      </w:pPr>
    </w:p>
    <w:p>
      <w:pPr>
        <w:ind w:left="1200" w:hanging="544"/>
        <w:spacing w:after="0"/>
        <w:tabs>
          <w:tab w:leader="none" w:pos="12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Scott Hutton, President and Chief Executive Officer;</w:t>
      </w:r>
    </w:p>
    <w:p>
      <w:pPr>
        <w:spacing w:after="0" w:line="130" w:lineRule="exact"/>
        <w:rPr>
          <w:rFonts w:ascii="Times New Roman" w:cs="Times New Roman" w:eastAsia="Times New Roman" w:hAnsi="Times New Roman"/>
          <w:sz w:val="18"/>
          <w:szCs w:val="18"/>
          <w:color w:val="auto"/>
        </w:rPr>
      </w:pPr>
    </w:p>
    <w:p>
      <w:pPr>
        <w:ind w:left="1200" w:hanging="544"/>
        <w:spacing w:after="0"/>
        <w:tabs>
          <w:tab w:leader="none" w:pos="12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Robin Harper Cowie, Chief Financial Officer, Secretary and Treasurer; and</w:t>
      </w:r>
    </w:p>
    <w:p>
      <w:pPr>
        <w:spacing w:after="0" w:line="130" w:lineRule="exact"/>
        <w:rPr>
          <w:rFonts w:ascii="Times New Roman" w:cs="Times New Roman" w:eastAsia="Times New Roman" w:hAnsi="Times New Roman"/>
          <w:sz w:val="18"/>
          <w:szCs w:val="18"/>
          <w:color w:val="auto"/>
        </w:rPr>
      </w:pPr>
    </w:p>
    <w:p>
      <w:pPr>
        <w:ind w:left="1200" w:hanging="544"/>
        <w:spacing w:after="0"/>
        <w:tabs>
          <w:tab w:leader="none" w:pos="12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Kieran O’Kane, Chief Commercial Officer.</w:t>
      </w:r>
    </w:p>
    <w:p>
      <w:pPr>
        <w:spacing w:after="0" w:line="11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executive compensation program is intended to align executive compensation with our performance objectives and business strategy and to enable us to attract, motivate, retain and reward executive officers who operate in a highly competitive and technologically challenging environment and whose contributions are critical to our long-term success. The compensation paid or awarded to our executive officers is generally based on the assessment of each individual’s performance compared against the business objectives established for the fiscal year as well as our historical compensation practices. The compensation paid to newly hired executive officers is primarily determined based on the negotiations of the parties as well as our historical compensation practices, and we seek fairness in total compensation paid to our executive officers. As a result, we benchmark executive compensation against external and internal comparisons and look at the relationship between team member roles in the organization to determine appropriate compensation. For the year ended December 31, 2023, the material elements of our executive compensation program were base salary, annual cash bonus and equity awards in the form of RSUs.</w:t>
      </w:r>
    </w:p>
    <w:p>
      <w:pPr>
        <w:spacing w:after="0" w:line="188"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Performance-based, at risk and variable compensation in the form of annual cash bonuses and equity-based compensation is a significant portion of the overall compensation paid to each named executive officer. Our annual cash bonuses are earned or vest only upon the achievement of certain performance metrics. In addition, the value received from RSUs and stock options (if any) depends on our stock price.</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expect that our executive compensation program will continue to evolve over the coming years, while still supporting our overall business and compensation objectives. The compensation committee of our board of directors oversees our executive compensation program. In addition, during the year ended December 31, 2023, the compensation committee utilized our independent executive compensation consultant to advise us on the elements of our executive compensation program.</w:t>
      </w:r>
    </w:p>
    <w:p>
      <w:pPr>
        <w:spacing w:after="0" w:line="121"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Arial" w:cs="Arial" w:eastAsia="Arial" w:hAnsi="Arial"/>
                <w:sz w:val="14"/>
                <w:szCs w:val="14"/>
                <w:b w:val="1"/>
                <w:bCs w:val="1"/>
                <w:color w:val="305494"/>
              </w:rPr>
              <w:t>2024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305494"/>
              </w:rPr>
              <w:t>27</w:t>
            </w:r>
          </w:p>
        </w:tc>
      </w:tr>
    </w:tbl>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305494"/>
        </w:rPr>
        <w:t>Compensation of Named Executive Officers</w:t>
      </w:r>
    </w:p>
    <w:p>
      <w:pPr>
        <w:spacing w:after="0" w:line="2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Base Salary</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Base salaries are intended to provide a level of compensation sufficient to attract and retain an effective management team, when considered in combination with the other components of our executive compensation program. The relative levels of base salary for our named executive officers are designed to reflect each executive officer’s scope of responsibility and accountability to us. Please see the “Salary” column in the Summary Compensation Table for the base salary amounts received by each named executive officer during the years ended December 31, 2022 and December 31, 2023.</w:t>
      </w:r>
    </w:p>
    <w:p>
      <w:pPr>
        <w:spacing w:after="0" w:line="75"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As of January 1, 2023, Mr. Hutton’s annual base salary was $515,000, Ms. Harper Cowie’s annual base salary was $355,000, and Mr. O’Kane’s annual base salary was $335,000. The compensation committee did not increase base salaries for the named executive officers in 2023 as the result of efforts to conserve cash resources.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Annual Cash Bonuses</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We provide our senior leadership team with short-term incentive compensation through an annual cash bonus program. Annual bonus compensation holds executives accountable, rewards the executives based on actual business results and helps create a “pay for performance” culture. Our annual cash bonus program provides cash incentive award opportunities based on the achievement of performance goals approved by our compensation committee at the beginning of each fiscal year.</w:t>
      </w:r>
    </w:p>
    <w:p>
      <w:pPr>
        <w:spacing w:after="0" w:line="7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Generally, our compensation committee establishes a Company-based performance metric as a threshold vesting criterion for any payouts for a particular annual bonus period. For 2023, individual performance goals did not factor into determining payouts for the annual bonus period.</w:t>
      </w:r>
    </w:p>
    <w:p>
      <w:pPr>
        <w:spacing w:after="0" w:line="54"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For 2023, the compensation committee determined that the Company’s short-term incentive compensation would be based on the achievement of three financial objectives, (i) total revenue determined in accordance with U.S. GAAP, (ii) gross margin percentage and (iii) total operating expense (excluding certain non-cash expenses). Actual results were measured at year end against targeted outcomes. Mr. Hutton’s, Ms. Harper Cowie’s and Mr. O’Kane’s 2023 bonus targets as a percentage of annual base salary were 100%, 50% and 60%, respectively. Based on our 2023 performance, our compensation committee determined, and our board of directors approved, a corporate funding percentage under our annual cash bonus program equal to approximately 38.1% of the target bonus opportunity.</w:t>
      </w:r>
    </w:p>
    <w:p>
      <w:pPr>
        <w:spacing w:after="0" w:line="7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the Company’s 2021 Senior Management Bonus to Equity Plan, eligible executives, including each of our named executive officers, were permitted to elect to receive 25%, 50%, 75% or 100% of the annual bonus earned during 2023 in the form of a bonus-to-options award, subject to an individual cap equal to the executive’s target annual bonus or any maximum dollar amount approved by the Company or the executive for such year. Effective as of December 14, 2022, the plan was amended to further provide that the amount of the annual bonus an eligible executive may elect to receive in the form of a bonus-to-options award may also be subject to a maximum percentage approved by the Company for such year. The maximum percentage that applied for 2023 was 50%. The bonus-to-options awards, if any, are fully vested on the grant date and have an exercise price equal to the fair market value of our common stock on the grant date. The program reflects our commitment to a “pay for performance” philosophy and further aligns our executive compensation program with the long-term interests of our stockholders because an executive who participates foregoes a portion of his or her annual cash bonus in exchange for an option award that will be valuable only if the stock price increases.</w:t>
      </w:r>
    </w:p>
    <w:p>
      <w:pPr>
        <w:spacing w:after="0" w:line="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Pursuant to elections made in 2022, each named executive officer received a portion of their respective annual bonuses earned in 2023 in the form of a bonus-to-options award instead of in cash. For annual bonuses earned in 2023, the number of shares of the Company’s common stock subject to each bonus-to-options award granted in 2024 was determined by multiplying the cash value of the bonus that was elected to be received in the form of an option award by three, and then dividing the product of that calculation by $1.63 (the Company’s</w:t>
      </w:r>
    </w:p>
    <w:p>
      <w:pPr>
        <w:spacing w:after="0" w:line="121"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Arial" w:cs="Arial" w:eastAsia="Arial" w:hAnsi="Arial"/>
                <w:sz w:val="14"/>
                <w:szCs w:val="14"/>
                <w:b w:val="1"/>
                <w:bCs w:val="1"/>
                <w:color w:val="305494"/>
              </w:rPr>
              <w:t>2024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305494"/>
              </w:rPr>
              <w:t>28</w:t>
            </w:r>
          </w:p>
        </w:tc>
      </w:tr>
    </w:tbl>
    <w:p>
      <w:pPr>
        <w:sectPr>
          <w:pgSz w:w="11900" w:h="16838" w:orient="portrait"/>
          <w:cols w:equalWidth="0" w:num="1">
            <w:col w:w="11100"/>
          </w:cols>
          <w:pgMar w:left="320" w:top="455"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average stock price during 2023, calculated based on the daily closing price of our publicly traded common stock). Accordingly, each of Mr. Hutton, Ms. Harper Cowie and Mr. O’Kane received a payout under the 2023 annual cash bonus program in cash and/or a bonus-to-options award, as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140335</wp:posOffset>
            </wp:positionV>
            <wp:extent cx="4903470" cy="85725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4903470" cy="857250"/>
                    </a:xfrm>
                    <a:prstGeom prst="rect">
                      <a:avLst/>
                    </a:prstGeom>
                    <a:noFill/>
                  </pic:spPr>
                </pic:pic>
              </a:graphicData>
            </a:graphic>
          </wp:anchor>
        </w:drawing>
      </w:r>
    </w:p>
    <w:p>
      <w:pPr>
        <w:spacing w:after="0" w:line="24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2023</w:t>
      </w:r>
    </w:p>
    <w:p>
      <w:pPr>
        <w:spacing w:after="0" w:line="29" w:lineRule="exact"/>
        <w:rPr>
          <w:sz w:val="20"/>
          <w:szCs w:val="20"/>
          <w:color w:val="auto"/>
        </w:rPr>
      </w:pPr>
    </w:p>
    <w:tbl>
      <w:tblPr>
        <w:tblLayout w:type="fixed"/>
        <w:tblInd w:w="1780" w:type="dxa"/>
        <w:tblCellMar>
          <w:top w:w="0" w:type="dxa"/>
          <w:left w:w="0" w:type="dxa"/>
          <w:bottom w:w="0" w:type="dxa"/>
          <w:right w:w="0" w:type="dxa"/>
        </w:tblCellMar>
      </w:tblPr>
      <w:tr>
        <w:trPr>
          <w:trHeight w:val="168"/>
        </w:trPr>
        <w:tc>
          <w:tcPr>
            <w:tcW w:w="2400" w:type="dxa"/>
            <w:vAlign w:val="bottom"/>
            <w:tcBorders>
              <w:top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980" w:type="dxa"/>
            <w:vAlign w:val="bottom"/>
            <w:tcBorders>
              <w:top w:val="single" w:sz="8" w:color="auto"/>
            </w:tcBorders>
          </w:tcPr>
          <w:p>
            <w:pPr>
              <w:spacing w:after="0"/>
              <w:rPr>
                <w:sz w:val="14"/>
                <w:szCs w:val="14"/>
                <w:color w:val="auto"/>
              </w:rPr>
            </w:pPr>
          </w:p>
        </w:tc>
        <w:tc>
          <w:tcPr>
            <w:tcW w:w="1640" w:type="dxa"/>
            <w:vAlign w:val="bottom"/>
            <w:tcBorders>
              <w:top w:val="single" w:sz="8" w:color="auto"/>
              <w:right w:val="single" w:sz="8" w:color="auto"/>
            </w:tcBorders>
          </w:tcPr>
          <w:p>
            <w:pPr>
              <w:jc w:val="right"/>
              <w:ind w:right="968"/>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2700" w:type="dxa"/>
            <w:vAlign w:val="bottom"/>
            <w:tcBorders>
              <w:top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Shares Subject to Bonus-</w:t>
            </w:r>
          </w:p>
        </w:tc>
      </w:tr>
      <w:tr>
        <w:trPr>
          <w:trHeight w:val="190"/>
        </w:trPr>
        <w:tc>
          <w:tcPr>
            <w:tcW w:w="240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gridSpan w:val="2"/>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rPr>
              <w:t>Cash Payout</w:t>
            </w:r>
          </w:p>
        </w:tc>
        <w:tc>
          <w:tcPr>
            <w:tcW w:w="2700" w:type="dxa"/>
            <w:vAlign w:val="bottom"/>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to-Option Award</w:t>
            </w:r>
          </w:p>
        </w:tc>
      </w:tr>
      <w:tr>
        <w:trPr>
          <w:trHeight w:val="23"/>
        </w:trPr>
        <w:tc>
          <w:tcPr>
            <w:tcW w:w="240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r>
      <w:tr>
        <w:trPr>
          <w:trHeight w:val="200"/>
        </w:trPr>
        <w:tc>
          <w:tcPr>
            <w:tcW w:w="24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Scott Hutton</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right w:val="single" w:sz="8" w:color="auto"/>
            </w:tcBorders>
          </w:tcPr>
          <w:p>
            <w:pPr>
              <w:jc w:val="right"/>
              <w:ind w:right="848"/>
              <w:spacing w:after="0"/>
              <w:rPr>
                <w:sz w:val="20"/>
                <w:szCs w:val="20"/>
                <w:color w:val="auto"/>
              </w:rPr>
            </w:pPr>
            <w:r>
              <w:rPr>
                <w:rFonts w:ascii="Times New Roman" w:cs="Times New Roman" w:eastAsia="Times New Roman" w:hAnsi="Times New Roman"/>
                <w:sz w:val="14"/>
                <w:szCs w:val="14"/>
                <w:color w:val="auto"/>
              </w:rPr>
              <w:t>98,058</w:t>
            </w:r>
          </w:p>
        </w:tc>
        <w:tc>
          <w:tcPr>
            <w:tcW w:w="270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rPr>
              <w:t>180,926</w:t>
            </w:r>
          </w:p>
        </w:tc>
      </w:tr>
      <w:tr>
        <w:trPr>
          <w:trHeight w:val="23"/>
        </w:trPr>
        <w:tc>
          <w:tcPr>
            <w:tcW w:w="240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r>
      <w:tr>
        <w:trPr>
          <w:trHeight w:val="199"/>
        </w:trPr>
        <w:tc>
          <w:tcPr>
            <w:tcW w:w="24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Robin Harper Cowie</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right w:val="single" w:sz="8" w:color="auto"/>
            </w:tcBorders>
          </w:tcPr>
          <w:p>
            <w:pPr>
              <w:jc w:val="right"/>
              <w:ind w:right="848"/>
              <w:spacing w:after="0"/>
              <w:rPr>
                <w:sz w:val="20"/>
                <w:szCs w:val="20"/>
                <w:color w:val="auto"/>
              </w:rPr>
            </w:pPr>
            <w:r>
              <w:rPr>
                <w:rFonts w:ascii="Times New Roman" w:cs="Times New Roman" w:eastAsia="Times New Roman" w:hAnsi="Times New Roman"/>
                <w:sz w:val="14"/>
                <w:szCs w:val="14"/>
                <w:color w:val="auto"/>
              </w:rPr>
              <w:t>33,797</w:t>
            </w:r>
          </w:p>
        </w:tc>
        <w:tc>
          <w:tcPr>
            <w:tcW w:w="270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rPr>
              <w:t>62,358</w:t>
            </w:r>
          </w:p>
        </w:tc>
      </w:tr>
      <w:tr>
        <w:trPr>
          <w:trHeight w:val="23"/>
        </w:trPr>
        <w:tc>
          <w:tcPr>
            <w:tcW w:w="240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r>
      <w:tr>
        <w:trPr>
          <w:trHeight w:val="196"/>
        </w:trPr>
        <w:tc>
          <w:tcPr>
            <w:tcW w:w="24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Kieran O’Kane</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auto"/>
              <w:right w:val="single" w:sz="8" w:color="auto"/>
            </w:tcBorders>
          </w:tcPr>
          <w:p>
            <w:pPr>
              <w:jc w:val="right"/>
              <w:ind w:right="848"/>
              <w:spacing w:after="0"/>
              <w:rPr>
                <w:sz w:val="20"/>
                <w:szCs w:val="20"/>
                <w:color w:val="auto"/>
              </w:rPr>
            </w:pPr>
            <w:r>
              <w:rPr>
                <w:rFonts w:ascii="Times New Roman" w:cs="Times New Roman" w:eastAsia="Times New Roman" w:hAnsi="Times New Roman"/>
                <w:sz w:val="14"/>
                <w:szCs w:val="14"/>
                <w:color w:val="auto"/>
              </w:rPr>
              <w:t>57,407</w:t>
            </w:r>
          </w:p>
        </w:tc>
        <w:tc>
          <w:tcPr>
            <w:tcW w:w="2700" w:type="dxa"/>
            <w:vAlign w:val="bottom"/>
            <w:tcBorders>
              <w:bottom w:val="single" w:sz="8" w:color="auto"/>
            </w:tcBorders>
          </w:tcPr>
          <w:p>
            <w:pPr>
              <w:jc w:val="right"/>
              <w:ind w:right="848"/>
              <w:spacing w:after="0"/>
              <w:rPr>
                <w:sz w:val="20"/>
                <w:szCs w:val="20"/>
                <w:color w:val="auto"/>
              </w:rPr>
            </w:pPr>
            <w:r>
              <w:rPr>
                <w:rFonts w:ascii="Times New Roman" w:cs="Times New Roman" w:eastAsia="Times New Roman" w:hAnsi="Times New Roman"/>
                <w:sz w:val="14"/>
                <w:szCs w:val="14"/>
                <w:color w:val="auto"/>
              </w:rPr>
              <w:t>35,307</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Equity Awards</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In the year ended December 31, 2023, the compensation committee awarded Mr. Hutton, Ms. Harper Cowie and Mr. O’Kane, 751,042 RSUs, 194,141 RSUs and 122,135 RSUs, respectively, which vest ratably on an annual basis for four years from the vesting commencement date, subject to continued service through the applicable vesting date.</w:t>
      </w:r>
    </w:p>
    <w:p>
      <w:pPr>
        <w:spacing w:after="0" w:line="68" w:lineRule="exact"/>
        <w:rPr>
          <w:sz w:val="20"/>
          <w:szCs w:val="20"/>
          <w:color w:val="auto"/>
        </w:rPr>
      </w:pPr>
    </w:p>
    <w:p>
      <w:pPr>
        <w:ind w:left="340" w:right="460" w:firstLine="220"/>
        <w:spacing w:after="0" w:line="375" w:lineRule="auto"/>
        <w:rPr>
          <w:sz w:val="20"/>
          <w:szCs w:val="20"/>
          <w:color w:val="auto"/>
        </w:rPr>
      </w:pPr>
      <w:r>
        <w:rPr>
          <w:rFonts w:ascii="Times New Roman" w:cs="Times New Roman" w:eastAsia="Times New Roman" w:hAnsi="Times New Roman"/>
          <w:sz w:val="18"/>
          <w:szCs w:val="18"/>
          <w:color w:val="auto"/>
        </w:rPr>
        <w:t xml:space="preserve">For 2024, the compensation committee has determined to award a blend of stock options and RSUs to each of our named executive officers. </w:t>
      </w:r>
      <w:r>
        <w:rPr>
          <w:rFonts w:ascii="Times New Roman" w:cs="Times New Roman" w:eastAsia="Times New Roman" w:hAnsi="Times New Roman"/>
          <w:sz w:val="18"/>
          <w:szCs w:val="18"/>
          <w:b w:val="1"/>
          <w:bCs w:val="1"/>
          <w:i w:val="1"/>
          <w:iCs w:val="1"/>
          <w:color w:val="auto"/>
        </w:rPr>
        <w:t>Stock Option Exchange Program</w:t>
      </w:r>
    </w:p>
    <w:p>
      <w:pPr>
        <w:spacing w:after="0" w:line="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At the Company’s 2023 Annual Meeting of Stockholders on May 23, 2023, shareholders approved a stock option exchange program. As a result, on June 23, 2023, the Company offered eligible employees the opportunity to participate in a stock option exchange program under which they could tender eligible stock options that were substantially “out-of-the-money” (those with an exercise price greater than $10.00 per share) for exchange and, if accepted, receive a grant of new stock options exercisable for fewer shares of our common stock with an exercise price equal to the closing price of our common stock reported on Nasdaq on the date the new option was granted. The new stock options had different vesting terms than the stock options that were tendered for exchange, as well as a new expiration date. The stock option exchange program closed in accordance with its terms on July 24, 2023 and the new stock options were granted on that date, after the program had closed, with an exercise price of $1.20 per share. Non-employee directors were not eligible to participate in the stock option exchange program.</w:t>
      </w:r>
    </w:p>
    <w:p>
      <w:pPr>
        <w:spacing w:after="0" w:line="8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Mr. Hutton, Ms. Harper Cowie and Mr. O’Kane tendered eligible stock options in respect of 370,891, 132,963, and 56,654 shares of our common stock, respectively, each with an exercise price of $20.67 per share, in exchange for new stock options in respect of 75,693, 27,138, and 11,564 shares of our common stock, respectively, each with an exercise price of $1.20 per share. The incremental fair value of the new stock options, computed in accordance with FASB ASC Topic 718 on the grant date of the new stock options, was $8,056 for Mr. Hutton, $3,575 for Ms. Harper Cowie and $1,537 for Mr. O’Kane.</w:t>
      </w:r>
    </w:p>
    <w:p>
      <w:pPr>
        <w:spacing w:after="0" w:line="75"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Please see “Outstanding Equity Awards at Fiscal 2023 Year-End” below for a summary of the outstanding equity awards held by each of the named executive officers as of 2023 year-end.</w:t>
      </w:r>
    </w:p>
    <w:p>
      <w:pPr>
        <w:spacing w:after="0" w:line="103"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Arial" w:cs="Arial" w:eastAsia="Arial" w:hAnsi="Arial"/>
                <w:sz w:val="14"/>
                <w:szCs w:val="14"/>
                <w:b w:val="1"/>
                <w:bCs w:val="1"/>
                <w:color w:val="305494"/>
              </w:rPr>
              <w:t>2024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305494"/>
              </w:rPr>
              <w:t>29</w:t>
            </w:r>
          </w:p>
        </w:tc>
      </w:tr>
    </w:tbl>
    <w:p>
      <w:pPr>
        <w:sectPr>
          <w:pgSz w:w="11900" w:h="16838" w:orient="portrait"/>
          <w:cols w:equalWidth="0" w:num="1">
            <w:col w:w="11100"/>
          </w:cols>
          <w:pgMar w:left="320" w:top="455"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305494"/>
        </w:rPr>
        <w:t>2023 Summary Compensation Table</w:t>
      </w:r>
    </w:p>
    <w:p>
      <w:pPr>
        <w:spacing w:after="0" w:line="12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shows information regarding the compensation of our named executive officers for services performed during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131445</wp:posOffset>
            </wp:positionV>
            <wp:extent cx="7003415" cy="28257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003415" cy="282575"/>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tbl>
      <w:tblPr>
        <w:tblLayout w:type="fixed"/>
        <w:tblInd w:w="280" w:type="dxa"/>
        <w:tblCellMar>
          <w:top w:w="0" w:type="dxa"/>
          <w:left w:w="0" w:type="dxa"/>
          <w:bottom w:w="0" w:type="dxa"/>
          <w:right w:w="0" w:type="dxa"/>
        </w:tblCellMar>
      </w:tblPr>
      <w:tr>
        <w:trPr>
          <w:trHeight w:val="137"/>
        </w:trPr>
        <w:tc>
          <w:tcPr>
            <w:tcW w:w="42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220" w:type="dxa"/>
            <w:vAlign w:val="bottom"/>
          </w:tcPr>
          <w:p>
            <w:pPr>
              <w:spacing w:after="0"/>
              <w:rPr>
                <w:sz w:val="11"/>
                <w:szCs w:val="11"/>
                <w:color w:val="auto"/>
              </w:rPr>
            </w:pPr>
          </w:p>
        </w:tc>
        <w:tc>
          <w:tcPr>
            <w:tcW w:w="9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Non-Equity</w:t>
            </w:r>
          </w:p>
        </w:tc>
        <w:tc>
          <w:tcPr>
            <w:tcW w:w="220" w:type="dxa"/>
            <w:vAlign w:val="bottom"/>
          </w:tcPr>
          <w:p>
            <w:pPr>
              <w:spacing w:after="0"/>
              <w:rPr>
                <w:sz w:val="11"/>
                <w:szCs w:val="11"/>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4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73"/>
        </w:trPr>
        <w:tc>
          <w:tcPr>
            <w:tcW w:w="4240" w:type="dxa"/>
            <w:vAlign w:val="bottom"/>
            <w:gridSpan w:val="2"/>
            <w:vMerge w:val="continue"/>
          </w:tcPr>
          <w:p>
            <w:pPr>
              <w:spacing w:after="0"/>
              <w:rPr>
                <w:sz w:val="15"/>
                <w:szCs w:val="15"/>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80" w:type="dxa"/>
            <w:vAlign w:val="bottom"/>
            <w:gridSpan w:val="4"/>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(1)</w:t>
            </w:r>
          </w:p>
        </w:tc>
        <w:tc>
          <w:tcPr>
            <w:tcW w:w="1000" w:type="dxa"/>
            <w:vAlign w:val="bottom"/>
            <w:gridSpan w:val="3"/>
          </w:tcPr>
          <w:p>
            <w:pPr>
              <w:jc w:val="center"/>
              <w:ind w:left="133"/>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(2)</w:t>
            </w:r>
          </w:p>
        </w:tc>
        <w:tc>
          <w:tcPr>
            <w:tcW w:w="880" w:type="dxa"/>
            <w:vAlign w:val="bottom"/>
            <w:gridSpan w:val="4"/>
          </w:tcPr>
          <w:p>
            <w:pPr>
              <w:jc w:val="center"/>
              <w:ind w:left="133"/>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(3)</w:t>
            </w:r>
          </w:p>
        </w:tc>
        <w:tc>
          <w:tcPr>
            <w:tcW w:w="1140" w:type="dxa"/>
            <w:vAlign w:val="bottom"/>
            <w:gridSpan w:val="2"/>
          </w:tcPr>
          <w:p>
            <w:pPr>
              <w:jc w:val="center"/>
              <w:ind w:left="133"/>
              <w:spacing w:after="0"/>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0"/>
                <w:szCs w:val="10"/>
                <w:b w:val="1"/>
                <w:bCs w:val="1"/>
                <w:color w:val="auto"/>
                <w:w w:val="99"/>
              </w:rPr>
              <w:t>(4)</w:t>
            </w:r>
          </w:p>
        </w:tc>
        <w:tc>
          <w:tcPr>
            <w:tcW w:w="1140" w:type="dxa"/>
            <w:vAlign w:val="bottom"/>
            <w:gridSpan w:val="2"/>
          </w:tcPr>
          <w:p>
            <w:pPr>
              <w:jc w:val="center"/>
              <w:ind w:left="133"/>
              <w:spacing w:after="0"/>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0"/>
                <w:szCs w:val="10"/>
                <w:b w:val="1"/>
                <w:bCs w:val="1"/>
                <w:color w:val="auto"/>
                <w:w w:val="99"/>
              </w:rPr>
              <w:t>(5)</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Hutton</w:t>
            </w:r>
          </w:p>
        </w:tc>
        <w:tc>
          <w:tcPr>
            <w:tcW w:w="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President and Chief</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4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Executive Officer</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4"/>
              </w:rPr>
              <w:t>2023</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515,000</w:t>
            </w:r>
          </w:p>
        </w:tc>
        <w:tc>
          <w:tcPr>
            <w:tcW w:w="1000" w:type="dxa"/>
            <w:vAlign w:val="bottom"/>
            <w:gridSpan w:val="3"/>
          </w:tcPr>
          <w:p>
            <w:pPr>
              <w:jc w:val="center"/>
              <w:ind w:left="193"/>
              <w:spacing w:after="0"/>
              <w:rPr>
                <w:sz w:val="20"/>
                <w:szCs w:val="20"/>
                <w:color w:val="auto"/>
              </w:rPr>
            </w:pPr>
            <w:r>
              <w:rPr>
                <w:rFonts w:ascii="Times New Roman" w:cs="Times New Roman" w:eastAsia="Times New Roman" w:hAnsi="Times New Roman"/>
                <w:sz w:val="18"/>
                <w:szCs w:val="18"/>
                <w:color w:val="auto"/>
                <w:w w:val="99"/>
              </w:rPr>
              <w:t>1,442,001</w:t>
            </w:r>
          </w:p>
        </w:tc>
        <w:tc>
          <w:tcPr>
            <w:tcW w:w="880" w:type="dxa"/>
            <w:vAlign w:val="bottom"/>
            <w:gridSpan w:val="4"/>
          </w:tcPr>
          <w:p>
            <w:pPr>
              <w:jc w:val="center"/>
              <w:ind w:left="193"/>
              <w:spacing w:after="0"/>
              <w:rPr>
                <w:sz w:val="20"/>
                <w:szCs w:val="20"/>
                <w:color w:val="auto"/>
              </w:rPr>
            </w:pPr>
            <w:r>
              <w:rPr>
                <w:rFonts w:ascii="Times New Roman" w:cs="Times New Roman" w:eastAsia="Times New Roman" w:hAnsi="Times New Roman"/>
                <w:sz w:val="18"/>
                <w:szCs w:val="18"/>
                <w:color w:val="auto"/>
              </w:rPr>
              <w:t>233,622</w:t>
            </w:r>
          </w:p>
        </w:tc>
        <w:tc>
          <w:tcPr>
            <w:tcW w:w="1140" w:type="dxa"/>
            <w:vAlign w:val="bottom"/>
            <w:gridSpan w:val="2"/>
          </w:tcPr>
          <w:p>
            <w:pPr>
              <w:jc w:val="center"/>
              <w:ind w:left="193"/>
              <w:spacing w:after="0" w:line="297" w:lineRule="exact"/>
              <w:rPr>
                <w:sz w:val="20"/>
                <w:szCs w:val="20"/>
                <w:color w:val="auto"/>
              </w:rPr>
            </w:pPr>
            <w:r>
              <w:rPr>
                <w:rFonts w:ascii="Times New Roman" w:cs="Times New Roman" w:eastAsia="Times New Roman" w:hAnsi="Times New Roman"/>
                <w:sz w:val="18"/>
                <w:szCs w:val="18"/>
                <w:color w:val="auto"/>
                <w:w w:val="94"/>
              </w:rPr>
              <w:t>98,058</w:t>
            </w:r>
            <w:r>
              <w:rPr>
                <w:rFonts w:ascii="Times New Roman" w:cs="Times New Roman" w:eastAsia="Times New Roman" w:hAnsi="Times New Roman"/>
                <w:sz w:val="26"/>
                <w:szCs w:val="26"/>
                <w:color w:val="auto"/>
                <w:w w:val="94"/>
                <w:vertAlign w:val="superscript"/>
              </w:rPr>
              <w:t>(6)</w:t>
            </w:r>
          </w:p>
        </w:tc>
        <w:tc>
          <w:tcPr>
            <w:tcW w:w="1140" w:type="dxa"/>
            <w:vAlign w:val="bottom"/>
            <w:gridSpan w:val="2"/>
          </w:tcPr>
          <w:p>
            <w:pPr>
              <w:jc w:val="center"/>
              <w:ind w:left="213"/>
              <w:spacing w:after="0"/>
              <w:rPr>
                <w:sz w:val="20"/>
                <w:szCs w:val="20"/>
                <w:color w:val="auto"/>
              </w:rPr>
            </w:pPr>
            <w:r>
              <w:rPr>
                <w:rFonts w:ascii="Times New Roman" w:cs="Times New Roman" w:eastAsia="Times New Roman" w:hAnsi="Times New Roman"/>
                <w:sz w:val="18"/>
                <w:szCs w:val="18"/>
                <w:color w:val="auto"/>
                <w:w w:val="98"/>
              </w:rPr>
              <w:t>1,865</w:t>
            </w:r>
          </w:p>
        </w:tc>
        <w:tc>
          <w:tcPr>
            <w:tcW w:w="104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color w:val="auto"/>
                <w:w w:val="99"/>
              </w:rPr>
              <w:t>2,290,546</w:t>
            </w:r>
          </w:p>
        </w:tc>
        <w:tc>
          <w:tcPr>
            <w:tcW w:w="0" w:type="dxa"/>
            <w:vAlign w:val="bottom"/>
          </w:tcPr>
          <w:p>
            <w:pPr>
              <w:spacing w:after="0"/>
              <w:rPr>
                <w:sz w:val="1"/>
                <w:szCs w:val="1"/>
                <w:color w:val="auto"/>
              </w:rPr>
            </w:pPr>
          </w:p>
        </w:tc>
      </w:tr>
      <w:tr>
        <w:trPr>
          <w:trHeight w:val="360"/>
        </w:trPr>
        <w:tc>
          <w:tcPr>
            <w:tcW w:w="4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4"/>
              </w:rPr>
              <w:t>2022</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515,000</w:t>
            </w:r>
          </w:p>
        </w:tc>
        <w:tc>
          <w:tcPr>
            <w:tcW w:w="1000" w:type="dxa"/>
            <w:vAlign w:val="bottom"/>
            <w:gridSpan w:val="3"/>
          </w:tcPr>
          <w:p>
            <w:pPr>
              <w:jc w:val="center"/>
              <w:ind w:left="193"/>
              <w:spacing w:after="0"/>
              <w:rPr>
                <w:sz w:val="20"/>
                <w:szCs w:val="20"/>
                <w:color w:val="auto"/>
              </w:rPr>
            </w:pPr>
            <w:r>
              <w:rPr>
                <w:rFonts w:ascii="Times New Roman" w:cs="Times New Roman" w:eastAsia="Times New Roman" w:hAnsi="Times New Roman"/>
                <w:sz w:val="18"/>
                <w:szCs w:val="18"/>
                <w:color w:val="auto"/>
                <w:w w:val="99"/>
              </w:rPr>
              <w:t>1,441,997</w:t>
            </w:r>
          </w:p>
        </w:tc>
        <w:tc>
          <w:tcPr>
            <w:tcW w:w="880" w:type="dxa"/>
            <w:vAlign w:val="bottom"/>
            <w:gridSpan w:val="4"/>
          </w:tcPr>
          <w:p>
            <w:pPr>
              <w:jc w:val="center"/>
              <w:ind w:left="193"/>
              <w:spacing w:after="0"/>
              <w:rPr>
                <w:sz w:val="20"/>
                <w:szCs w:val="20"/>
                <w:color w:val="auto"/>
              </w:rPr>
            </w:pPr>
            <w:r>
              <w:rPr>
                <w:rFonts w:ascii="Times New Roman" w:cs="Times New Roman" w:eastAsia="Times New Roman" w:hAnsi="Times New Roman"/>
                <w:sz w:val="18"/>
                <w:szCs w:val="18"/>
                <w:color w:val="auto"/>
              </w:rPr>
              <w:t>680,532</w:t>
            </w:r>
          </w:p>
        </w:tc>
        <w:tc>
          <w:tcPr>
            <w:tcW w:w="1140" w:type="dxa"/>
            <w:vAlign w:val="bottom"/>
            <w:gridSpan w:val="2"/>
          </w:tcPr>
          <w:p>
            <w:pPr>
              <w:jc w:val="center"/>
              <w:ind w:left="193"/>
              <w:spacing w:after="0"/>
              <w:rPr>
                <w:sz w:val="20"/>
                <w:szCs w:val="20"/>
                <w:color w:val="auto"/>
              </w:rPr>
            </w:pPr>
            <w:r>
              <w:rPr>
                <w:rFonts w:ascii="Times New Roman" w:cs="Times New Roman" w:eastAsia="Times New Roman" w:hAnsi="Times New Roman"/>
                <w:sz w:val="18"/>
                <w:szCs w:val="18"/>
                <w:color w:val="auto"/>
                <w:w w:val="93"/>
              </w:rPr>
              <w:t>114,869</w:t>
            </w:r>
            <w:r>
              <w:rPr>
                <w:rFonts w:ascii="Times New Roman" w:cs="Times New Roman" w:eastAsia="Times New Roman" w:hAnsi="Times New Roman"/>
                <w:sz w:val="26"/>
                <w:szCs w:val="26"/>
                <w:color w:val="auto"/>
                <w:w w:val="93"/>
                <w:vertAlign w:val="superscript"/>
              </w:rPr>
              <w:t>(7)</w:t>
            </w:r>
          </w:p>
        </w:tc>
        <w:tc>
          <w:tcPr>
            <w:tcW w:w="1140" w:type="dxa"/>
            <w:vAlign w:val="bottom"/>
            <w:gridSpan w:val="2"/>
          </w:tcPr>
          <w:p>
            <w:pPr>
              <w:jc w:val="center"/>
              <w:ind w:left="213"/>
              <w:spacing w:after="0"/>
              <w:rPr>
                <w:sz w:val="20"/>
                <w:szCs w:val="20"/>
                <w:color w:val="auto"/>
              </w:rPr>
            </w:pPr>
            <w:r>
              <w:rPr>
                <w:rFonts w:ascii="Times New Roman" w:cs="Times New Roman" w:eastAsia="Times New Roman" w:hAnsi="Times New Roman"/>
                <w:sz w:val="18"/>
                <w:szCs w:val="18"/>
                <w:color w:val="auto"/>
                <w:w w:val="98"/>
              </w:rPr>
              <w:t>2,134</w:t>
            </w:r>
          </w:p>
        </w:tc>
        <w:tc>
          <w:tcPr>
            <w:tcW w:w="104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color w:val="auto"/>
                <w:w w:val="99"/>
              </w:rPr>
              <w:t>2,754,532</w:t>
            </w:r>
          </w:p>
        </w:tc>
        <w:tc>
          <w:tcPr>
            <w:tcW w:w="0" w:type="dxa"/>
            <w:vAlign w:val="bottom"/>
          </w:tcPr>
          <w:p>
            <w:pPr>
              <w:spacing w:after="0"/>
              <w:rPr>
                <w:sz w:val="1"/>
                <w:szCs w:val="1"/>
                <w:color w:val="auto"/>
              </w:rPr>
            </w:pPr>
          </w:p>
        </w:tc>
      </w:tr>
      <w:tr>
        <w:trPr>
          <w:trHeight w:val="369"/>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Robin Harper Cowie</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4"/>
              </w:rPr>
              <w:t>2023</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355,000</w:t>
            </w:r>
          </w:p>
        </w:tc>
        <w:tc>
          <w:tcPr>
            <w:tcW w:w="1000" w:type="dxa"/>
            <w:vAlign w:val="bottom"/>
            <w:gridSpan w:val="3"/>
          </w:tcPr>
          <w:p>
            <w:pPr>
              <w:jc w:val="center"/>
              <w:ind w:left="173"/>
              <w:spacing w:after="0"/>
              <w:rPr>
                <w:sz w:val="20"/>
                <w:szCs w:val="20"/>
                <w:color w:val="auto"/>
              </w:rPr>
            </w:pPr>
            <w:r>
              <w:rPr>
                <w:rFonts w:ascii="Times New Roman" w:cs="Times New Roman" w:eastAsia="Times New Roman" w:hAnsi="Times New Roman"/>
                <w:sz w:val="18"/>
                <w:szCs w:val="18"/>
                <w:color w:val="auto"/>
                <w:w w:val="99"/>
              </w:rPr>
              <w:t>372,751</w:t>
            </w:r>
          </w:p>
        </w:tc>
        <w:tc>
          <w:tcPr>
            <w:tcW w:w="880" w:type="dxa"/>
            <w:vAlign w:val="bottom"/>
            <w:gridSpan w:val="4"/>
          </w:tcPr>
          <w:p>
            <w:pPr>
              <w:jc w:val="center"/>
              <w:ind w:left="193"/>
              <w:spacing w:after="0"/>
              <w:rPr>
                <w:sz w:val="20"/>
                <w:szCs w:val="20"/>
                <w:color w:val="auto"/>
              </w:rPr>
            </w:pPr>
            <w:r>
              <w:rPr>
                <w:rFonts w:ascii="Times New Roman" w:cs="Times New Roman" w:eastAsia="Times New Roman" w:hAnsi="Times New Roman"/>
                <w:sz w:val="18"/>
                <w:szCs w:val="18"/>
                <w:color w:val="auto"/>
                <w:w w:val="96"/>
              </w:rPr>
              <w:t>81,319</w:t>
            </w:r>
          </w:p>
        </w:tc>
        <w:tc>
          <w:tcPr>
            <w:tcW w:w="1140" w:type="dxa"/>
            <w:vAlign w:val="bottom"/>
            <w:gridSpan w:val="2"/>
          </w:tcPr>
          <w:p>
            <w:pPr>
              <w:jc w:val="center"/>
              <w:ind w:left="193"/>
              <w:spacing w:after="0" w:line="297" w:lineRule="exact"/>
              <w:rPr>
                <w:sz w:val="20"/>
                <w:szCs w:val="20"/>
                <w:color w:val="auto"/>
              </w:rPr>
            </w:pPr>
            <w:r>
              <w:rPr>
                <w:rFonts w:ascii="Times New Roman" w:cs="Times New Roman" w:eastAsia="Times New Roman" w:hAnsi="Times New Roman"/>
                <w:sz w:val="18"/>
                <w:szCs w:val="18"/>
                <w:color w:val="auto"/>
                <w:w w:val="94"/>
              </w:rPr>
              <w:t>33,797</w:t>
            </w:r>
            <w:r>
              <w:rPr>
                <w:rFonts w:ascii="Times New Roman" w:cs="Times New Roman" w:eastAsia="Times New Roman" w:hAnsi="Times New Roman"/>
                <w:sz w:val="26"/>
                <w:szCs w:val="26"/>
                <w:color w:val="auto"/>
                <w:w w:val="94"/>
                <w:vertAlign w:val="superscript"/>
              </w:rPr>
              <w:t>(8)</w:t>
            </w:r>
          </w:p>
        </w:tc>
        <w:tc>
          <w:tcPr>
            <w:tcW w:w="1140" w:type="dxa"/>
            <w:vAlign w:val="bottom"/>
            <w:gridSpan w:val="2"/>
          </w:tcPr>
          <w:p>
            <w:pPr>
              <w:jc w:val="center"/>
              <w:ind w:left="213"/>
              <w:spacing w:after="0"/>
              <w:rPr>
                <w:sz w:val="20"/>
                <w:szCs w:val="20"/>
                <w:color w:val="auto"/>
              </w:rPr>
            </w:pPr>
            <w:r>
              <w:rPr>
                <w:rFonts w:ascii="Times New Roman" w:cs="Times New Roman" w:eastAsia="Times New Roman" w:hAnsi="Times New Roman"/>
                <w:sz w:val="18"/>
                <w:szCs w:val="18"/>
                <w:color w:val="auto"/>
                <w:w w:val="98"/>
              </w:rPr>
              <w:t>1,500</w:t>
            </w:r>
          </w:p>
        </w:tc>
        <w:tc>
          <w:tcPr>
            <w:tcW w:w="104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color w:val="auto"/>
              </w:rPr>
              <w:t>844,367</w:t>
            </w:r>
          </w:p>
        </w:tc>
        <w:tc>
          <w:tcPr>
            <w:tcW w:w="0" w:type="dxa"/>
            <w:vAlign w:val="bottom"/>
          </w:tcPr>
          <w:p>
            <w:pPr>
              <w:spacing w:after="0"/>
              <w:rPr>
                <w:sz w:val="1"/>
                <w:szCs w:val="1"/>
                <w:color w:val="auto"/>
              </w:rPr>
            </w:pPr>
          </w:p>
        </w:tc>
      </w:tr>
      <w:tr>
        <w:trPr>
          <w:trHeight w:val="360"/>
        </w:trPr>
        <w:tc>
          <w:tcPr>
            <w:tcW w:w="4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4"/>
              </w:rPr>
              <w:t>2022</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350,096</w:t>
            </w:r>
          </w:p>
        </w:tc>
        <w:tc>
          <w:tcPr>
            <w:tcW w:w="1000" w:type="dxa"/>
            <w:vAlign w:val="bottom"/>
            <w:gridSpan w:val="3"/>
          </w:tcPr>
          <w:p>
            <w:pPr>
              <w:jc w:val="center"/>
              <w:ind w:left="173"/>
              <w:spacing w:after="0"/>
              <w:rPr>
                <w:sz w:val="20"/>
                <w:szCs w:val="20"/>
                <w:color w:val="auto"/>
              </w:rPr>
            </w:pPr>
            <w:r>
              <w:rPr>
                <w:rFonts w:ascii="Times New Roman" w:cs="Times New Roman" w:eastAsia="Times New Roman" w:hAnsi="Times New Roman"/>
                <w:sz w:val="18"/>
                <w:szCs w:val="18"/>
                <w:color w:val="auto"/>
                <w:w w:val="99"/>
              </w:rPr>
              <w:t>372,749</w:t>
            </w:r>
          </w:p>
        </w:tc>
        <w:tc>
          <w:tcPr>
            <w:tcW w:w="880" w:type="dxa"/>
            <w:vAlign w:val="bottom"/>
            <w:gridSpan w:val="4"/>
          </w:tcPr>
          <w:p>
            <w:pPr>
              <w:jc w:val="center"/>
              <w:ind w:left="193"/>
              <w:spacing w:after="0"/>
              <w:rPr>
                <w:sz w:val="20"/>
                <w:szCs w:val="20"/>
                <w:color w:val="auto"/>
              </w:rPr>
            </w:pPr>
            <w:r>
              <w:rPr>
                <w:rFonts w:ascii="Times New Roman" w:cs="Times New Roman" w:eastAsia="Times New Roman" w:hAnsi="Times New Roman"/>
                <w:sz w:val="18"/>
                <w:szCs w:val="18"/>
                <w:color w:val="auto"/>
              </w:rPr>
              <w:t>231,882</w:t>
            </w:r>
          </w:p>
        </w:tc>
        <w:tc>
          <w:tcPr>
            <w:tcW w:w="1140" w:type="dxa"/>
            <w:vAlign w:val="bottom"/>
            <w:gridSpan w:val="2"/>
          </w:tcPr>
          <w:p>
            <w:pPr>
              <w:jc w:val="center"/>
              <w:ind w:left="193"/>
              <w:spacing w:after="0"/>
              <w:rPr>
                <w:sz w:val="20"/>
                <w:szCs w:val="20"/>
                <w:color w:val="auto"/>
              </w:rPr>
            </w:pPr>
            <w:r>
              <w:rPr>
                <w:rFonts w:ascii="Times New Roman" w:cs="Times New Roman" w:eastAsia="Times New Roman" w:hAnsi="Times New Roman"/>
                <w:sz w:val="18"/>
                <w:szCs w:val="18"/>
                <w:color w:val="auto"/>
                <w:w w:val="94"/>
              </w:rPr>
              <w:t>39,140</w:t>
            </w:r>
            <w:r>
              <w:rPr>
                <w:rFonts w:ascii="Times New Roman" w:cs="Times New Roman" w:eastAsia="Times New Roman" w:hAnsi="Times New Roman"/>
                <w:sz w:val="26"/>
                <w:szCs w:val="26"/>
                <w:color w:val="auto"/>
                <w:w w:val="94"/>
                <w:vertAlign w:val="superscript"/>
              </w:rPr>
              <w:t>(9)</w:t>
            </w:r>
          </w:p>
        </w:tc>
        <w:tc>
          <w:tcPr>
            <w:tcW w:w="1140" w:type="dxa"/>
            <w:vAlign w:val="bottom"/>
            <w:gridSpan w:val="2"/>
          </w:tcPr>
          <w:p>
            <w:pPr>
              <w:jc w:val="center"/>
              <w:ind w:left="213"/>
              <w:spacing w:after="0"/>
              <w:rPr>
                <w:sz w:val="20"/>
                <w:szCs w:val="20"/>
                <w:color w:val="auto"/>
              </w:rPr>
            </w:pPr>
            <w:r>
              <w:rPr>
                <w:rFonts w:ascii="Times New Roman" w:cs="Times New Roman" w:eastAsia="Times New Roman" w:hAnsi="Times New Roman"/>
                <w:sz w:val="18"/>
                <w:szCs w:val="18"/>
                <w:color w:val="auto"/>
                <w:w w:val="98"/>
              </w:rPr>
              <w:t>1,633</w:t>
            </w:r>
          </w:p>
        </w:tc>
        <w:tc>
          <w:tcPr>
            <w:tcW w:w="104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color w:val="auto"/>
              </w:rPr>
              <w:t>995,500</w:t>
            </w:r>
          </w:p>
        </w:tc>
        <w:tc>
          <w:tcPr>
            <w:tcW w:w="0" w:type="dxa"/>
            <w:vAlign w:val="bottom"/>
          </w:tcPr>
          <w:p>
            <w:pPr>
              <w:spacing w:after="0"/>
              <w:rPr>
                <w:sz w:val="1"/>
                <w:szCs w:val="1"/>
                <w:color w:val="auto"/>
              </w:rPr>
            </w:pPr>
          </w:p>
        </w:tc>
      </w:tr>
      <w:tr>
        <w:trPr>
          <w:trHeight w:val="369"/>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Kieran O’Kane</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Chief Commercial Officer</w:t>
            </w:r>
            <w:r>
              <w:rPr>
                <w:rFonts w:ascii="Times New Roman" w:cs="Times New Roman" w:eastAsia="Times New Roman" w:hAnsi="Times New Roman"/>
                <w:sz w:val="26"/>
                <w:szCs w:val="26"/>
                <w:color w:val="auto"/>
                <w:vertAlign w:val="superscript"/>
              </w:rPr>
              <w:t>(10)</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4"/>
              </w:rPr>
              <w:t>2023</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335,000</w:t>
            </w:r>
          </w:p>
        </w:tc>
        <w:tc>
          <w:tcPr>
            <w:tcW w:w="1000" w:type="dxa"/>
            <w:vAlign w:val="bottom"/>
            <w:gridSpan w:val="3"/>
          </w:tcPr>
          <w:p>
            <w:pPr>
              <w:jc w:val="center"/>
              <w:ind w:left="173"/>
              <w:spacing w:after="0"/>
              <w:rPr>
                <w:sz w:val="20"/>
                <w:szCs w:val="20"/>
                <w:color w:val="auto"/>
              </w:rPr>
            </w:pPr>
            <w:r>
              <w:rPr>
                <w:rFonts w:ascii="Times New Roman" w:cs="Times New Roman" w:eastAsia="Times New Roman" w:hAnsi="Times New Roman"/>
                <w:sz w:val="18"/>
                <w:szCs w:val="18"/>
                <w:color w:val="auto"/>
                <w:w w:val="99"/>
              </w:rPr>
              <w:t>234,449</w:t>
            </w:r>
          </w:p>
        </w:tc>
        <w:tc>
          <w:tcPr>
            <w:tcW w:w="880" w:type="dxa"/>
            <w:vAlign w:val="bottom"/>
            <w:gridSpan w:val="4"/>
          </w:tcPr>
          <w:p>
            <w:pPr>
              <w:jc w:val="center"/>
              <w:ind w:left="193"/>
              <w:spacing w:after="0"/>
              <w:rPr>
                <w:sz w:val="20"/>
                <w:szCs w:val="20"/>
                <w:color w:val="auto"/>
              </w:rPr>
            </w:pPr>
            <w:r>
              <w:rPr>
                <w:rFonts w:ascii="Times New Roman" w:cs="Times New Roman" w:eastAsia="Times New Roman" w:hAnsi="Times New Roman"/>
                <w:sz w:val="18"/>
                <w:szCs w:val="18"/>
                <w:color w:val="auto"/>
                <w:w w:val="96"/>
              </w:rPr>
              <w:t>45,555</w:t>
            </w:r>
          </w:p>
        </w:tc>
        <w:tc>
          <w:tcPr>
            <w:tcW w:w="1140" w:type="dxa"/>
            <w:vAlign w:val="bottom"/>
            <w:gridSpan w:val="2"/>
          </w:tcPr>
          <w:p>
            <w:pPr>
              <w:jc w:val="center"/>
              <w:ind w:left="173"/>
              <w:spacing w:after="0"/>
              <w:rPr>
                <w:sz w:val="20"/>
                <w:szCs w:val="20"/>
                <w:color w:val="auto"/>
              </w:rPr>
            </w:pPr>
            <w:r>
              <w:rPr>
                <w:rFonts w:ascii="Times New Roman" w:cs="Times New Roman" w:eastAsia="Times New Roman" w:hAnsi="Times New Roman"/>
                <w:sz w:val="18"/>
                <w:szCs w:val="18"/>
                <w:color w:val="auto"/>
                <w:w w:val="91"/>
              </w:rPr>
              <w:t>57,407</w:t>
            </w:r>
            <w:r>
              <w:rPr>
                <w:rFonts w:ascii="Times New Roman" w:cs="Times New Roman" w:eastAsia="Times New Roman" w:hAnsi="Times New Roman"/>
                <w:sz w:val="26"/>
                <w:szCs w:val="26"/>
                <w:color w:val="auto"/>
                <w:w w:val="91"/>
                <w:vertAlign w:val="superscript"/>
              </w:rPr>
              <w:t>(11)</w:t>
            </w:r>
          </w:p>
        </w:tc>
        <w:tc>
          <w:tcPr>
            <w:tcW w:w="1140" w:type="dxa"/>
            <w:vAlign w:val="bottom"/>
            <w:gridSpan w:val="2"/>
          </w:tcPr>
          <w:p>
            <w:pPr>
              <w:jc w:val="center"/>
              <w:ind w:left="233"/>
              <w:spacing w:after="0"/>
              <w:rPr>
                <w:sz w:val="20"/>
                <w:szCs w:val="20"/>
                <w:color w:val="auto"/>
              </w:rPr>
            </w:pPr>
            <w:r>
              <w:rPr>
                <w:rFonts w:ascii="Times New Roman" w:cs="Times New Roman" w:eastAsia="Times New Roman" w:hAnsi="Times New Roman"/>
                <w:sz w:val="18"/>
                <w:szCs w:val="18"/>
                <w:color w:val="auto"/>
                <w:w w:val="96"/>
              </w:rPr>
              <w:t>205</w:t>
            </w:r>
          </w:p>
        </w:tc>
        <w:tc>
          <w:tcPr>
            <w:tcW w:w="104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color w:val="auto"/>
              </w:rPr>
              <w:t>672,666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-2160905</wp:posOffset>
            </wp:positionV>
            <wp:extent cx="7003415" cy="216027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003415" cy="216027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-20320</wp:posOffset>
            </wp:positionV>
            <wp:extent cx="57150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ind w:left="880" w:right="120" w:hanging="548"/>
        <w:spacing w:after="0" w:line="250" w:lineRule="auto"/>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disclosed represent the dollar value of base salary earned by the named executive officer as of December 31 of each applicable fiscal year.</w:t>
      </w:r>
    </w:p>
    <w:p>
      <w:pPr>
        <w:ind w:left="880" w:right="120" w:hanging="548"/>
        <w:spacing w:after="0" w:line="250" w:lineRule="auto"/>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disclosed represent the aggregate grant date fair value of RSU awards as calculated in accordance with FASB ASC Topic 718. The assumptions used in calculating the grant date fair value of the award disclosed in this column are set forth in Note 12 of our audited financial statements included in the 2023 Annual Report on Form 10-K Item 8. “Financial Statements and Supplementary Data” for the year ended December 31, 2023. These amounts do not correspond to the actual value that may be realized by the named executive officers upon vesting or exercise of the applicable awards.</w:t>
      </w:r>
    </w:p>
    <w:p>
      <w:pPr>
        <w:spacing w:after="0" w:line="1" w:lineRule="exact"/>
        <w:rPr>
          <w:rFonts w:ascii="Times New Roman" w:cs="Times New Roman" w:eastAsia="Times New Roman" w:hAnsi="Times New Roman"/>
          <w:sz w:val="18"/>
          <w:szCs w:val="18"/>
          <w:color w:val="auto"/>
        </w:rPr>
      </w:pPr>
    </w:p>
    <w:p>
      <w:pPr>
        <w:ind w:left="880" w:right="20" w:hanging="548"/>
        <w:spacing w:after="0" w:line="250" w:lineRule="auto"/>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disclosed represent the aggregate grant date fair value of awards, including an estimate of the grant date fair value of bonus-to-options awards, as calculated in accordance with FASB ASC Topic 718 as well as the incremental fair value of the new stock options granted to each of the named executive officers on July 24, 2023 as a result of the stock option exchange program described under “Compensation of Named Executive Officers – Equity Awards – Stock Option Exchange Program.” The assumptions used in calculating the grant date fair value of the award disclosed in this column are set forth in Note 12 of our audited financial statements included in the 2023 Annual Report on Form 10-K Item 8. “Financial Statements and Supplementary Data” for the year ended December 31, 2023. For the bonus-to-options awards, the estimated grant date fair value was used to correspond to the treatment of such expense under U.S. GAAP in the 2023 Annual Report on Form 10-K, as the service inception period precedes the grant date. These amounts do not correspond to the actual value that may be realized by the named executive officers upon vesting or exercise of the applicable awards.</w:t>
      </w:r>
    </w:p>
    <w:p>
      <w:pPr>
        <w:spacing w:after="0" w:line="3" w:lineRule="exact"/>
        <w:rPr>
          <w:rFonts w:ascii="Times New Roman" w:cs="Times New Roman" w:eastAsia="Times New Roman" w:hAnsi="Times New Roman"/>
          <w:sz w:val="18"/>
          <w:szCs w:val="18"/>
          <w:color w:val="auto"/>
        </w:rPr>
      </w:pPr>
    </w:p>
    <w:p>
      <w:pPr>
        <w:ind w:left="880" w:right="340" w:hanging="548"/>
        <w:spacing w:after="0" w:line="250" w:lineRule="auto"/>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our 2022 and 2023 performance measured against the Company’s achievement of three financial objectives, (i) total revenue determined in accordance with U.S. GAAP, (ii) gross margin percentage, and (iii) total operating expense (excluding certain non-cash expenses), and for 2022 only, one commercial catalyst objective intended to incentivize the advancement of certain major projects and commercial objectives of the Company, our compensation committee determined, and our board of directors approved, payouts under the 2022 and 2023 annual cash bonus program at a 65.5% and 38.1% achievement level, respectively. The Non-Equity Incentive Plan Compensation listed for each named</w:t>
      </w:r>
    </w:p>
    <w:p>
      <w:pPr>
        <w:spacing w:after="0" w:line="2" w:lineRule="exact"/>
        <w:rPr>
          <w:rFonts w:ascii="Times New Roman" w:cs="Times New Roman" w:eastAsia="Times New Roman" w:hAnsi="Times New Roman"/>
          <w:sz w:val="18"/>
          <w:szCs w:val="18"/>
          <w:color w:val="auto"/>
        </w:rPr>
      </w:pPr>
    </w:p>
    <w:p>
      <w:pPr>
        <w:ind w:left="880" w:right="3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officer represents the annual cash bonus award for the 2022 and 2023 fiscal years after taking into consideration the election of each individual to participate in the bonus-to-options program.</w:t>
      </w:r>
    </w:p>
    <w:p>
      <w:pPr>
        <w:spacing w:after="0" w:line="123"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Arial" w:cs="Arial" w:eastAsia="Arial" w:hAnsi="Arial"/>
                <w:sz w:val="14"/>
                <w:szCs w:val="14"/>
                <w:b w:val="1"/>
                <w:bCs w:val="1"/>
                <w:color w:val="305494"/>
              </w:rPr>
              <w:t>2024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305494"/>
              </w:rPr>
              <w:t>30</w:t>
            </w:r>
          </w:p>
        </w:tc>
      </w:tr>
    </w:tbl>
    <w:p>
      <w:pPr>
        <w:sectPr>
          <w:pgSz w:w="11900" w:h="16838" w:orient="portrait"/>
          <w:cols w:equalWidth="0" w:num="1">
            <w:col w:w="11100"/>
          </w:cols>
          <w:pgMar w:left="320" w:top="455"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880" w:right="40" w:hanging="548"/>
        <w:spacing w:after="0" w:line="257" w:lineRule="auto"/>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disclosed primarily represent an electronics allowance stipend and the tax gross-up on awards through the Company’s Wishlist Rewards Program, a peer-to-peer recognition program, received by each named executive officer as of December 31 of each applicable fiscal year for specific contributions and demonstrating the Company’s core values.</w:t>
      </w:r>
    </w:p>
    <w:p>
      <w:pPr>
        <w:spacing w:after="0" w:line="1" w:lineRule="exact"/>
        <w:rPr>
          <w:rFonts w:ascii="Times New Roman" w:cs="Times New Roman" w:eastAsia="Times New Roman" w:hAnsi="Times New Roman"/>
          <w:sz w:val="18"/>
          <w:szCs w:val="18"/>
          <w:color w:val="auto"/>
        </w:rPr>
      </w:pPr>
    </w:p>
    <w:p>
      <w:pPr>
        <w:ind w:left="880" w:hanging="548"/>
        <w:spacing w:after="0"/>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38.1% achievement level, Mr. Hutton was entitled to a payout under the 2023 annual cash bonus program of $196,116. However,</w:t>
      </w:r>
    </w:p>
    <w:p>
      <w:pPr>
        <w:spacing w:after="0" w:line="9" w:lineRule="exact"/>
        <w:rPr>
          <w:rFonts w:ascii="Times New Roman" w:cs="Times New Roman" w:eastAsia="Times New Roman" w:hAnsi="Times New Roman"/>
          <w:sz w:val="18"/>
          <w:szCs w:val="18"/>
          <w:color w:val="auto"/>
        </w:rPr>
      </w:pPr>
    </w:p>
    <w:p>
      <w:pPr>
        <w:ind w:left="880" w:right="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Hutton elected to receive a portion of his 2023 annual cash bonus in the form of an option award under the bonus-to-options program. In accordance with Mr. Hutton’s election and the terms of the bonus-to-options program, Mr. Hutton received a cash payment of $98,058 in respect of his 2023 annual cash bonus, as reflected in this column, and in place of the remaining amount, received an option award representing the right to purchase 180,926 shares of our common stock, the value of which is reflected in the “Option Awards” column.</w:t>
      </w:r>
    </w:p>
    <w:p>
      <w:pPr>
        <w:spacing w:after="0" w:line="1" w:lineRule="exact"/>
        <w:rPr>
          <w:rFonts w:ascii="Times New Roman" w:cs="Times New Roman" w:eastAsia="Times New Roman" w:hAnsi="Times New Roman"/>
          <w:sz w:val="18"/>
          <w:szCs w:val="18"/>
          <w:color w:val="auto"/>
        </w:rPr>
      </w:pPr>
    </w:p>
    <w:p>
      <w:pPr>
        <w:ind w:left="880" w:right="40" w:hanging="548"/>
        <w:spacing w:after="0" w:line="250" w:lineRule="auto"/>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65.5% achievement level, Mr. Hutton was entitled to a payout under the 2022 annual cash bonus program of $337,202. However, Mr. Hutton elected to receive a portion of his 2022 annual cash bonus in the form of an option award under the bonus-to-options program. Because the 2021 Senior Management Bonus to Equity Plan is a sub-plan of the 2020 Incentive Plan, any grants under the plan are subject to the overall availability of shares for grant under the 2020 Incentive Plan. As a result, the number of shares of the Company’s common stock subject to each bonus-to-options award granted in 2023 was reduced by 12.1% with such portion paid in cash. In accordance with</w:t>
      </w:r>
    </w:p>
    <w:p>
      <w:pPr>
        <w:spacing w:after="0" w:line="1" w:lineRule="exact"/>
        <w:rPr>
          <w:rFonts w:ascii="Times New Roman" w:cs="Times New Roman" w:eastAsia="Times New Roman" w:hAnsi="Times New Roman"/>
          <w:sz w:val="18"/>
          <w:szCs w:val="18"/>
          <w:color w:val="auto"/>
        </w:rPr>
      </w:pPr>
    </w:p>
    <w:p>
      <w:pPr>
        <w:ind w:left="880" w:right="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Hutton’s election and the terms of the bonus-to-options program, Mr. Hutton received a cash payment of $114,869 in respect of his 2022 annual cash bonus, as reflected in this column, and in place of the remaining amount, received an option award representing the right to purchase 435,668 shares of our common stock, the value of which is reflected in the “Option Awards” column.</w:t>
      </w:r>
    </w:p>
    <w:p>
      <w:pPr>
        <w:spacing w:after="0" w:line="1" w:lineRule="exact"/>
        <w:rPr>
          <w:rFonts w:ascii="Times New Roman" w:cs="Times New Roman" w:eastAsia="Times New Roman" w:hAnsi="Times New Roman"/>
          <w:sz w:val="18"/>
          <w:szCs w:val="18"/>
          <w:color w:val="auto"/>
        </w:rPr>
      </w:pPr>
    </w:p>
    <w:p>
      <w:pPr>
        <w:ind w:left="880" w:right="60" w:hanging="548"/>
        <w:spacing w:after="0" w:line="250" w:lineRule="auto"/>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38.1% achievement level, Ms. Harper Cowie was entitled to a payout under the 2023 annual cash bonus program of $67,593. However, Ms. Harper Cowie elected to receive a portion of her 2023 annual cash bonus in the form of an option award under the bonus-to-options program. In accordance with Ms. Harper Cowie’s election and the terms of the bonus-to-options program, Ms. Harper Cowie received a cash payment of $33,797 in respect of her 2023 annual cash bonus, as reflected in this column, and in place of the remaining amount, received an option award representing the right to purchase 62,358 shares of our common stock, the value of which is reflected in the “Option Awards” column.</w:t>
      </w:r>
    </w:p>
    <w:p>
      <w:pPr>
        <w:spacing w:after="0" w:line="2" w:lineRule="exact"/>
        <w:rPr>
          <w:rFonts w:ascii="Times New Roman" w:cs="Times New Roman" w:eastAsia="Times New Roman" w:hAnsi="Times New Roman"/>
          <w:sz w:val="18"/>
          <w:szCs w:val="18"/>
          <w:color w:val="auto"/>
        </w:rPr>
      </w:pPr>
    </w:p>
    <w:p>
      <w:pPr>
        <w:ind w:left="880" w:right="20" w:hanging="548"/>
        <w:spacing w:after="0" w:line="265" w:lineRule="auto"/>
        <w:tabs>
          <w:tab w:leader="none" w:pos="8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 65.5% achievement level, Ms. Harper Cowie was entitled to a payout under the 2022 annual cash bonus program of $114,897. However, Ms. Harper Cowie elected to receive a portion of her 2022 annual cash bonus in the form of an option award under the bonus-to-options program. Because the 2021 Senior Management Bonus to Equity Plan is a sub-plan of the 2020 Incentive Plan, any grants under the plan are subject to the overall availability of shares for grant under the 2020 Incentive Plan. As a result, the number of shares of the Company’s common stock subject to each bonus-to-options award granted in 2023 was reduced by 12.1% with such portion paid in cash. In accordance with Ms. Harper Cowie’s election and the terms of the bonus-to-options program, Ms. Harper Cowie received a cash payment of $39,140 in respect of her 2022 annual cash bonus, as reflected in this column, and in place of the remaining amount, received an option award representing the right to purchase 148,448 shares of our common stock, the value of which is reflected in the “Option Awards” column.</w:t>
      </w:r>
    </w:p>
    <w:p>
      <w:pPr>
        <w:spacing w:after="0" w:line="1" w:lineRule="exact"/>
        <w:rPr>
          <w:rFonts w:ascii="Times New Roman" w:cs="Times New Roman" w:eastAsia="Times New Roman" w:hAnsi="Times New Roman"/>
          <w:sz w:val="17"/>
          <w:szCs w:val="17"/>
          <w:color w:val="auto"/>
        </w:rPr>
      </w:pPr>
    </w:p>
    <w:p>
      <w:pPr>
        <w:ind w:left="880" w:hanging="548"/>
        <w:spacing w:after="0"/>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O’Kane was not a named executive officer for the 2022 fiscal year.</w:t>
      </w:r>
    </w:p>
    <w:p>
      <w:pPr>
        <w:spacing w:after="0" w:line="9" w:lineRule="exact"/>
        <w:rPr>
          <w:rFonts w:ascii="Times New Roman" w:cs="Times New Roman" w:eastAsia="Times New Roman" w:hAnsi="Times New Roman"/>
          <w:sz w:val="18"/>
          <w:szCs w:val="18"/>
          <w:color w:val="auto"/>
        </w:rPr>
      </w:pPr>
    </w:p>
    <w:p>
      <w:pPr>
        <w:ind w:left="880" w:hanging="548"/>
        <w:spacing w:after="0"/>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38.1% achievement level, Mr. O’Kane was entitled to a payout under the 2023 annual cash bonus program of $76,542. However,</w:t>
      </w:r>
    </w:p>
    <w:p>
      <w:pPr>
        <w:spacing w:after="0" w:line="9" w:lineRule="exact"/>
        <w:rPr>
          <w:rFonts w:ascii="Times New Roman" w:cs="Times New Roman" w:eastAsia="Times New Roman" w:hAnsi="Times New Roman"/>
          <w:sz w:val="18"/>
          <w:szCs w:val="18"/>
          <w:color w:val="auto"/>
        </w:rPr>
      </w:pPr>
    </w:p>
    <w:p>
      <w:pPr>
        <w:ind w:left="8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O’Kane elected to receive a portion of his 2023 annual cash bonus in the form of an option award under the bonus-to-options program. In accordance with Mr. O’Kane’s election and the terms of the bonus-to-options program, Mr. O’Kane received a cash payment of $57,407 in respect of his 2023 annual cash bonus, as reflected in this column, and in place of the remaining amount, received an option award representing the right to purchase 35,307 shares of our common stock, the value of which is reflected in the “Option Awards” column.</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Arial" w:cs="Arial" w:eastAsia="Arial" w:hAnsi="Arial"/>
                <w:sz w:val="14"/>
                <w:szCs w:val="14"/>
                <w:b w:val="1"/>
                <w:bCs w:val="1"/>
                <w:color w:val="305494"/>
              </w:rPr>
              <w:t>2024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305494"/>
              </w:rPr>
              <w:t>31</w:t>
            </w:r>
          </w:p>
        </w:tc>
      </w:tr>
    </w:tbl>
    <w:p>
      <w:pPr>
        <w:sectPr>
          <w:pgSz w:w="11900" w:h="16838" w:orient="portrait"/>
          <w:cols w:equalWidth="0" w:num="1">
            <w:col w:w="11080"/>
          </w:cols>
          <w:pgMar w:left="320" w:top="455" w:right="4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305494"/>
        </w:rPr>
        <w:t>Outstanding Equity Awards at Fiscal 2023 Year-End</w:t>
      </w:r>
    </w:p>
    <w:p>
      <w:pPr>
        <w:spacing w:after="0" w:line="230" w:lineRule="exact"/>
        <w:rPr>
          <w:sz w:val="20"/>
          <w:szCs w:val="20"/>
          <w:color w:val="auto"/>
        </w:rPr>
      </w:pPr>
    </w:p>
    <w:p>
      <w:pPr>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regarding the outstanding equity awards held by each of the named executive officers as of December 31, 2023. As of the year ended December 31, 2023, none of the named executive officers held any outstanding stock awards other than options and RSUs.</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65"/>
        </w:trPr>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10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139"/>
        </w:trPr>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8"/>
        </w:trPr>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Incentive</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8"/>
        </w:trPr>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Plan</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8"/>
        </w:trPr>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52"/>
        </w:trPr>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0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2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Market Value</w:t>
            </w:r>
          </w:p>
        </w:tc>
      </w:tr>
      <w:tr>
        <w:trPr>
          <w:trHeight w:val="148"/>
        </w:trPr>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1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12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0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of Shares or</w:t>
            </w:r>
          </w:p>
        </w:tc>
      </w:tr>
      <w:tr>
        <w:trPr>
          <w:trHeight w:val="148"/>
        </w:trPr>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1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12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10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 or Units</w:t>
            </w:r>
          </w:p>
        </w:tc>
        <w:tc>
          <w:tcPr>
            <w:tcW w:w="10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Units of Stock</w:t>
            </w:r>
          </w:p>
        </w:tc>
      </w:tr>
      <w:tr>
        <w:trPr>
          <w:trHeight w:val="148"/>
        </w:trPr>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1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12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10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Exercise</w:t>
            </w:r>
          </w:p>
        </w:tc>
        <w:tc>
          <w:tcPr>
            <w:tcW w:w="100" w:type="dxa"/>
            <w:vAlign w:val="bottom"/>
          </w:tcPr>
          <w:p>
            <w:pPr>
              <w:spacing w:after="0"/>
              <w:rPr>
                <w:sz w:val="12"/>
                <w:szCs w:val="12"/>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of Stock That</w:t>
            </w:r>
          </w:p>
        </w:tc>
        <w:tc>
          <w:tcPr>
            <w:tcW w:w="10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That Have</w:t>
            </w:r>
          </w:p>
        </w:tc>
      </w:tr>
      <w:tr>
        <w:trPr>
          <w:trHeight w:val="148"/>
        </w:trPr>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Grant</w:t>
            </w:r>
          </w:p>
        </w:tc>
        <w:tc>
          <w:tcPr>
            <w:tcW w:w="12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1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12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Unearned</w:t>
            </w:r>
          </w:p>
        </w:tc>
        <w:tc>
          <w:tcPr>
            <w:tcW w:w="10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Price</w:t>
            </w:r>
          </w:p>
        </w:tc>
        <w:tc>
          <w:tcPr>
            <w:tcW w:w="100" w:type="dxa"/>
            <w:vAlign w:val="bottom"/>
          </w:tcPr>
          <w:p>
            <w:pPr>
              <w:spacing w:after="0"/>
              <w:rPr>
                <w:sz w:val="12"/>
                <w:szCs w:val="12"/>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Expiration</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Have Not Vested</w:t>
            </w:r>
          </w:p>
        </w:tc>
        <w:tc>
          <w:tcPr>
            <w:tcW w:w="10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Not Vested</w:t>
            </w:r>
          </w:p>
        </w:tc>
      </w:tr>
      <w:tr>
        <w:trPr>
          <w:trHeight w:val="183"/>
        </w:trPr>
        <w:tc>
          <w:tcPr>
            <w:tcW w:w="18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0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Date</w:t>
            </w:r>
          </w:p>
        </w:tc>
        <w:tc>
          <w:tcPr>
            <w:tcW w:w="12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 Exercisable</w:t>
            </w:r>
          </w:p>
        </w:tc>
        <w:tc>
          <w:tcPr>
            <w:tcW w:w="10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 Unexercisable</w:t>
            </w:r>
          </w:p>
        </w:tc>
        <w:tc>
          <w:tcPr>
            <w:tcW w:w="12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Options (#)</w:t>
            </w:r>
          </w:p>
        </w:tc>
        <w:tc>
          <w:tcPr>
            <w:tcW w:w="100" w:type="dxa"/>
            <w:vAlign w:val="bottom"/>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Date</w:t>
            </w:r>
          </w:p>
        </w:tc>
        <w:tc>
          <w:tcPr>
            <w:tcW w:w="10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13"/>
                <w:szCs w:val="13"/>
                <w:b w:val="1"/>
                <w:bCs w:val="1"/>
                <w:color w:val="auto"/>
                <w:w w:val="91"/>
              </w:rPr>
              <w:t>($)</w:t>
            </w:r>
            <w:r>
              <w:rPr>
                <w:rFonts w:ascii="Times New Roman" w:cs="Times New Roman" w:eastAsia="Times New Roman" w:hAnsi="Times New Roman"/>
                <w:sz w:val="20"/>
                <w:szCs w:val="20"/>
                <w:b w:val="1"/>
                <w:bCs w:val="1"/>
                <w:color w:val="auto"/>
                <w:w w:val="91"/>
                <w:vertAlign w:val="superscript"/>
              </w:rPr>
              <w:t>(7)</w:t>
            </w:r>
          </w:p>
        </w:tc>
      </w:tr>
      <w:tr>
        <w:trPr>
          <w:trHeight w:val="126"/>
        </w:trPr>
        <w:tc>
          <w:tcPr>
            <w:tcW w:w="18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Scott Hutton</w:t>
            </w:r>
          </w:p>
        </w:tc>
        <w:tc>
          <w:tcPr>
            <w:tcW w:w="880" w:type="dxa"/>
            <w:vAlign w:val="bottom"/>
            <w:gridSpan w:val="2"/>
            <w:shd w:val="clear" w:color="auto" w:fill="CCEEFF"/>
          </w:tcPr>
          <w:p>
            <w:pPr>
              <w:jc w:val="center"/>
              <w:ind w:left="48"/>
              <w:spacing w:after="0" w:line="126" w:lineRule="exact"/>
              <w:rPr>
                <w:sz w:val="20"/>
                <w:szCs w:val="20"/>
                <w:color w:val="auto"/>
              </w:rPr>
            </w:pPr>
            <w:r>
              <w:rPr>
                <w:rFonts w:ascii="Times New Roman" w:cs="Times New Roman" w:eastAsia="Times New Roman" w:hAnsi="Times New Roman"/>
                <w:sz w:val="14"/>
                <w:szCs w:val="14"/>
                <w:color w:val="auto"/>
              </w:rPr>
              <w:t>4/4/2018</w:t>
            </w:r>
          </w:p>
        </w:tc>
        <w:tc>
          <w:tcPr>
            <w:tcW w:w="1260" w:type="dxa"/>
            <w:vAlign w:val="bottom"/>
            <w:gridSpan w:val="2"/>
            <w:shd w:val="clear" w:color="auto" w:fill="CCEEFF"/>
          </w:tcPr>
          <w:p>
            <w:pPr>
              <w:jc w:val="center"/>
              <w:ind w:left="28"/>
              <w:spacing w:after="0" w:line="126" w:lineRule="exact"/>
              <w:rPr>
                <w:sz w:val="20"/>
                <w:szCs w:val="20"/>
                <w:color w:val="auto"/>
              </w:rPr>
            </w:pPr>
            <w:r>
              <w:rPr>
                <w:rFonts w:ascii="Times New Roman" w:cs="Times New Roman" w:eastAsia="Times New Roman" w:hAnsi="Times New Roman"/>
                <w:sz w:val="14"/>
                <w:szCs w:val="14"/>
                <w:color w:val="auto"/>
              </w:rPr>
              <w:t>84,231</w:t>
            </w:r>
          </w:p>
        </w:tc>
        <w:tc>
          <w:tcPr>
            <w:tcW w:w="100" w:type="dxa"/>
            <w:vAlign w:val="bottom"/>
            <w:shd w:val="clear" w:color="auto" w:fill="CCEEFF"/>
          </w:tcPr>
          <w:p>
            <w:pPr>
              <w:spacing w:after="0"/>
              <w:rPr>
                <w:sz w:val="10"/>
                <w:szCs w:val="10"/>
                <w:color w:val="auto"/>
              </w:rPr>
            </w:pPr>
          </w:p>
        </w:tc>
        <w:tc>
          <w:tcPr>
            <w:tcW w:w="132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16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center"/>
              <w:ind w:left="28"/>
              <w:spacing w:after="0" w:line="126" w:lineRule="exact"/>
              <w:rPr>
                <w:sz w:val="20"/>
                <w:szCs w:val="20"/>
                <w:color w:val="auto"/>
              </w:rPr>
            </w:pPr>
            <w:r>
              <w:rPr>
                <w:rFonts w:ascii="Times New Roman" w:cs="Times New Roman" w:eastAsia="Times New Roman" w:hAnsi="Times New Roman"/>
                <w:sz w:val="14"/>
                <w:szCs w:val="14"/>
                <w:color w:val="auto"/>
                <w:w w:val="97"/>
              </w:rPr>
              <w:t>0.42</w:t>
            </w:r>
          </w:p>
        </w:tc>
        <w:tc>
          <w:tcPr>
            <w:tcW w:w="980" w:type="dxa"/>
            <w:vAlign w:val="bottom"/>
            <w:gridSpan w:val="2"/>
            <w:shd w:val="clear" w:color="auto" w:fill="CCEEFF"/>
          </w:tcPr>
          <w:p>
            <w:pPr>
              <w:jc w:val="center"/>
              <w:ind w:left="28"/>
              <w:spacing w:after="0" w:line="126" w:lineRule="exact"/>
              <w:rPr>
                <w:sz w:val="20"/>
                <w:szCs w:val="20"/>
                <w:color w:val="auto"/>
              </w:rPr>
            </w:pPr>
            <w:r>
              <w:rPr>
                <w:rFonts w:ascii="Times New Roman" w:cs="Times New Roman" w:eastAsia="Times New Roman" w:hAnsi="Times New Roman"/>
                <w:sz w:val="14"/>
                <w:szCs w:val="14"/>
                <w:color w:val="auto"/>
              </w:rPr>
              <w:t>4/3/2028</w:t>
            </w:r>
          </w:p>
        </w:tc>
        <w:tc>
          <w:tcPr>
            <w:tcW w:w="100" w:type="dxa"/>
            <w:vAlign w:val="bottom"/>
            <w:shd w:val="clear" w:color="auto" w:fill="CCEEFF"/>
          </w:tcPr>
          <w:p>
            <w:pPr>
              <w:spacing w:after="0"/>
              <w:rPr>
                <w:sz w:val="10"/>
                <w:szCs w:val="10"/>
                <w:color w:val="auto"/>
              </w:rPr>
            </w:pPr>
          </w:p>
        </w:tc>
        <w:tc>
          <w:tcPr>
            <w:tcW w:w="128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12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1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3/22/2019</w:t>
            </w:r>
          </w:p>
        </w:tc>
        <w:tc>
          <w:tcPr>
            <w:tcW w:w="1260" w:type="dxa"/>
            <w:vAlign w:val="bottom"/>
            <w:gridSpan w:val="2"/>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41,414</w:t>
            </w:r>
          </w:p>
        </w:tc>
        <w:tc>
          <w:tcPr>
            <w:tcW w:w="1420" w:type="dxa"/>
            <w:vAlign w:val="bottom"/>
            <w:gridSpan w:val="2"/>
            <w:shd w:val="clear" w:color="auto" w:fill="CCEEFF"/>
          </w:tcPr>
          <w:p>
            <w:pPr>
              <w:jc w:val="center"/>
              <w:ind w:left="53"/>
              <w:spacing w:after="0" w:line="149" w:lineRule="exact"/>
              <w:rPr>
                <w:sz w:val="20"/>
                <w:szCs w:val="20"/>
                <w:color w:val="auto"/>
              </w:rPr>
            </w:pPr>
            <w:r>
              <w:rPr>
                <w:rFonts w:ascii="Times New Roman" w:cs="Times New Roman" w:eastAsia="Times New Roman" w:hAnsi="Times New Roman"/>
                <w:sz w:val="14"/>
                <w:szCs w:val="14"/>
                <w:color w:val="auto"/>
              </w:rPr>
              <w:t>701</w:t>
            </w:r>
            <w:r>
              <w:rPr>
                <w:rFonts w:ascii="Times New Roman" w:cs="Times New Roman" w:eastAsia="Times New Roman" w:hAnsi="Times New Roman"/>
                <w:sz w:val="10"/>
                <w:szCs w:val="10"/>
                <w:color w:val="auto"/>
              </w:rPr>
              <w:t>(2)</w:t>
            </w: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w w:val="97"/>
              </w:rPr>
              <w:t>0.77</w:t>
            </w:r>
          </w:p>
        </w:tc>
        <w:tc>
          <w:tcPr>
            <w:tcW w:w="980" w:type="dxa"/>
            <w:vAlign w:val="bottom"/>
            <w:gridSpan w:val="2"/>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12/31/2028</w:t>
            </w: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1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3/22/2019</w:t>
            </w:r>
          </w:p>
        </w:tc>
        <w:tc>
          <w:tcPr>
            <w:tcW w:w="1260" w:type="dxa"/>
            <w:vAlign w:val="bottom"/>
            <w:gridSpan w:val="2"/>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16,846</w:t>
            </w:r>
            <w:r>
              <w:rPr>
                <w:rFonts w:ascii="Times New Roman" w:cs="Times New Roman" w:eastAsia="Times New Roman" w:hAnsi="Times New Roman"/>
                <w:sz w:val="10"/>
                <w:szCs w:val="10"/>
                <w:color w:val="auto"/>
              </w:rPr>
              <w:t>(4)</w:t>
            </w: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w w:val="97"/>
              </w:rPr>
              <w:t>0.77</w:t>
            </w:r>
          </w:p>
        </w:tc>
        <w:tc>
          <w:tcPr>
            <w:tcW w:w="980" w:type="dxa"/>
            <w:vAlign w:val="bottom"/>
            <w:gridSpan w:val="2"/>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12/31/2028</w:t>
            </w: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1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4/15/2020</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118,769</w:t>
            </w:r>
          </w:p>
        </w:tc>
        <w:tc>
          <w:tcPr>
            <w:tcW w:w="1420" w:type="dxa"/>
            <w:vAlign w:val="bottom"/>
            <w:gridSpan w:val="2"/>
            <w:shd w:val="clear" w:color="auto" w:fill="CCEEFF"/>
          </w:tcPr>
          <w:p>
            <w:pPr>
              <w:jc w:val="center"/>
              <w:ind w:left="33"/>
              <w:spacing w:after="0" w:line="149" w:lineRule="exact"/>
              <w:rPr>
                <w:sz w:val="20"/>
                <w:szCs w:val="20"/>
                <w:color w:val="auto"/>
              </w:rPr>
            </w:pPr>
            <w:r>
              <w:rPr>
                <w:rFonts w:ascii="Times New Roman" w:cs="Times New Roman" w:eastAsia="Times New Roman" w:hAnsi="Times New Roman"/>
                <w:sz w:val="14"/>
                <w:szCs w:val="14"/>
                <w:color w:val="auto"/>
              </w:rPr>
              <w:t>32,848</w:t>
            </w:r>
            <w:r>
              <w:rPr>
                <w:rFonts w:ascii="Times New Roman" w:cs="Times New Roman" w:eastAsia="Times New Roman" w:hAnsi="Times New Roman"/>
                <w:sz w:val="10"/>
                <w:szCs w:val="10"/>
                <w:color w:val="auto"/>
              </w:rPr>
              <w:t>(1)</w:t>
            </w: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w w:val="97"/>
              </w:rPr>
              <w:t>0.77</w:t>
            </w:r>
          </w:p>
        </w:tc>
        <w:tc>
          <w:tcPr>
            <w:tcW w:w="980" w:type="dxa"/>
            <w:vAlign w:val="bottom"/>
            <w:gridSpan w:val="2"/>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4/14/2030</w:t>
            </w: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1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2/8/2022</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109,908</w:t>
            </w:r>
            <w:r>
              <w:rPr>
                <w:rFonts w:ascii="Times New Roman" w:cs="Times New Roman" w:eastAsia="Times New Roman" w:hAnsi="Times New Roman"/>
                <w:sz w:val="10"/>
                <w:szCs w:val="10"/>
                <w:color w:val="auto"/>
              </w:rPr>
              <w:t>(6)</w:t>
            </w:r>
          </w:p>
        </w:tc>
        <w:tc>
          <w:tcPr>
            <w:tcW w:w="1220" w:type="dxa"/>
            <w:vAlign w:val="bottom"/>
            <w:gridSpan w:val="2"/>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202,231</w:t>
            </w:r>
          </w:p>
        </w:tc>
      </w:tr>
      <w:tr>
        <w:trPr>
          <w:trHeight w:val="148"/>
        </w:trPr>
        <w:tc>
          <w:tcPr>
            <w:tcW w:w="1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3/10/2022</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85,875</w:t>
            </w:r>
            <w:r>
              <w:rPr>
                <w:rFonts w:ascii="Times New Roman" w:cs="Times New Roman" w:eastAsia="Times New Roman" w:hAnsi="Times New Roman"/>
                <w:sz w:val="10"/>
                <w:szCs w:val="10"/>
                <w:color w:val="auto"/>
              </w:rPr>
              <w:t>(5)</w:t>
            </w: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w w:val="97"/>
              </w:rPr>
              <w:t>2.29</w:t>
            </w:r>
          </w:p>
        </w:tc>
        <w:tc>
          <w:tcPr>
            <w:tcW w:w="980" w:type="dxa"/>
            <w:vAlign w:val="bottom"/>
            <w:gridSpan w:val="2"/>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3/9/2032</w:t>
            </w: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1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2/8/2023</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751,042</w:t>
            </w:r>
            <w:r>
              <w:rPr>
                <w:rFonts w:ascii="Times New Roman" w:cs="Times New Roman" w:eastAsia="Times New Roman" w:hAnsi="Times New Roman"/>
                <w:sz w:val="10"/>
                <w:szCs w:val="10"/>
                <w:color w:val="auto"/>
              </w:rPr>
              <w:t>(3)</w:t>
            </w:r>
          </w:p>
        </w:tc>
        <w:tc>
          <w:tcPr>
            <w:tcW w:w="1220" w:type="dxa"/>
            <w:vAlign w:val="bottom"/>
            <w:gridSpan w:val="2"/>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w w:val="99"/>
              </w:rPr>
              <w:t>1,381,917</w:t>
            </w:r>
          </w:p>
        </w:tc>
      </w:tr>
      <w:tr>
        <w:trPr>
          <w:trHeight w:val="148"/>
        </w:trPr>
        <w:tc>
          <w:tcPr>
            <w:tcW w:w="1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3/1/2023</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435,668</w:t>
            </w:r>
            <w:r>
              <w:rPr>
                <w:rFonts w:ascii="Times New Roman" w:cs="Times New Roman" w:eastAsia="Times New Roman" w:hAnsi="Times New Roman"/>
                <w:sz w:val="10"/>
                <w:szCs w:val="10"/>
                <w:color w:val="auto"/>
              </w:rPr>
              <w:t>(5)</w:t>
            </w: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w w:val="97"/>
              </w:rPr>
              <w:t>2.00</w:t>
            </w:r>
          </w:p>
        </w:tc>
        <w:tc>
          <w:tcPr>
            <w:tcW w:w="980" w:type="dxa"/>
            <w:vAlign w:val="bottom"/>
            <w:gridSpan w:val="2"/>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2/2/2033</w:t>
            </w: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1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7/24/2023</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48,733</w:t>
            </w:r>
            <w:r>
              <w:rPr>
                <w:rFonts w:ascii="Times New Roman" w:cs="Times New Roman" w:eastAsia="Times New Roman" w:hAnsi="Times New Roman"/>
                <w:sz w:val="10"/>
                <w:szCs w:val="10"/>
                <w:color w:val="auto"/>
              </w:rPr>
              <w:t>(8)</w:t>
            </w: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w w:val="97"/>
              </w:rPr>
              <w:t>1.20</w:t>
            </w:r>
          </w:p>
        </w:tc>
        <w:tc>
          <w:tcPr>
            <w:tcW w:w="980" w:type="dxa"/>
            <w:vAlign w:val="bottom"/>
            <w:gridSpan w:val="2"/>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7/23/2033</w:t>
            </w: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71"/>
        </w:trPr>
        <w:tc>
          <w:tcPr>
            <w:tcW w:w="1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7/24/2023</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26,960</w:t>
            </w:r>
            <w:r>
              <w:rPr>
                <w:rFonts w:ascii="Times New Roman" w:cs="Times New Roman" w:eastAsia="Times New Roman" w:hAnsi="Times New Roman"/>
                <w:sz w:val="10"/>
                <w:szCs w:val="10"/>
                <w:color w:val="auto"/>
              </w:rPr>
              <w:t>(9)</w:t>
            </w: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7"/>
              </w:rPr>
              <w:t>1.20</w:t>
            </w:r>
          </w:p>
        </w:tc>
        <w:tc>
          <w:tcPr>
            <w:tcW w:w="98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7/23/2033</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126"/>
        </w:trPr>
        <w:tc>
          <w:tcPr>
            <w:tcW w:w="18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Robin Harper Cowie</w:t>
            </w:r>
          </w:p>
        </w:tc>
        <w:tc>
          <w:tcPr>
            <w:tcW w:w="100" w:type="dxa"/>
            <w:vAlign w:val="bottom"/>
          </w:tcPr>
          <w:p>
            <w:pPr>
              <w:spacing w:after="0"/>
              <w:rPr>
                <w:sz w:val="10"/>
                <w:szCs w:val="10"/>
                <w:color w:val="auto"/>
              </w:rPr>
            </w:pPr>
          </w:p>
        </w:tc>
        <w:tc>
          <w:tcPr>
            <w:tcW w:w="78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2/4/2014</w:t>
            </w:r>
          </w:p>
        </w:tc>
        <w:tc>
          <w:tcPr>
            <w:tcW w:w="120" w:type="dxa"/>
            <w:vAlign w:val="bottom"/>
          </w:tcPr>
          <w:p>
            <w:pPr>
              <w:spacing w:after="0"/>
              <w:rPr>
                <w:sz w:val="10"/>
                <w:szCs w:val="10"/>
                <w:color w:val="auto"/>
              </w:rPr>
            </w:pPr>
          </w:p>
        </w:tc>
        <w:tc>
          <w:tcPr>
            <w:tcW w:w="114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10,107</w:t>
            </w:r>
          </w:p>
        </w:tc>
        <w:tc>
          <w:tcPr>
            <w:tcW w:w="100" w:type="dxa"/>
            <w:vAlign w:val="bottom"/>
          </w:tcPr>
          <w:p>
            <w:pPr>
              <w:spacing w:after="0"/>
              <w:rPr>
                <w:sz w:val="10"/>
                <w:szCs w:val="10"/>
                <w:color w:val="auto"/>
              </w:rPr>
            </w:pPr>
          </w:p>
        </w:tc>
        <w:tc>
          <w:tcPr>
            <w:tcW w:w="132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16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center"/>
              <w:ind w:left="28"/>
              <w:spacing w:after="0" w:line="126" w:lineRule="exact"/>
              <w:rPr>
                <w:sz w:val="20"/>
                <w:szCs w:val="20"/>
                <w:color w:val="auto"/>
              </w:rPr>
            </w:pPr>
            <w:r>
              <w:rPr>
                <w:rFonts w:ascii="Times New Roman" w:cs="Times New Roman" w:eastAsia="Times New Roman" w:hAnsi="Times New Roman"/>
                <w:sz w:val="14"/>
                <w:szCs w:val="14"/>
                <w:color w:val="auto"/>
                <w:w w:val="97"/>
              </w:rPr>
              <w:t>4.40</w:t>
            </w:r>
          </w:p>
        </w:tc>
        <w:tc>
          <w:tcPr>
            <w:tcW w:w="980" w:type="dxa"/>
            <w:vAlign w:val="bottom"/>
            <w:gridSpan w:val="2"/>
          </w:tcPr>
          <w:p>
            <w:pPr>
              <w:jc w:val="center"/>
              <w:ind w:left="28"/>
              <w:spacing w:after="0" w:line="126" w:lineRule="exact"/>
              <w:rPr>
                <w:sz w:val="20"/>
                <w:szCs w:val="20"/>
                <w:color w:val="auto"/>
              </w:rPr>
            </w:pPr>
            <w:r>
              <w:rPr>
                <w:rFonts w:ascii="Times New Roman" w:cs="Times New Roman" w:eastAsia="Times New Roman" w:hAnsi="Times New Roman"/>
                <w:sz w:val="14"/>
                <w:szCs w:val="14"/>
                <w:color w:val="auto"/>
              </w:rPr>
              <w:t>2/3/2024</w:t>
            </w:r>
          </w:p>
        </w:tc>
        <w:tc>
          <w:tcPr>
            <w:tcW w:w="100" w:type="dxa"/>
            <w:vAlign w:val="bottom"/>
          </w:tcPr>
          <w:p>
            <w:pPr>
              <w:spacing w:after="0"/>
              <w:rPr>
                <w:sz w:val="10"/>
                <w:szCs w:val="10"/>
                <w:color w:val="auto"/>
              </w:rPr>
            </w:pPr>
          </w:p>
        </w:tc>
        <w:tc>
          <w:tcPr>
            <w:tcW w:w="128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12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1860" w:type="dxa"/>
            <w:vAlign w:val="bottom"/>
          </w:tcPr>
          <w:p>
            <w:pPr>
              <w:spacing w:after="0"/>
              <w:rPr>
                <w:sz w:val="12"/>
                <w:szCs w:val="12"/>
                <w:color w:val="auto"/>
              </w:rPr>
            </w:pPr>
          </w:p>
        </w:tc>
        <w:tc>
          <w:tcPr>
            <w:tcW w:w="88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4/8/2015</w:t>
            </w:r>
          </w:p>
        </w:tc>
        <w:tc>
          <w:tcPr>
            <w:tcW w:w="126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6,738</w:t>
            </w:r>
          </w:p>
        </w:tc>
        <w:tc>
          <w:tcPr>
            <w:tcW w:w="1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w w:val="97"/>
              </w:rPr>
              <w:t>4.40</w:t>
            </w:r>
          </w:p>
        </w:tc>
        <w:tc>
          <w:tcPr>
            <w:tcW w:w="98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4/7/2025</w:t>
            </w:r>
          </w:p>
        </w:tc>
        <w:tc>
          <w:tcPr>
            <w:tcW w:w="1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1860" w:type="dxa"/>
            <w:vAlign w:val="bottom"/>
          </w:tcPr>
          <w:p>
            <w:pPr>
              <w:spacing w:after="0"/>
              <w:rPr>
                <w:sz w:val="12"/>
                <w:szCs w:val="12"/>
                <w:color w:val="auto"/>
              </w:rPr>
            </w:pPr>
          </w:p>
        </w:tc>
        <w:tc>
          <w:tcPr>
            <w:tcW w:w="88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4/7/2016</w:t>
            </w:r>
          </w:p>
        </w:tc>
        <w:tc>
          <w:tcPr>
            <w:tcW w:w="126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35,377</w:t>
            </w:r>
          </w:p>
        </w:tc>
        <w:tc>
          <w:tcPr>
            <w:tcW w:w="1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w w:val="97"/>
              </w:rPr>
              <w:t>0.84</w:t>
            </w:r>
          </w:p>
        </w:tc>
        <w:tc>
          <w:tcPr>
            <w:tcW w:w="98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4/6/2026</w:t>
            </w:r>
          </w:p>
        </w:tc>
        <w:tc>
          <w:tcPr>
            <w:tcW w:w="1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1860" w:type="dxa"/>
            <w:vAlign w:val="bottom"/>
          </w:tcPr>
          <w:p>
            <w:pPr>
              <w:spacing w:after="0"/>
              <w:rPr>
                <w:sz w:val="12"/>
                <w:szCs w:val="12"/>
                <w:color w:val="auto"/>
              </w:rPr>
            </w:pPr>
          </w:p>
        </w:tc>
        <w:tc>
          <w:tcPr>
            <w:tcW w:w="88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4/4/2018</w:t>
            </w:r>
          </w:p>
        </w:tc>
        <w:tc>
          <w:tcPr>
            <w:tcW w:w="126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4,209</w:t>
            </w:r>
          </w:p>
        </w:tc>
        <w:tc>
          <w:tcPr>
            <w:tcW w:w="1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w w:val="97"/>
              </w:rPr>
              <w:t>0.42</w:t>
            </w:r>
          </w:p>
        </w:tc>
        <w:tc>
          <w:tcPr>
            <w:tcW w:w="98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4/3/2028</w:t>
            </w:r>
          </w:p>
        </w:tc>
        <w:tc>
          <w:tcPr>
            <w:tcW w:w="1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1860" w:type="dxa"/>
            <w:vAlign w:val="bottom"/>
          </w:tcPr>
          <w:p>
            <w:pPr>
              <w:spacing w:after="0"/>
              <w:rPr>
                <w:sz w:val="12"/>
                <w:szCs w:val="12"/>
                <w:color w:val="auto"/>
              </w:rPr>
            </w:pPr>
          </w:p>
        </w:tc>
        <w:tc>
          <w:tcPr>
            <w:tcW w:w="88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3/22/2019</w:t>
            </w:r>
          </w:p>
        </w:tc>
        <w:tc>
          <w:tcPr>
            <w:tcW w:w="126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34,788</w:t>
            </w:r>
          </w:p>
        </w:tc>
        <w:tc>
          <w:tcPr>
            <w:tcW w:w="1420" w:type="dxa"/>
            <w:vAlign w:val="bottom"/>
            <w:gridSpan w:val="2"/>
          </w:tcPr>
          <w:p>
            <w:pPr>
              <w:jc w:val="center"/>
              <w:ind w:left="53"/>
              <w:spacing w:after="0" w:line="149" w:lineRule="exact"/>
              <w:rPr>
                <w:sz w:val="20"/>
                <w:szCs w:val="20"/>
                <w:color w:val="auto"/>
              </w:rPr>
            </w:pPr>
            <w:r>
              <w:rPr>
                <w:rFonts w:ascii="Times New Roman" w:cs="Times New Roman" w:eastAsia="Times New Roman" w:hAnsi="Times New Roman"/>
                <w:sz w:val="17"/>
                <w:szCs w:val="17"/>
                <w:color w:val="auto"/>
                <w:vertAlign w:val="subscript"/>
              </w:rPr>
              <w:t>589</w:t>
            </w:r>
            <w:r>
              <w:rPr>
                <w:rFonts w:ascii="Times New Roman" w:cs="Times New Roman" w:eastAsia="Times New Roman" w:hAnsi="Times New Roman"/>
                <w:sz w:val="8"/>
                <w:szCs w:val="8"/>
                <w:color w:val="auto"/>
              </w:rPr>
              <w:t>(2)</w:t>
            </w:r>
          </w:p>
        </w:tc>
        <w:tc>
          <w:tcPr>
            <w:tcW w:w="1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w w:val="97"/>
              </w:rPr>
              <w:t>0.77</w:t>
            </w:r>
          </w:p>
        </w:tc>
        <w:tc>
          <w:tcPr>
            <w:tcW w:w="98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12/31/2028</w:t>
            </w:r>
          </w:p>
        </w:tc>
        <w:tc>
          <w:tcPr>
            <w:tcW w:w="1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1860" w:type="dxa"/>
            <w:vAlign w:val="bottom"/>
          </w:tcPr>
          <w:p>
            <w:pPr>
              <w:spacing w:after="0"/>
              <w:rPr>
                <w:sz w:val="12"/>
                <w:szCs w:val="12"/>
                <w:color w:val="auto"/>
              </w:rPr>
            </w:pPr>
          </w:p>
        </w:tc>
        <w:tc>
          <w:tcPr>
            <w:tcW w:w="88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3/22/2019</w:t>
            </w:r>
          </w:p>
        </w:tc>
        <w:tc>
          <w:tcPr>
            <w:tcW w:w="126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11,792</w:t>
            </w:r>
            <w:r>
              <w:rPr>
                <w:rFonts w:ascii="Times New Roman" w:cs="Times New Roman" w:eastAsia="Times New Roman" w:hAnsi="Times New Roman"/>
                <w:sz w:val="10"/>
                <w:szCs w:val="10"/>
                <w:color w:val="auto"/>
              </w:rPr>
              <w:t>(4)</w:t>
            </w:r>
          </w:p>
        </w:tc>
        <w:tc>
          <w:tcPr>
            <w:tcW w:w="1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w w:val="97"/>
              </w:rPr>
              <w:t>0.77</w:t>
            </w:r>
          </w:p>
        </w:tc>
        <w:tc>
          <w:tcPr>
            <w:tcW w:w="98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12/31/2028</w:t>
            </w:r>
          </w:p>
        </w:tc>
        <w:tc>
          <w:tcPr>
            <w:tcW w:w="1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1860" w:type="dxa"/>
            <w:vAlign w:val="bottom"/>
          </w:tcPr>
          <w:p>
            <w:pPr>
              <w:spacing w:after="0"/>
              <w:rPr>
                <w:sz w:val="12"/>
                <w:szCs w:val="12"/>
                <w:color w:val="auto"/>
              </w:rPr>
            </w:pPr>
          </w:p>
        </w:tc>
        <w:tc>
          <w:tcPr>
            <w:tcW w:w="88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4/15/2020</w:t>
            </w:r>
          </w:p>
        </w:tc>
        <w:tc>
          <w:tcPr>
            <w:tcW w:w="126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23,758</w:t>
            </w:r>
          </w:p>
        </w:tc>
        <w:tc>
          <w:tcPr>
            <w:tcW w:w="1420" w:type="dxa"/>
            <w:vAlign w:val="bottom"/>
            <w:gridSpan w:val="2"/>
          </w:tcPr>
          <w:p>
            <w:pPr>
              <w:jc w:val="center"/>
              <w:ind w:left="33"/>
              <w:spacing w:after="0" w:line="149" w:lineRule="exact"/>
              <w:rPr>
                <w:sz w:val="20"/>
                <w:szCs w:val="20"/>
                <w:color w:val="auto"/>
              </w:rPr>
            </w:pPr>
            <w:r>
              <w:rPr>
                <w:rFonts w:ascii="Times New Roman" w:cs="Times New Roman" w:eastAsia="Times New Roman" w:hAnsi="Times New Roman"/>
                <w:sz w:val="14"/>
                <w:szCs w:val="14"/>
                <w:color w:val="auto"/>
              </w:rPr>
              <w:t>6,565</w:t>
            </w:r>
            <w:r>
              <w:rPr>
                <w:rFonts w:ascii="Times New Roman" w:cs="Times New Roman" w:eastAsia="Times New Roman" w:hAnsi="Times New Roman"/>
                <w:sz w:val="10"/>
                <w:szCs w:val="10"/>
                <w:color w:val="auto"/>
              </w:rPr>
              <w:t>(1)</w:t>
            </w:r>
          </w:p>
        </w:tc>
        <w:tc>
          <w:tcPr>
            <w:tcW w:w="1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w w:val="97"/>
              </w:rPr>
              <w:t>0.77</w:t>
            </w:r>
          </w:p>
        </w:tc>
        <w:tc>
          <w:tcPr>
            <w:tcW w:w="98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4/14/2030</w:t>
            </w:r>
          </w:p>
        </w:tc>
        <w:tc>
          <w:tcPr>
            <w:tcW w:w="1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1860" w:type="dxa"/>
            <w:vAlign w:val="bottom"/>
          </w:tcPr>
          <w:p>
            <w:pPr>
              <w:spacing w:after="0"/>
              <w:rPr>
                <w:sz w:val="12"/>
                <w:szCs w:val="12"/>
                <w:color w:val="auto"/>
              </w:rPr>
            </w:pPr>
          </w:p>
        </w:tc>
        <w:tc>
          <w:tcPr>
            <w:tcW w:w="88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2/8/2022</w:t>
            </w:r>
          </w:p>
        </w:tc>
        <w:tc>
          <w:tcPr>
            <w:tcW w:w="1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28,411</w:t>
            </w:r>
            <w:r>
              <w:rPr>
                <w:rFonts w:ascii="Times New Roman" w:cs="Times New Roman" w:eastAsia="Times New Roman" w:hAnsi="Times New Roman"/>
                <w:sz w:val="10"/>
                <w:szCs w:val="10"/>
                <w:color w:val="auto"/>
              </w:rPr>
              <w:t>(6)</w:t>
            </w:r>
          </w:p>
        </w:tc>
        <w:tc>
          <w:tcPr>
            <w:tcW w:w="122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52,276</w:t>
            </w:r>
          </w:p>
        </w:tc>
      </w:tr>
      <w:tr>
        <w:trPr>
          <w:trHeight w:val="149"/>
        </w:trPr>
        <w:tc>
          <w:tcPr>
            <w:tcW w:w="1860" w:type="dxa"/>
            <w:vAlign w:val="bottom"/>
          </w:tcPr>
          <w:p>
            <w:pPr>
              <w:spacing w:after="0"/>
              <w:rPr>
                <w:sz w:val="12"/>
                <w:szCs w:val="12"/>
                <w:color w:val="auto"/>
              </w:rPr>
            </w:pPr>
          </w:p>
        </w:tc>
        <w:tc>
          <w:tcPr>
            <w:tcW w:w="88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3/10/2022</w:t>
            </w:r>
          </w:p>
        </w:tc>
        <w:tc>
          <w:tcPr>
            <w:tcW w:w="126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27,758</w:t>
            </w:r>
            <w:r>
              <w:rPr>
                <w:rFonts w:ascii="Times New Roman" w:cs="Times New Roman" w:eastAsia="Times New Roman" w:hAnsi="Times New Roman"/>
                <w:sz w:val="10"/>
                <w:szCs w:val="10"/>
                <w:color w:val="auto"/>
              </w:rPr>
              <w:t>(5)</w:t>
            </w:r>
          </w:p>
        </w:tc>
        <w:tc>
          <w:tcPr>
            <w:tcW w:w="1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w w:val="97"/>
              </w:rPr>
              <w:t>2.29</w:t>
            </w:r>
          </w:p>
        </w:tc>
        <w:tc>
          <w:tcPr>
            <w:tcW w:w="98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3/9/2032</w:t>
            </w:r>
          </w:p>
        </w:tc>
        <w:tc>
          <w:tcPr>
            <w:tcW w:w="1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1860" w:type="dxa"/>
            <w:vAlign w:val="bottom"/>
          </w:tcPr>
          <w:p>
            <w:pPr>
              <w:spacing w:after="0"/>
              <w:rPr>
                <w:sz w:val="12"/>
                <w:szCs w:val="12"/>
                <w:color w:val="auto"/>
              </w:rPr>
            </w:pPr>
          </w:p>
        </w:tc>
        <w:tc>
          <w:tcPr>
            <w:tcW w:w="88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2/8/2023</w:t>
            </w:r>
          </w:p>
        </w:tc>
        <w:tc>
          <w:tcPr>
            <w:tcW w:w="1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194,141</w:t>
            </w:r>
            <w:r>
              <w:rPr>
                <w:rFonts w:ascii="Times New Roman" w:cs="Times New Roman" w:eastAsia="Times New Roman" w:hAnsi="Times New Roman"/>
                <w:sz w:val="10"/>
                <w:szCs w:val="10"/>
                <w:color w:val="auto"/>
              </w:rPr>
              <w:t>(3)</w:t>
            </w:r>
          </w:p>
        </w:tc>
        <w:tc>
          <w:tcPr>
            <w:tcW w:w="122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357,219</w:t>
            </w:r>
          </w:p>
        </w:tc>
      </w:tr>
      <w:tr>
        <w:trPr>
          <w:trHeight w:val="148"/>
        </w:trPr>
        <w:tc>
          <w:tcPr>
            <w:tcW w:w="1860" w:type="dxa"/>
            <w:vAlign w:val="bottom"/>
          </w:tcPr>
          <w:p>
            <w:pPr>
              <w:spacing w:after="0"/>
              <w:rPr>
                <w:sz w:val="12"/>
                <w:szCs w:val="12"/>
                <w:color w:val="auto"/>
              </w:rPr>
            </w:pPr>
          </w:p>
        </w:tc>
        <w:tc>
          <w:tcPr>
            <w:tcW w:w="88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3/1/2023</w:t>
            </w:r>
          </w:p>
        </w:tc>
        <w:tc>
          <w:tcPr>
            <w:tcW w:w="126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148,448</w:t>
            </w:r>
            <w:r>
              <w:rPr>
                <w:rFonts w:ascii="Times New Roman" w:cs="Times New Roman" w:eastAsia="Times New Roman" w:hAnsi="Times New Roman"/>
                <w:sz w:val="10"/>
                <w:szCs w:val="10"/>
                <w:color w:val="auto"/>
              </w:rPr>
              <w:t>(5)</w:t>
            </w:r>
          </w:p>
        </w:tc>
        <w:tc>
          <w:tcPr>
            <w:tcW w:w="1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w w:val="97"/>
              </w:rPr>
              <w:t>2.00</w:t>
            </w:r>
          </w:p>
        </w:tc>
        <w:tc>
          <w:tcPr>
            <w:tcW w:w="98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2/28/2033</w:t>
            </w:r>
          </w:p>
        </w:tc>
        <w:tc>
          <w:tcPr>
            <w:tcW w:w="1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1860" w:type="dxa"/>
            <w:vAlign w:val="bottom"/>
          </w:tcPr>
          <w:p>
            <w:pPr>
              <w:spacing w:after="0"/>
              <w:rPr>
                <w:sz w:val="12"/>
                <w:szCs w:val="12"/>
                <w:color w:val="auto"/>
              </w:rPr>
            </w:pPr>
          </w:p>
        </w:tc>
        <w:tc>
          <w:tcPr>
            <w:tcW w:w="88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7/24/2023</w:t>
            </w:r>
          </w:p>
        </w:tc>
        <w:tc>
          <w:tcPr>
            <w:tcW w:w="1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center"/>
              <w:ind w:left="33"/>
              <w:spacing w:after="0" w:line="149" w:lineRule="exact"/>
              <w:rPr>
                <w:sz w:val="20"/>
                <w:szCs w:val="20"/>
                <w:color w:val="auto"/>
              </w:rPr>
            </w:pPr>
            <w:r>
              <w:rPr>
                <w:rFonts w:ascii="Times New Roman" w:cs="Times New Roman" w:eastAsia="Times New Roman" w:hAnsi="Times New Roman"/>
                <w:sz w:val="14"/>
                <w:szCs w:val="14"/>
                <w:color w:val="auto"/>
              </w:rPr>
              <w:t>20,659</w:t>
            </w:r>
            <w:r>
              <w:rPr>
                <w:rFonts w:ascii="Times New Roman" w:cs="Times New Roman" w:eastAsia="Times New Roman" w:hAnsi="Times New Roman"/>
                <w:sz w:val="10"/>
                <w:szCs w:val="10"/>
                <w:color w:val="auto"/>
              </w:rPr>
              <w:t>(8)</w:t>
            </w:r>
          </w:p>
        </w:tc>
        <w:tc>
          <w:tcPr>
            <w:tcW w:w="1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w w:val="97"/>
              </w:rPr>
              <w:t>1.20</w:t>
            </w:r>
          </w:p>
        </w:tc>
        <w:tc>
          <w:tcPr>
            <w:tcW w:w="98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7/23/2033</w:t>
            </w:r>
          </w:p>
        </w:tc>
        <w:tc>
          <w:tcPr>
            <w:tcW w:w="1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71"/>
        </w:trPr>
        <w:tc>
          <w:tcPr>
            <w:tcW w:w="1860" w:type="dxa"/>
            <w:vAlign w:val="bottom"/>
          </w:tcPr>
          <w:p>
            <w:pPr>
              <w:spacing w:after="0"/>
              <w:rPr>
                <w:sz w:val="14"/>
                <w:szCs w:val="14"/>
                <w:color w:val="auto"/>
              </w:rPr>
            </w:pPr>
          </w:p>
        </w:tc>
        <w:tc>
          <w:tcPr>
            <w:tcW w:w="88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7/24/2023</w:t>
            </w:r>
          </w:p>
        </w:tc>
        <w:tc>
          <w:tcPr>
            <w:tcW w:w="1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center"/>
              <w:ind w:left="33"/>
              <w:spacing w:after="0"/>
              <w:rPr>
                <w:sz w:val="20"/>
                <w:szCs w:val="20"/>
                <w:color w:val="auto"/>
              </w:rPr>
            </w:pPr>
            <w:r>
              <w:rPr>
                <w:rFonts w:ascii="Times New Roman" w:cs="Times New Roman" w:eastAsia="Times New Roman" w:hAnsi="Times New Roman"/>
                <w:sz w:val="14"/>
                <w:szCs w:val="14"/>
                <w:color w:val="auto"/>
              </w:rPr>
              <w:t>6,479</w:t>
            </w:r>
            <w:r>
              <w:rPr>
                <w:rFonts w:ascii="Times New Roman" w:cs="Times New Roman" w:eastAsia="Times New Roman" w:hAnsi="Times New Roman"/>
                <w:sz w:val="10"/>
                <w:szCs w:val="10"/>
                <w:color w:val="auto"/>
              </w:rPr>
              <w:t>(9)</w:t>
            </w:r>
          </w:p>
        </w:tc>
        <w:tc>
          <w:tcPr>
            <w:tcW w:w="1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w w:val="97"/>
              </w:rPr>
              <w:t>1.20</w:t>
            </w:r>
          </w:p>
        </w:tc>
        <w:tc>
          <w:tcPr>
            <w:tcW w:w="9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7/23/2033</w:t>
            </w:r>
          </w:p>
        </w:tc>
        <w:tc>
          <w:tcPr>
            <w:tcW w:w="1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126"/>
        </w:trPr>
        <w:tc>
          <w:tcPr>
            <w:tcW w:w="18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Kieran O’Kane</w:t>
            </w:r>
          </w:p>
        </w:tc>
        <w:tc>
          <w:tcPr>
            <w:tcW w:w="880" w:type="dxa"/>
            <w:vAlign w:val="bottom"/>
            <w:gridSpan w:val="2"/>
            <w:shd w:val="clear" w:color="auto" w:fill="CCEEFF"/>
          </w:tcPr>
          <w:p>
            <w:pPr>
              <w:jc w:val="center"/>
              <w:ind w:left="48"/>
              <w:spacing w:after="0" w:line="126" w:lineRule="exact"/>
              <w:rPr>
                <w:sz w:val="20"/>
                <w:szCs w:val="20"/>
                <w:color w:val="auto"/>
              </w:rPr>
            </w:pPr>
            <w:r>
              <w:rPr>
                <w:rFonts w:ascii="Times New Roman" w:cs="Times New Roman" w:eastAsia="Times New Roman" w:hAnsi="Times New Roman"/>
                <w:sz w:val="14"/>
                <w:szCs w:val="14"/>
                <w:color w:val="auto"/>
              </w:rPr>
              <w:t>4/4/2018</w:t>
            </w:r>
          </w:p>
        </w:tc>
        <w:tc>
          <w:tcPr>
            <w:tcW w:w="1260" w:type="dxa"/>
            <w:vAlign w:val="bottom"/>
            <w:gridSpan w:val="2"/>
            <w:shd w:val="clear" w:color="auto" w:fill="CCEEFF"/>
          </w:tcPr>
          <w:p>
            <w:pPr>
              <w:jc w:val="center"/>
              <w:ind w:left="28"/>
              <w:spacing w:after="0" w:line="126" w:lineRule="exact"/>
              <w:rPr>
                <w:sz w:val="20"/>
                <w:szCs w:val="20"/>
                <w:color w:val="auto"/>
              </w:rPr>
            </w:pPr>
            <w:r>
              <w:rPr>
                <w:rFonts w:ascii="Times New Roman" w:cs="Times New Roman" w:eastAsia="Times New Roman" w:hAnsi="Times New Roman"/>
                <w:sz w:val="14"/>
                <w:szCs w:val="14"/>
                <w:color w:val="auto"/>
              </w:rPr>
              <w:t>12,634</w:t>
            </w:r>
          </w:p>
        </w:tc>
        <w:tc>
          <w:tcPr>
            <w:tcW w:w="100" w:type="dxa"/>
            <w:vAlign w:val="bottom"/>
            <w:shd w:val="clear" w:color="auto" w:fill="CCEEFF"/>
          </w:tcPr>
          <w:p>
            <w:pPr>
              <w:spacing w:after="0"/>
              <w:rPr>
                <w:sz w:val="10"/>
                <w:szCs w:val="10"/>
                <w:color w:val="auto"/>
              </w:rPr>
            </w:pPr>
          </w:p>
        </w:tc>
        <w:tc>
          <w:tcPr>
            <w:tcW w:w="132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16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center"/>
              <w:ind w:left="28"/>
              <w:spacing w:after="0" w:line="126" w:lineRule="exact"/>
              <w:rPr>
                <w:sz w:val="20"/>
                <w:szCs w:val="20"/>
                <w:color w:val="auto"/>
              </w:rPr>
            </w:pPr>
            <w:r>
              <w:rPr>
                <w:rFonts w:ascii="Times New Roman" w:cs="Times New Roman" w:eastAsia="Times New Roman" w:hAnsi="Times New Roman"/>
                <w:sz w:val="14"/>
                <w:szCs w:val="14"/>
                <w:color w:val="auto"/>
                <w:w w:val="97"/>
              </w:rPr>
              <w:t>0.42</w:t>
            </w:r>
          </w:p>
        </w:tc>
        <w:tc>
          <w:tcPr>
            <w:tcW w:w="980" w:type="dxa"/>
            <w:vAlign w:val="bottom"/>
            <w:gridSpan w:val="2"/>
            <w:shd w:val="clear" w:color="auto" w:fill="CCEEFF"/>
          </w:tcPr>
          <w:p>
            <w:pPr>
              <w:jc w:val="center"/>
              <w:ind w:left="28"/>
              <w:spacing w:after="0" w:line="126" w:lineRule="exact"/>
              <w:rPr>
                <w:sz w:val="20"/>
                <w:szCs w:val="20"/>
                <w:color w:val="auto"/>
              </w:rPr>
            </w:pPr>
            <w:r>
              <w:rPr>
                <w:rFonts w:ascii="Times New Roman" w:cs="Times New Roman" w:eastAsia="Times New Roman" w:hAnsi="Times New Roman"/>
                <w:sz w:val="14"/>
                <w:szCs w:val="14"/>
                <w:color w:val="auto"/>
              </w:rPr>
              <w:t>4/3/2028</w:t>
            </w:r>
          </w:p>
        </w:tc>
        <w:tc>
          <w:tcPr>
            <w:tcW w:w="100" w:type="dxa"/>
            <w:vAlign w:val="bottom"/>
            <w:shd w:val="clear" w:color="auto" w:fill="CCEEFF"/>
          </w:tcPr>
          <w:p>
            <w:pPr>
              <w:spacing w:after="0"/>
              <w:rPr>
                <w:sz w:val="10"/>
                <w:szCs w:val="10"/>
                <w:color w:val="auto"/>
              </w:rPr>
            </w:pPr>
          </w:p>
        </w:tc>
        <w:tc>
          <w:tcPr>
            <w:tcW w:w="128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12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1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3/22/2019</w:t>
            </w:r>
          </w:p>
        </w:tc>
        <w:tc>
          <w:tcPr>
            <w:tcW w:w="1260" w:type="dxa"/>
            <w:vAlign w:val="bottom"/>
            <w:gridSpan w:val="2"/>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12,424</w:t>
            </w:r>
          </w:p>
        </w:tc>
        <w:tc>
          <w:tcPr>
            <w:tcW w:w="1420" w:type="dxa"/>
            <w:vAlign w:val="bottom"/>
            <w:gridSpan w:val="2"/>
            <w:shd w:val="clear" w:color="auto" w:fill="CCEEFF"/>
          </w:tcPr>
          <w:p>
            <w:pPr>
              <w:jc w:val="center"/>
              <w:ind w:left="53"/>
              <w:spacing w:after="0" w:line="149" w:lineRule="exact"/>
              <w:rPr>
                <w:sz w:val="20"/>
                <w:szCs w:val="20"/>
                <w:color w:val="auto"/>
              </w:rPr>
            </w:pPr>
            <w:r>
              <w:rPr>
                <w:rFonts w:ascii="Times New Roman" w:cs="Times New Roman" w:eastAsia="Times New Roman" w:hAnsi="Times New Roman"/>
                <w:sz w:val="12"/>
                <w:szCs w:val="12"/>
                <w:color w:val="auto"/>
              </w:rPr>
              <w:t>210</w:t>
            </w:r>
            <w:r>
              <w:rPr>
                <w:rFonts w:ascii="Times New Roman" w:cs="Times New Roman" w:eastAsia="Times New Roman" w:hAnsi="Times New Roman"/>
                <w:sz w:val="17"/>
                <w:szCs w:val="17"/>
                <w:color w:val="auto"/>
                <w:vertAlign w:val="superscript"/>
              </w:rPr>
              <w:t>(1)</w:t>
            </w: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w w:val="97"/>
              </w:rPr>
              <w:t>0.77</w:t>
            </w:r>
          </w:p>
        </w:tc>
        <w:tc>
          <w:tcPr>
            <w:tcW w:w="980" w:type="dxa"/>
            <w:vAlign w:val="bottom"/>
            <w:gridSpan w:val="2"/>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12/31/2028</w:t>
            </w: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1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4/15/2020</w:t>
            </w:r>
          </w:p>
        </w:tc>
        <w:tc>
          <w:tcPr>
            <w:tcW w:w="1260" w:type="dxa"/>
            <w:vAlign w:val="bottom"/>
            <w:gridSpan w:val="2"/>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29,511</w:t>
            </w:r>
          </w:p>
        </w:tc>
        <w:tc>
          <w:tcPr>
            <w:tcW w:w="1420" w:type="dxa"/>
            <w:vAlign w:val="bottom"/>
            <w:gridSpan w:val="2"/>
            <w:shd w:val="clear" w:color="auto" w:fill="CCEEFF"/>
          </w:tcPr>
          <w:p>
            <w:pPr>
              <w:jc w:val="center"/>
              <w:ind w:left="33"/>
              <w:spacing w:after="0" w:line="149" w:lineRule="exact"/>
              <w:rPr>
                <w:sz w:val="20"/>
                <w:szCs w:val="20"/>
                <w:color w:val="auto"/>
              </w:rPr>
            </w:pPr>
            <w:r>
              <w:rPr>
                <w:rFonts w:ascii="Times New Roman" w:cs="Times New Roman" w:eastAsia="Times New Roman" w:hAnsi="Times New Roman"/>
                <w:sz w:val="14"/>
                <w:szCs w:val="14"/>
                <w:color w:val="auto"/>
              </w:rPr>
              <w:t>5,865</w:t>
            </w:r>
            <w:r>
              <w:rPr>
                <w:rFonts w:ascii="Times New Roman" w:cs="Times New Roman" w:eastAsia="Times New Roman" w:hAnsi="Times New Roman"/>
                <w:sz w:val="10"/>
                <w:szCs w:val="10"/>
                <w:color w:val="auto"/>
              </w:rPr>
              <w:t>(1)</w:t>
            </w: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w w:val="97"/>
              </w:rPr>
              <w:t>0.77</w:t>
            </w:r>
          </w:p>
        </w:tc>
        <w:tc>
          <w:tcPr>
            <w:tcW w:w="980" w:type="dxa"/>
            <w:vAlign w:val="bottom"/>
            <w:gridSpan w:val="2"/>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4/14/2030</w:t>
            </w: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1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2/8/2022</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13,405</w:t>
            </w:r>
            <w:r>
              <w:rPr>
                <w:rFonts w:ascii="Times New Roman" w:cs="Times New Roman" w:eastAsia="Times New Roman" w:hAnsi="Times New Roman"/>
                <w:sz w:val="10"/>
                <w:szCs w:val="10"/>
                <w:color w:val="auto"/>
              </w:rPr>
              <w:t>(6)</w:t>
            </w:r>
          </w:p>
        </w:tc>
        <w:tc>
          <w:tcPr>
            <w:tcW w:w="1220" w:type="dxa"/>
            <w:vAlign w:val="bottom"/>
            <w:gridSpan w:val="2"/>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24,665</w:t>
            </w:r>
          </w:p>
        </w:tc>
      </w:tr>
      <w:tr>
        <w:trPr>
          <w:trHeight w:val="148"/>
        </w:trPr>
        <w:tc>
          <w:tcPr>
            <w:tcW w:w="1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3/10/2022</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6,162</w:t>
            </w:r>
            <w:r>
              <w:rPr>
                <w:rFonts w:ascii="Times New Roman" w:cs="Times New Roman" w:eastAsia="Times New Roman" w:hAnsi="Times New Roman"/>
                <w:sz w:val="10"/>
                <w:szCs w:val="10"/>
                <w:color w:val="auto"/>
              </w:rPr>
              <w:t>(5)</w:t>
            </w: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w w:val="97"/>
              </w:rPr>
              <w:t>2.29</w:t>
            </w:r>
          </w:p>
        </w:tc>
        <w:tc>
          <w:tcPr>
            <w:tcW w:w="980" w:type="dxa"/>
            <w:vAlign w:val="bottom"/>
            <w:gridSpan w:val="2"/>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3/9/2032</w:t>
            </w: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1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2/8/2023</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122,135</w:t>
            </w:r>
            <w:r>
              <w:rPr>
                <w:rFonts w:ascii="Times New Roman" w:cs="Times New Roman" w:eastAsia="Times New Roman" w:hAnsi="Times New Roman"/>
                <w:sz w:val="10"/>
                <w:szCs w:val="10"/>
                <w:color w:val="auto"/>
              </w:rPr>
              <w:t>(3)</w:t>
            </w:r>
          </w:p>
        </w:tc>
        <w:tc>
          <w:tcPr>
            <w:tcW w:w="1220" w:type="dxa"/>
            <w:vAlign w:val="bottom"/>
            <w:gridSpan w:val="2"/>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224,728</w:t>
            </w:r>
          </w:p>
        </w:tc>
      </w:tr>
      <w:tr>
        <w:trPr>
          <w:trHeight w:val="149"/>
        </w:trPr>
        <w:tc>
          <w:tcPr>
            <w:tcW w:w="1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3/1/2023</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52,531</w:t>
            </w:r>
            <w:r>
              <w:rPr>
                <w:rFonts w:ascii="Times New Roman" w:cs="Times New Roman" w:eastAsia="Times New Roman" w:hAnsi="Times New Roman"/>
                <w:sz w:val="10"/>
                <w:szCs w:val="10"/>
                <w:color w:val="auto"/>
              </w:rPr>
              <w:t>(5)</w:t>
            </w: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w w:val="97"/>
              </w:rPr>
              <w:t>2.00</w:t>
            </w:r>
          </w:p>
        </w:tc>
        <w:tc>
          <w:tcPr>
            <w:tcW w:w="980" w:type="dxa"/>
            <w:vAlign w:val="bottom"/>
            <w:gridSpan w:val="2"/>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2/28/2033</w:t>
            </w: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1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7/24/2023</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8,864</w:t>
            </w:r>
            <w:r>
              <w:rPr>
                <w:rFonts w:ascii="Times New Roman" w:cs="Times New Roman" w:eastAsia="Times New Roman" w:hAnsi="Times New Roman"/>
                <w:sz w:val="10"/>
                <w:szCs w:val="10"/>
                <w:color w:val="auto"/>
              </w:rPr>
              <w:t>(8)</w:t>
            </w: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w w:val="97"/>
              </w:rPr>
              <w:t>1.20</w:t>
            </w:r>
          </w:p>
        </w:tc>
        <w:tc>
          <w:tcPr>
            <w:tcW w:w="980" w:type="dxa"/>
            <w:vAlign w:val="bottom"/>
            <w:gridSpan w:val="2"/>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7/23/2033</w:t>
            </w: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71"/>
        </w:trPr>
        <w:tc>
          <w:tcPr>
            <w:tcW w:w="1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7/24/2023</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2,700</w:t>
            </w:r>
            <w:r>
              <w:rPr>
                <w:rFonts w:ascii="Times New Roman" w:cs="Times New Roman" w:eastAsia="Times New Roman" w:hAnsi="Times New Roman"/>
                <w:sz w:val="10"/>
                <w:szCs w:val="10"/>
                <w:color w:val="auto"/>
              </w:rPr>
              <w:t>(9)</w:t>
            </w: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7"/>
              </w:rPr>
              <w:t>1.20</w:t>
            </w:r>
          </w:p>
        </w:tc>
        <w:tc>
          <w:tcPr>
            <w:tcW w:w="98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7/23/2033</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r>
    </w:tbl>
    <w:p>
      <w:pPr>
        <w:ind w:left="880" w:hanging="548"/>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stock options vest in a series of 60 successive, equal monthly installments measured from the vesting commencement date.</w:t>
      </w:r>
    </w:p>
    <w:p>
      <w:pPr>
        <w:spacing w:after="0" w:line="9" w:lineRule="exact"/>
        <w:rPr>
          <w:rFonts w:ascii="Times New Roman" w:cs="Times New Roman" w:eastAsia="Times New Roman" w:hAnsi="Times New Roman"/>
          <w:sz w:val="18"/>
          <w:szCs w:val="18"/>
          <w:color w:val="auto"/>
        </w:rPr>
      </w:pPr>
    </w:p>
    <w:p>
      <w:pPr>
        <w:ind w:left="880" w:right="40" w:hanging="548"/>
        <w:spacing w:after="0" w:line="252"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fifths of these time-vested options vest on the second anniversary of the vesting commencement date, with the remaining balance vesting in a series of 36 successive equal monthly installments measured from the second anniversary of the vesting commencement date, subject to the award recipient’s continued employment through the applicable vesting date. In September 2020, the board of directors amended these time-vested options such that 21/60 of the time-vested options vest on the date that is 21 months after the vesting commencement date, with the remaining balance vesting in a series of 39 successive equal monthly installments measured from such date, subject to the award recipient’s continued employment through the applicable vesting date.</w:t>
      </w:r>
    </w:p>
    <w:p>
      <w:pPr>
        <w:spacing w:after="0" w:line="131"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Arial" w:cs="Arial" w:eastAsia="Arial" w:hAnsi="Arial"/>
                <w:sz w:val="14"/>
                <w:szCs w:val="14"/>
                <w:b w:val="1"/>
                <w:bCs w:val="1"/>
                <w:color w:val="305494"/>
              </w:rPr>
              <w:t>2024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305494"/>
              </w:rPr>
              <w:t>32</w:t>
            </w:r>
          </w:p>
        </w:tc>
      </w:tr>
    </w:tbl>
    <w:p>
      <w:pPr>
        <w:sectPr>
          <w:pgSz w:w="11900" w:h="16838" w:orient="portrait"/>
          <w:cols w:equalWidth="0" w:num="1">
            <w:col w:w="11140"/>
          </w:cols>
          <w:pgMar w:left="320" w:top="455"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880" w:right="60" w:hanging="548"/>
        <w:spacing w:after="0" w:line="261" w:lineRule="auto"/>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time-vested RSUs vest in a series of four successive equal annual installments measured from the vesting commencement date, subject to the award recipient’s continued employment through the applicable vesting date.</w:t>
      </w:r>
    </w:p>
    <w:p>
      <w:pPr>
        <w:ind w:left="880" w:hanging="548"/>
        <w:spacing w:after="0" w:line="250" w:lineRule="auto"/>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year ended December 31, 2019, the board of directors awarded Mr. Hutton and Ms. Harper Cowie performance-vested options representing the right to purchase 25,269 and 17,688 shares of our common stock, respectively. One third of these performance-vested options were eligible to vest after each of the first, second and third anniversaries of the vesting commencement date, subject to the Company’s achievement of recognized revenue of at least $31 million, $67 million and $134 million for the years ended December 31, 2019, 2020 and 2021, respectively. The board of directors has sole discretion to determine if the performance hurdles are met and to determine the vesting date, and shall make such determinations within 90 days after the end of the applicable fiscal year. For the 2019 tranche, the board of directors determined that the performance hurdle was not met. As a result, one third of each of Mr. Hutton’s and Ms. Harper Cowie’s awards were cancelled, and two thirds of each of Mr. Hutton’s and Ms. Harper Cowie’s awards remained outstanding. In addition, in September 2020 and in light of the impact of the COVID-19 pandemic on the Company’s operations and other considerations, the board of directors amended the performance-vested options to adjust the performance hurdles for the 2020 tranche and the 2021 tranche to $28.6 million and $51.5 million, respectively. For each of the 2020 tranche and the 2021 tranche, the board of directors determined that the applicable performance hurdles were met and one third of each of Mr. Hutton’s and Ms. Harper Cowie’s performance-vested option award became fully vested and exercisable on January 1, 2021 and January 1, 2022, respectively.</w:t>
      </w:r>
    </w:p>
    <w:p>
      <w:pPr>
        <w:spacing w:after="0" w:line="5" w:lineRule="exact"/>
        <w:rPr>
          <w:rFonts w:ascii="Times New Roman" w:cs="Times New Roman" w:eastAsia="Times New Roman" w:hAnsi="Times New Roman"/>
          <w:sz w:val="18"/>
          <w:szCs w:val="18"/>
          <w:color w:val="auto"/>
        </w:rPr>
      </w:pPr>
    </w:p>
    <w:p>
      <w:pPr>
        <w:ind w:left="880" w:hanging="548"/>
        <w:spacing w:after="0"/>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vested at Date of Grant.</w:t>
      </w:r>
    </w:p>
    <w:p>
      <w:pPr>
        <w:spacing w:after="0" w:line="9" w:lineRule="exact"/>
        <w:rPr>
          <w:rFonts w:ascii="Times New Roman" w:cs="Times New Roman" w:eastAsia="Times New Roman" w:hAnsi="Times New Roman"/>
          <w:sz w:val="18"/>
          <w:szCs w:val="18"/>
          <w:color w:val="auto"/>
        </w:rPr>
      </w:pPr>
    </w:p>
    <w:p>
      <w:pPr>
        <w:ind w:left="880" w:right="20" w:hanging="548"/>
        <w:spacing w:after="0" w:line="250" w:lineRule="auto"/>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time-vested RSUs vest in a series of 16 successive equal quarterly installments measured from the vesting commencement date, subject to the award recipient’s continued employment through the applicable vesting date.</w:t>
      </w:r>
    </w:p>
    <w:p>
      <w:pPr>
        <w:ind w:left="880" w:hanging="548"/>
        <w:spacing w:after="0"/>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 is calculated based on $1.84 per share, the closing price of our common stock on December 30, 2023.</w:t>
      </w:r>
    </w:p>
    <w:p>
      <w:pPr>
        <w:spacing w:after="0" w:line="9" w:lineRule="exact"/>
        <w:rPr>
          <w:rFonts w:ascii="Times New Roman" w:cs="Times New Roman" w:eastAsia="Times New Roman" w:hAnsi="Times New Roman"/>
          <w:sz w:val="18"/>
          <w:szCs w:val="18"/>
          <w:color w:val="auto"/>
        </w:rPr>
      </w:pPr>
    </w:p>
    <w:p>
      <w:pPr>
        <w:ind w:left="880" w:right="200" w:hanging="548"/>
        <w:spacing w:after="0" w:line="250" w:lineRule="auto"/>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time-vested options vest on August 1, 2024 (the first day of the month following the first anniversary of the month of grant under the stock option exchange program described under “Compensation of Named Executive Officers – Equity Awards – Stock Option Exchange Program”).</w:t>
      </w:r>
    </w:p>
    <w:p>
      <w:pPr>
        <w:spacing w:after="0" w:line="1" w:lineRule="exact"/>
        <w:rPr>
          <w:rFonts w:ascii="Times New Roman" w:cs="Times New Roman" w:eastAsia="Times New Roman" w:hAnsi="Times New Roman"/>
          <w:sz w:val="18"/>
          <w:szCs w:val="18"/>
          <w:color w:val="auto"/>
        </w:rPr>
      </w:pPr>
    </w:p>
    <w:p>
      <w:pPr>
        <w:ind w:left="880" w:right="20" w:hanging="548"/>
        <w:spacing w:after="0" w:line="253" w:lineRule="auto"/>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time-vested options vest in a series of 31 successive equal monthly installments beginning on August 1, 2024 (the first day of the month following the first anniversary of the month of grant under the stock option exchange program described under “Compensation of Named Executive Officers – Equity Awards – Stock Option Exchange Program”). The number of installments is equal to the number of months that were remaining the in the vesting schedule of the stock options that were tendered under the stock option exchange program as of immediately prior to the exchange.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305494"/>
        </w:rPr>
        <w:t>Additional Matters</w:t>
      </w:r>
    </w:p>
    <w:p>
      <w:pPr>
        <w:spacing w:after="0" w:line="2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Offer Letter Agreements</w:t>
      </w:r>
    </w:p>
    <w:p>
      <w:pPr>
        <w:spacing w:after="0" w:line="229" w:lineRule="exact"/>
        <w:rPr>
          <w:sz w:val="20"/>
          <w:szCs w:val="20"/>
          <w:color w:val="auto"/>
        </w:rPr>
      </w:pPr>
    </w:p>
    <w:p>
      <w:pPr>
        <w:ind w:left="120" w:right="420" w:firstLine="440"/>
        <w:spacing w:after="0" w:line="281" w:lineRule="auto"/>
        <w:rPr>
          <w:sz w:val="20"/>
          <w:szCs w:val="20"/>
          <w:color w:val="auto"/>
        </w:rPr>
      </w:pPr>
      <w:r>
        <w:rPr>
          <w:rFonts w:ascii="Times New Roman" w:cs="Times New Roman" w:eastAsia="Times New Roman" w:hAnsi="Times New Roman"/>
          <w:sz w:val="17"/>
          <w:szCs w:val="17"/>
          <w:color w:val="auto"/>
        </w:rPr>
        <w:t>We entered in an offer letter agreement with each of Mr. Hutton and Ms. Harper Cowie on February 23, 2020. The offer letter agreements, as amended in November of 2020, provide for annual salary subject to the discretion of our board of directors, an annual cash incentive opportunity targeted at 100% of annual base salary for Mr. Hutton and 50% of annual base salary for Ms. Harper Cowie, and eligibility to participate in our employee benefit plans, subject to the terms of those plans. The offer letter agreements also provide for certain severance benefits.</w:t>
      </w:r>
    </w:p>
    <w:p>
      <w:pPr>
        <w:spacing w:after="0" w:line="164"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On April [●] 2024, each of Mr. Hutton and Ms. Harper Cowie entered into an Executive Severance and Change in Control Agreement which replaces and supersedes their offer letter agreement. Please see “Executive Severance and Change in Control Agreements” below for a summary of the terms of such agreements.</w:t>
      </w:r>
    </w:p>
    <w:p>
      <w:pPr>
        <w:spacing w:after="0" w:line="117"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Arial" w:cs="Arial" w:eastAsia="Arial" w:hAnsi="Arial"/>
                <w:sz w:val="14"/>
                <w:szCs w:val="14"/>
                <w:b w:val="1"/>
                <w:bCs w:val="1"/>
                <w:color w:val="305494"/>
              </w:rPr>
              <w:t>2024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305494"/>
              </w:rPr>
              <w:t>33</w:t>
            </w:r>
          </w:p>
        </w:tc>
      </w:tr>
    </w:tbl>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Executive Severance and Change in Control Agreements</w:t>
      </w:r>
    </w:p>
    <w:p>
      <w:pPr>
        <w:spacing w:after="0" w:line="22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On April 16, 2024, the Company approved a form of Executive Severance and Change in Control Agreement that it intends to enter into with each of its executive officers.</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the event an executive who is party to an Executive Severance and Change in Control Agreement experiences a termination of employment without cause (as defined in the Executive Severance and Change in Control Agreement), other than within three months prior to, or one year following, the consummation of a change in control (as defined in the Executive Severance and Change in Control Agreement), the executive will be entitled to receive:</w:t>
      </w:r>
    </w:p>
    <w:p>
      <w:pPr>
        <w:spacing w:after="0" w:line="85"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continuation for a period of nine months or, in the case of the chief executive officer, 12 months;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chief executive officer only, a lump sum cash payment equal to 100% of his or her target annual cash incentive for the year in which the qualifying termination of employment occurs;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Company-paid COBRA premium payments for the executive and his or her covered dependents for up to 12 months.</w:t>
      </w:r>
    </w:p>
    <w:p>
      <w:pPr>
        <w:spacing w:after="0" w:line="225" w:lineRule="exact"/>
        <w:rPr>
          <w:sz w:val="20"/>
          <w:szCs w:val="20"/>
          <w:color w:val="auto"/>
        </w:rPr>
      </w:pPr>
    </w:p>
    <w:p>
      <w:pPr>
        <w:jc w:val="both"/>
        <w:ind w:left="120" w:right="640" w:firstLine="440"/>
        <w:spacing w:after="0" w:line="266" w:lineRule="auto"/>
        <w:rPr>
          <w:sz w:val="20"/>
          <w:szCs w:val="20"/>
          <w:color w:val="auto"/>
        </w:rPr>
      </w:pPr>
      <w:r>
        <w:rPr>
          <w:rFonts w:ascii="Times New Roman" w:cs="Times New Roman" w:eastAsia="Times New Roman" w:hAnsi="Times New Roman"/>
          <w:sz w:val="18"/>
          <w:szCs w:val="18"/>
          <w:color w:val="auto"/>
        </w:rPr>
        <w:t>In the event the executive’s employment is terminated without cause or the executive resigns for good reason (as defined in the Executive Severance and Change in Control Agreement) within three months prior to, or one year following, the consummation of a change in control, the executive will be entitled to receive:</w:t>
      </w:r>
    </w:p>
    <w:p>
      <w:pPr>
        <w:spacing w:after="0" w:line="81"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cash payment equal to 100%, or in the case of the chief executive officer, 150%, of his or her then-current annual base salary;</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cash payment equal to 100%, or in the case of the chief executive officer, 150%, of his or her target annual cash incentive for the year in which the qualifying termination of employment occurs;</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cash payment equal to 12 months, or in the case of the chief executive officer, 18 months, of COBRA premium payments for the executive and his or her covered dependents;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vesting of all equity awards which vest based solely on the executive’s continued service with us; and</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chief executive officer and chief financial officer only, a lump sum cash payment of $15,000 to help defray legal fees, tax and accounting fees, executive outplacement services, and other costs associated with transitional matters.</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payment of severance benefits under the Executive Severance and Change in Control Agreements is subject to a general release of claims by the executive in favor of the Company and its affiliates.</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believe the severance benefits payable under the Executive Severance and Change in Control Agreements provide reasonable compensation in the form of severance pay and certain limited benefits to our executive officers in the event of a qualifying termination of employment to facilitate the transition to new employment. In addition, we believe that these benefits help maintain our executive officers’ continued focus on their assigned duties to maximize stockholder value in the event of a potential change in control transaction, and mitigate the risk of subsequent disputes or litigation. The terms and conditions of these agreements were approved by the compensation committee after an analysis of competitive market data in consultation with our independent executive compensation consultant.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22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Company participates in a multiple employer tax-qualified 401(k) savings plan which allows participants to defer eligible compensation up to the maximum amount allowed under Internal Revenue Service guidelines. The Company does not currently make any discretionary or employer matching contributions under the plan.</w:t>
      </w:r>
    </w:p>
    <w:p>
      <w:pPr>
        <w:spacing w:after="0" w:line="117"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Arial" w:cs="Arial" w:eastAsia="Arial" w:hAnsi="Arial"/>
                <w:sz w:val="14"/>
                <w:szCs w:val="14"/>
                <w:b w:val="1"/>
                <w:bCs w:val="1"/>
                <w:color w:val="305494"/>
              </w:rPr>
              <w:t>2024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305494"/>
              </w:rPr>
              <w:t>34</w:t>
            </w:r>
          </w:p>
        </w:tc>
      </w:tr>
    </w:tbl>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Clawback Policy</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adopted a Dodd-Frank Clawback Policy to comply with SEC and Nasdaq listing rules. Under that policy, the Company is required in certain situations to recoup incentive compensation paid or payable to certain current or former executive officers of the Company, including the named executive officers, in the event of an accounting restatement.</w:t>
      </w:r>
    </w:p>
    <w:p>
      <w:pPr>
        <w:spacing w:after="0" w:line="117"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Arial" w:cs="Arial" w:eastAsia="Arial" w:hAnsi="Arial"/>
                <w:sz w:val="14"/>
                <w:szCs w:val="14"/>
                <w:b w:val="1"/>
                <w:bCs w:val="1"/>
                <w:color w:val="305494"/>
              </w:rPr>
              <w:t>2024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305494"/>
              </w:rPr>
              <w:t>35</w:t>
            </w:r>
          </w:p>
        </w:tc>
      </w:tr>
    </w:tbl>
    <w:p>
      <w:pPr>
        <w:sectPr>
          <w:pgSz w:w="11900" w:h="16838" w:orient="portrait"/>
          <w:cols w:equalWidth="0" w:num="1">
            <w:col w:w="11040"/>
          </w:cols>
          <w:pgMar w:left="320" w:top="455" w:right="5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9"/>
          <w:szCs w:val="29"/>
          <w:b w:val="1"/>
          <w:bCs w:val="1"/>
          <w:color w:val="305494"/>
        </w:rPr>
        <w:t>STOCK OWNERSHIP</w:t>
      </w:r>
    </w:p>
    <w:p>
      <w:pPr>
        <w:spacing w:after="0" w:line="3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305494"/>
        </w:rPr>
        <w:t>Security Ownership of Certain Beneficial Owners and Management</w:t>
      </w:r>
    </w:p>
    <w:p>
      <w:pPr>
        <w:spacing w:after="0" w:line="23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stock as of March 1, 2024:</w:t>
      </w:r>
    </w:p>
    <w:p>
      <w:pPr>
        <w:spacing w:after="0" w:line="131" w:lineRule="exact"/>
        <w:rPr>
          <w:sz w:val="20"/>
          <w:szCs w:val="20"/>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common stock.</w:t>
      </w:r>
    </w:p>
    <w:p>
      <w:pPr>
        <w:spacing w:after="0" w:line="225"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and therefore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We have deemed shares of common stock subject to options that are currently exercisable or exercisable within 60 days of March 1, 2024 and RSUs representing the right to receive shares of common stock that were deferred under the Director Deferred Compensation Plan or that vest within 60 days of March 1, 2024, to be outstanding and to be beneficially owned by the person holding the option or restricted stock unit for the purpose of computing the percentage ownership of that person but have not treated them as outstanding for the purpose of computing the percentage ownership of any other person.</w:t>
      </w:r>
    </w:p>
    <w:p>
      <w:pPr>
        <w:spacing w:after="0" w:line="19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have based percentage ownership of common stock on 97,158,580 shares of common stock outstanding as of March 1, 2024. Unless otherwise indicated, the address for each beneficial owner listed in the table below is c/o Biodesix, Inc., 919 West Dillon Rd., Louisville, CO 80027.</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420" w:type="dxa"/>
            <w:vAlign w:val="bottom"/>
          </w:tcPr>
          <w:p>
            <w:pPr>
              <w:spacing w:after="0"/>
              <w:rPr>
                <w:sz w:val="13"/>
                <w:szCs w:val="13"/>
                <w:color w:val="auto"/>
              </w:rPr>
            </w:pPr>
          </w:p>
        </w:tc>
        <w:tc>
          <w:tcPr>
            <w:tcW w:w="6560" w:type="dxa"/>
            <w:vAlign w:val="bottom"/>
          </w:tcPr>
          <w:p>
            <w:pPr>
              <w:spacing w:after="0"/>
              <w:rPr>
                <w:sz w:val="13"/>
                <w:szCs w:val="13"/>
                <w:color w:val="auto"/>
              </w:rPr>
            </w:pPr>
          </w:p>
        </w:tc>
        <w:tc>
          <w:tcPr>
            <w:tcW w:w="204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 Beneficially</w:t>
            </w:r>
          </w:p>
        </w:tc>
        <w:tc>
          <w:tcPr>
            <w:tcW w:w="0" w:type="dxa"/>
            <w:vAlign w:val="bottom"/>
          </w:tcPr>
          <w:p>
            <w:pPr>
              <w:spacing w:after="0"/>
              <w:rPr>
                <w:sz w:val="1"/>
                <w:szCs w:val="1"/>
                <w:color w:val="auto"/>
              </w:rPr>
            </w:pPr>
          </w:p>
        </w:tc>
      </w:tr>
      <w:tr>
        <w:trPr>
          <w:trHeight w:val="173"/>
        </w:trPr>
        <w:tc>
          <w:tcPr>
            <w:tcW w:w="2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6560" w:type="dxa"/>
            <w:vAlign w:val="bottom"/>
            <w:vMerge w:val="restart"/>
          </w:tcPr>
          <w:p>
            <w:pPr>
              <w:spacing w:after="0"/>
              <w:rPr>
                <w:sz w:val="15"/>
                <w:szCs w:val="15"/>
                <w:color w:val="auto"/>
              </w:rPr>
            </w:pPr>
          </w:p>
        </w:tc>
        <w:tc>
          <w:tcPr>
            <w:tcW w:w="1240" w:type="dxa"/>
            <w:vAlign w:val="bottom"/>
            <w:tcBorders>
              <w:bottom w:val="single" w:sz="8" w:color="auto"/>
            </w:tcBorders>
            <w:gridSpan w:val="2"/>
          </w:tcPr>
          <w:p>
            <w:pPr>
              <w:jc w:val="center"/>
              <w:ind w:left="513"/>
              <w:spacing w:after="0"/>
              <w:rPr>
                <w:sz w:val="20"/>
                <w:szCs w:val="20"/>
                <w:color w:val="auto"/>
              </w:rPr>
            </w:pPr>
            <w:r>
              <w:rPr>
                <w:rFonts w:ascii="Times New Roman" w:cs="Times New Roman" w:eastAsia="Times New Roman" w:hAnsi="Times New Roman"/>
                <w:sz w:val="14"/>
                <w:szCs w:val="14"/>
                <w:b w:val="1"/>
                <w:bCs w:val="1"/>
                <w:color w:val="auto"/>
              </w:rPr>
              <w:t>Owned</w:t>
            </w:r>
          </w:p>
        </w:tc>
        <w:tc>
          <w:tcPr>
            <w:tcW w:w="5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20" w:type="dxa"/>
            <w:vAlign w:val="bottom"/>
            <w:tcBorders>
              <w:bottom w:val="single" w:sz="8" w:color="auto"/>
            </w:tcBorders>
            <w:vMerge w:val="continue"/>
          </w:tcPr>
          <w:p>
            <w:pPr>
              <w:spacing w:after="0"/>
              <w:rPr>
                <w:sz w:val="14"/>
                <w:szCs w:val="14"/>
                <w:color w:val="auto"/>
              </w:rPr>
            </w:pPr>
          </w:p>
        </w:tc>
        <w:tc>
          <w:tcPr>
            <w:tcW w:w="6560" w:type="dxa"/>
            <w:vAlign w:val="bottom"/>
            <w:vMerge w:val="continue"/>
          </w:tcPr>
          <w:p>
            <w:pPr>
              <w:spacing w:after="0"/>
              <w:rPr>
                <w:sz w:val="14"/>
                <w:szCs w:val="14"/>
                <w:color w:val="auto"/>
              </w:rPr>
            </w:pPr>
          </w:p>
        </w:tc>
        <w:tc>
          <w:tcPr>
            <w:tcW w:w="1240" w:type="dxa"/>
            <w:vAlign w:val="bottom"/>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  Shares </w:t>
            </w:r>
          </w:p>
        </w:tc>
        <w:tc>
          <w:tcPr>
            <w:tcW w:w="58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%    </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98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Principal Stockholders:</w:t>
            </w:r>
          </w:p>
        </w:tc>
        <w:tc>
          <w:tcPr>
            <w:tcW w:w="8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Jack Schuler and entities affiliated with Jack Schuler</w:t>
            </w:r>
            <w:r>
              <w:rPr>
                <w:rFonts w:ascii="Times New Roman" w:cs="Times New Roman" w:eastAsia="Times New Roman" w:hAnsi="Times New Roman"/>
                <w:sz w:val="25"/>
                <w:szCs w:val="25"/>
                <w:color w:val="auto"/>
                <w:vertAlign w:val="superscript"/>
              </w:rPr>
              <w:t>(1)</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31,038,797</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Lawrence T. Kennedy, Jr. and entities affiliated with Lawrence T. Kennedy, Jr.</w:t>
            </w:r>
            <w:r>
              <w:rPr>
                <w:rFonts w:ascii="Times New Roman" w:cs="Times New Roman" w:eastAsia="Times New Roman" w:hAnsi="Times New Roman"/>
                <w:sz w:val="25"/>
                <w:szCs w:val="25"/>
                <w:color w:val="auto"/>
                <w:vertAlign w:val="superscript"/>
              </w:rPr>
              <w:t>(2)</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21,253,376</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John Patience and entities affiliated with John Patience</w:t>
            </w:r>
            <w:r>
              <w:rPr>
                <w:rFonts w:ascii="Times New Roman" w:cs="Times New Roman" w:eastAsia="Times New Roman" w:hAnsi="Times New Roman"/>
                <w:sz w:val="25"/>
                <w:szCs w:val="25"/>
                <w:color w:val="auto"/>
                <w:vertAlign w:val="superscript"/>
              </w:rPr>
              <w:t>(3)</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7,412,498</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Matthew Strobeck and entities affiliated with Matthew Strobeck </w:t>
            </w:r>
            <w:r>
              <w:rPr>
                <w:rFonts w:ascii="Times New Roman" w:cs="Times New Roman" w:eastAsia="Times New Roman" w:hAnsi="Times New Roman"/>
                <w:sz w:val="25"/>
                <w:szCs w:val="25"/>
                <w:color w:val="auto"/>
                <w:vertAlign w:val="superscript"/>
              </w:rPr>
              <w:t>(4)</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5,672,000</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324"/>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Jack Schuler</w:t>
            </w:r>
            <w:r>
              <w:rPr>
                <w:rFonts w:ascii="Times New Roman" w:cs="Times New Roman" w:eastAsia="Times New Roman" w:hAnsi="Times New Roman"/>
                <w:sz w:val="25"/>
                <w:szCs w:val="25"/>
                <w:color w:val="auto"/>
                <w:vertAlign w:val="superscript"/>
              </w:rPr>
              <w:t>(5)</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31,038,797</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Lawrence T. Kennedy, Jr.</w:t>
            </w:r>
            <w:r>
              <w:rPr>
                <w:rFonts w:ascii="Times New Roman" w:cs="Times New Roman" w:eastAsia="Times New Roman" w:hAnsi="Times New Roman"/>
                <w:sz w:val="25"/>
                <w:szCs w:val="25"/>
                <w:color w:val="auto"/>
                <w:vertAlign w:val="superscript"/>
              </w:rPr>
              <w:t>(6)</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21,253,376</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John Patience</w:t>
            </w:r>
            <w:r>
              <w:rPr>
                <w:rFonts w:ascii="Times New Roman" w:cs="Times New Roman" w:eastAsia="Times New Roman" w:hAnsi="Times New Roman"/>
                <w:sz w:val="25"/>
                <w:szCs w:val="25"/>
                <w:color w:val="auto"/>
                <w:vertAlign w:val="superscript"/>
              </w:rPr>
              <w:t>(7)</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7,412,498</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Matthew Strobeck, Ph.D.</w:t>
            </w:r>
            <w:r>
              <w:rPr>
                <w:rFonts w:ascii="Times New Roman" w:cs="Times New Roman" w:eastAsia="Times New Roman" w:hAnsi="Times New Roman"/>
                <w:sz w:val="25"/>
                <w:szCs w:val="25"/>
                <w:color w:val="auto"/>
                <w:vertAlign w:val="superscript"/>
              </w:rPr>
              <w:t>(8)</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5,672,000</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Scott Hutton</w:t>
            </w:r>
            <w:r>
              <w:rPr>
                <w:rFonts w:ascii="Times New Roman" w:cs="Times New Roman" w:eastAsia="Times New Roman" w:hAnsi="Times New Roman"/>
                <w:sz w:val="25"/>
                <w:szCs w:val="25"/>
                <w:color w:val="auto"/>
                <w:vertAlign w:val="superscript"/>
              </w:rPr>
              <w:t>(9)</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1,476,198</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Jon Faiz Kayyem, Ph.D.</w:t>
            </w:r>
            <w:r>
              <w:rPr>
                <w:rFonts w:ascii="Times New Roman" w:cs="Times New Roman" w:eastAsia="Times New Roman" w:hAnsi="Times New Roman"/>
                <w:sz w:val="25"/>
                <w:szCs w:val="25"/>
                <w:color w:val="auto"/>
                <w:vertAlign w:val="superscript"/>
              </w:rPr>
              <w:t>(10)</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547,220</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Hany Massarany</w:t>
            </w:r>
            <w:r>
              <w:rPr>
                <w:rFonts w:ascii="Times New Roman" w:cs="Times New Roman" w:eastAsia="Times New Roman" w:hAnsi="Times New Roman"/>
                <w:sz w:val="25"/>
                <w:szCs w:val="25"/>
                <w:color w:val="auto"/>
                <w:vertAlign w:val="superscript"/>
              </w:rPr>
              <w:t>(11)</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544,985</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Robin Harper Cowie</w:t>
            </w:r>
            <w:r>
              <w:rPr>
                <w:rFonts w:ascii="Times New Roman" w:cs="Times New Roman" w:eastAsia="Times New Roman" w:hAnsi="Times New Roman"/>
                <w:sz w:val="25"/>
                <w:szCs w:val="25"/>
                <w:color w:val="auto"/>
                <w:vertAlign w:val="superscript"/>
              </w:rPr>
              <w:t>(12)</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535,386</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Charles Watts, M.D.</w:t>
            </w:r>
            <w:r>
              <w:rPr>
                <w:rFonts w:ascii="Times New Roman" w:cs="Times New Roman" w:eastAsia="Times New Roman" w:hAnsi="Times New Roman"/>
                <w:sz w:val="25"/>
                <w:szCs w:val="25"/>
                <w:color w:val="auto"/>
                <w:vertAlign w:val="superscript"/>
              </w:rPr>
              <w:t>(13)</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469,612</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Jean Franchi</w:t>
            </w:r>
            <w:r>
              <w:rPr>
                <w:rFonts w:ascii="Times New Roman" w:cs="Times New Roman" w:eastAsia="Times New Roman" w:hAnsi="Times New Roman"/>
                <w:sz w:val="25"/>
                <w:szCs w:val="25"/>
                <w:color w:val="auto"/>
                <w:vertAlign w:val="superscript"/>
              </w:rPr>
              <w:t>(14)</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431,192</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Kieran O’Kane</w:t>
            </w:r>
            <w:r>
              <w:rPr>
                <w:rFonts w:ascii="Times New Roman" w:cs="Times New Roman" w:eastAsia="Times New Roman" w:hAnsi="Times New Roman"/>
                <w:sz w:val="25"/>
                <w:szCs w:val="25"/>
                <w:color w:val="auto"/>
                <w:vertAlign w:val="superscript"/>
              </w:rPr>
              <w:t>(15)</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233,126</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directors and named executive officers as a group (13 persons)</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69,946,274</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236855</wp:posOffset>
            </wp:positionV>
            <wp:extent cx="77152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89" w:lineRule="exact"/>
        <w:rPr>
          <w:sz w:val="20"/>
          <w:szCs w:val="20"/>
          <w:color w:val="auto"/>
        </w:rPr>
      </w:pPr>
    </w:p>
    <w:p>
      <w:pPr>
        <w:ind w:left="540" w:hanging="424"/>
        <w:spacing w:after="0"/>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167"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Arial" w:cs="Arial" w:eastAsia="Arial" w:hAnsi="Arial"/>
                <w:sz w:val="14"/>
                <w:szCs w:val="14"/>
                <w:b w:val="1"/>
                <w:bCs w:val="1"/>
                <w:color w:val="305494"/>
              </w:rPr>
              <w:t>2024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305494"/>
              </w:rPr>
              <w:t>36</w:t>
            </w:r>
          </w:p>
        </w:tc>
      </w:tr>
    </w:tbl>
    <w:p>
      <w:pPr>
        <w:sectPr>
          <w:pgSz w:w="11900" w:h="16838" w:orient="portrait"/>
          <w:cols w:equalWidth="0" w:num="1">
            <w:col w:w="11140"/>
          </w:cols>
          <w:pgMar w:left="320" w:top="455"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46,102 shares of common stock issuable upon the exercise of options held by Jack Schuler that are vested and exercisable within</w:t>
      </w:r>
    </w:p>
    <w:p>
      <w:pPr>
        <w:spacing w:after="0" w:line="27" w:lineRule="exact"/>
        <w:rPr>
          <w:rFonts w:ascii="Times New Roman" w:cs="Times New Roman" w:eastAsia="Times New Roman" w:hAnsi="Times New Roman"/>
          <w:sz w:val="18"/>
          <w:szCs w:val="18"/>
          <w:color w:val="auto"/>
        </w:rPr>
      </w:pPr>
    </w:p>
    <w:p>
      <w:pPr>
        <w:ind w:left="540" w:right="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days of March 1, 2024, (b) RSUs held by Mr. Schuler representing the right to receive 284,973 shares of common stock that will vest within 60 days of March 1, 2024 and be deferred under the Director Deferred Compensation Plan until separation from service to the Company, and (c) 30,707,722 shares of common stock held by Jack W. Schuler Living Trust.</w:t>
      </w:r>
    </w:p>
    <w:p>
      <w:pPr>
        <w:spacing w:after="0" w:line="1" w:lineRule="exact"/>
        <w:rPr>
          <w:rFonts w:ascii="Times New Roman" w:cs="Times New Roman" w:eastAsia="Times New Roman" w:hAnsi="Times New Roman"/>
          <w:sz w:val="18"/>
          <w:szCs w:val="18"/>
          <w:color w:val="auto"/>
        </w:rPr>
      </w:pPr>
    </w:p>
    <w:p>
      <w:pPr>
        <w:ind w:left="540" w:right="120" w:hanging="424"/>
        <w:spacing w:after="0" w:line="25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9,582,783 shares of common stock held by Lawrence T. Kennedy, Jr. Revocable Trust UAD 6/19/01 and as amended from time to time, (b) 10,528,753 shares of common stock held by Lawrence T. Kennedy, Jr. Perpetuity Trust UAD 6/30/16, (c) 166,666 shares of common stock held by KFDI-B LLC, (d) 722,041 shares of common stock held by Lair BDSX GRAT 2022-03-02, and (e) RSUs held by Mr. Kennedy representing the right to receive 253,133 shares of common stock that will vest within 60 days of March 1, 2024 and be deferred under the Director Deferred Compensation Plan.</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337,926 shares of common stock held directly by John Patience, (b) 46,102 shares of common stock issuable upon the exercise of options held by Mr. Patience that are vested and exercisable within 60 days of March 1, 2024, (c) RSUs held by Mr. Patience representing the right to receive 284,973 shares of common stock that will vest within 60 days of March 1, 2024 and be deferred under the Director Deferred Compensation Plan until separation from service to the Company, (d) 2,078,298 shares of common stock held by Patience Enterprises LP, (e) 4,612,211 shares of common stock held by John Patience Living Trust, dated July 23, 1993, and (f) 52,988 shares of common stock held by Diane Patience.</w:t>
      </w:r>
    </w:p>
    <w:p>
      <w:pPr>
        <w:spacing w:after="0" w:line="2" w:lineRule="exact"/>
        <w:rPr>
          <w:rFonts w:ascii="Times New Roman" w:cs="Times New Roman" w:eastAsia="Times New Roman" w:hAnsi="Times New Roman"/>
          <w:sz w:val="18"/>
          <w:szCs w:val="18"/>
          <w:color w:val="auto"/>
        </w:rPr>
      </w:pPr>
    </w:p>
    <w:p>
      <w:pPr>
        <w:ind w:left="540" w:right="40" w:hanging="424"/>
        <w:spacing w:after="0" w:line="265" w:lineRule="auto"/>
        <w:tabs>
          <w:tab w:leader="none" w:pos="5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(a) 11,717 shares of common stock issuable upon the exercise of options held by Dr. Matthew Strobeck that are vested and exercisable within 60 days of March 1, 2024, (b) RSUs held by Dr. Strobeck representing the right to receive 291,966 shares of common stock that will vest within 60 days of March 1, 2024 and be deferred under the Director Deferred Compensation Plan until separation from service to the Company,</w:t>
      </w:r>
    </w:p>
    <w:p>
      <w:pPr>
        <w:ind w:left="540" w:right="100" w:firstLine="8"/>
        <w:spacing w:after="0" w:line="250" w:lineRule="auto"/>
        <w:tabs>
          <w:tab w:leader="none" w:pos="78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2,542,928 shares of common stock held by Dr. Strobeck, (d) 2,275,199 shares of common stock held by Birchview Fund LLC, (e) 33,513 shares of common stock held by Birchview Capital Separately Managed Account, (f) 40,665 shares of common stock held by Clajer Capital LLC and (g) 119,003 shares of common stock held in each of four UTMA accounts (for an aggregate amount of 476,012 shares).</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31,038,797 shares beneficially owned by Jack Schuler and entities affiliated with Mr. Schuler, as set forth in footnote (1).</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21,253,376 shares beneficially owned by Lawrence T. Kennedy, Jr. and entities affiliated with Mr. Kennedy, as set forth in footnote</w:t>
      </w:r>
    </w:p>
    <w:p>
      <w:pPr>
        <w:spacing w:after="0" w:line="9"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7,412,498 shares beneficially owned by John Patience and entities affiliated with Mr. Patience, as set forth in footnote (3).</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5,672,000 shares beneficially owned by Dr. Matthew Strobeck and entities affiliated with Dr. Strobeck, as set forth in footnote (4).</w:t>
      </w:r>
    </w:p>
    <w:p>
      <w:pPr>
        <w:spacing w:after="0" w:line="9" w:lineRule="exact"/>
        <w:rPr>
          <w:rFonts w:ascii="Times New Roman" w:cs="Times New Roman" w:eastAsia="Times New Roman" w:hAnsi="Times New Roman"/>
          <w:sz w:val="18"/>
          <w:szCs w:val="18"/>
          <w:color w:val="auto"/>
        </w:rPr>
      </w:pPr>
    </w:p>
    <w:p>
      <w:pPr>
        <w:ind w:left="540" w:right="480" w:hanging="424"/>
        <w:spacing w:after="0" w:line="25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1,000,866 shares of common stock issuable upon the exercise of options held by Scott Hutton that are vested and exercisable within 60 days of March 1, 2024, and (b) 475,332 shares of common stock held by Mr. Hutton.</w:t>
      </w:r>
    </w:p>
    <w:p>
      <w:pPr>
        <w:ind w:left="540" w:right="100" w:hanging="424"/>
        <w:spacing w:after="0" w:line="265" w:lineRule="auto"/>
        <w:tabs>
          <w:tab w:leader="none" w:pos="5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(a) 50,543 shares of common stock issuable upon the exercise of options held by Dr. Jon Faiz Kayyem that are vested and exercisable within 60 days of March 1, 2024, (b) RSUs held by Dr. Kayyem representing the right to receive 139,140 shares of common stock that will vest within 60 days of March 1, 2024 and be deferred under the Director Deferred Compensation Plan until separation from service to the Company,</w:t>
      </w:r>
    </w:p>
    <w:p>
      <w:pPr>
        <w:ind w:left="540" w:right="240" w:firstLine="8"/>
        <w:spacing w:after="0" w:line="250" w:lineRule="auto"/>
        <w:tabs>
          <w:tab w:leader="none" w:pos="78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180,085 shares of common stock held by The Jon Faiz Kayyem Revocable Trust, for which Dr. Kayyem and his spouse serve as co-trustees, and (d) 177,452 shares of common stock held by Dr. Kayyem. Dr. Kayyem disclaims beneficial ownership of the shares held by The Jon Faiz Kayyem Revocable Trust.</w:t>
      </w:r>
    </w:p>
    <w:p>
      <w:pPr>
        <w:spacing w:after="0" w:line="1" w:lineRule="exact"/>
        <w:rPr>
          <w:rFonts w:ascii="Times New Roman" w:cs="Times New Roman" w:eastAsia="Times New Roman" w:hAnsi="Times New Roman"/>
          <w:sz w:val="18"/>
          <w:szCs w:val="18"/>
          <w:color w:val="auto"/>
        </w:rPr>
      </w:pPr>
    </w:p>
    <w:p>
      <w:pPr>
        <w:ind w:left="540" w:right="20" w:hanging="424"/>
        <w:spacing w:after="0" w:line="265" w:lineRule="auto"/>
        <w:tabs>
          <w:tab w:leader="none" w:pos="5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(a) 60,946 shares of common stock issuable upon the exercise of options held by Hany Massarany that are vested and exercisable within 60 days of March 1, 2024, (b) RSUs held by Mr. Massarany representing the right to receive 149,631 shares of common stock that will vest within 60 days of March 1, 2024 and be deferred under the Director Deferred Compensation Plan until separation from service to the Company,</w:t>
      </w:r>
    </w:p>
    <w:p>
      <w:pPr>
        <w:ind w:left="540" w:right="120" w:firstLine="8"/>
        <w:spacing w:after="0" w:line="255" w:lineRule="auto"/>
        <w:tabs>
          <w:tab w:leader="none" w:pos="78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 held by Mr. Massarany representing the right to receive 19,777 shares of common stock which are vested and will generally settle in shares of common stock on the earlier of July 1, 2025 and separation from service to the Company, and (d) 283,767 shares of common stock held by Mr. Massarany.</w:t>
      </w:r>
    </w:p>
    <w:p>
      <w:pPr>
        <w:spacing w:after="0" w:line="127"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Arial" w:cs="Arial" w:eastAsia="Arial" w:hAnsi="Arial"/>
                <w:sz w:val="14"/>
                <w:szCs w:val="14"/>
                <w:b w:val="1"/>
                <w:bCs w:val="1"/>
                <w:color w:val="305494"/>
              </w:rPr>
              <w:t>2024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305494"/>
              </w:rPr>
              <w:t>37</w:t>
            </w:r>
          </w:p>
        </w:tc>
      </w:tr>
    </w:tbl>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40" w:hanging="424"/>
        <w:spacing w:after="0" w:line="261" w:lineRule="auto"/>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365,883 shares of common stock issuable upon the exercise of options held by Robin Harper Cowie that are vested and exercisable within 60 days of March 1, 2024, and (b) 169,503 shares of common stock held by Ms. Harper Cowie.</w:t>
      </w:r>
    </w:p>
    <w:p>
      <w:pPr>
        <w:ind w:left="540" w:right="220" w:hanging="424"/>
        <w:spacing w:after="0" w:line="250" w:lineRule="auto"/>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95,913 shares of common stock issuable upon the exercise of options held by Dr. Charles Watts that are vested and exercisable within 60 days of March 1, 2024, (b) RSUs held by Dr. Watts representing the right to receive 134,262 shares of common stock that will vest within 60 days of March 1, 2024, (c) RSUs held by Dr. Watts representing the right to receive 25,051 shares of common stock which are vested and will generally settle in shares of common stock on the earlier of July 16, 2024 and separation from service to the Company, and (d) 214,389 shares of common stock held by Dr. Watts.</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29,363 shares of common stock issuable upon the exercise of options held by Jean Franchi that are vested and exercisable within</w:t>
      </w:r>
    </w:p>
    <w:p>
      <w:pPr>
        <w:spacing w:after="0" w:line="9" w:lineRule="exact"/>
        <w:rPr>
          <w:rFonts w:ascii="Times New Roman" w:cs="Times New Roman" w:eastAsia="Times New Roman" w:hAnsi="Times New Roman"/>
          <w:sz w:val="18"/>
          <w:szCs w:val="18"/>
          <w:color w:val="auto"/>
        </w:rPr>
      </w:pPr>
    </w:p>
    <w:p>
      <w:pPr>
        <w:ind w:left="5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days of March 1, 2024, (b) RSUs held by Ms. Franchi representing the right to receive 298,961 shares of common stock that will vest within 60 days of March 1, 2024 and be deferred under the Director Deferred Compensation Plan until separation from service to the Company, (c) RSUs held by Ms. Franchi representing the right to receive 21,096 shares of common stock which are vested and will generally settle in shares of common stock on the earlier of April 1, 2025 and separation from service to the Company, and (d) 81,772 shares of common stock held by Ms. Franchi.</w:t>
      </w:r>
    </w:p>
    <w:p>
      <w:pPr>
        <w:spacing w:after="0" w:line="1" w:lineRule="exact"/>
        <w:rPr>
          <w:rFonts w:ascii="Times New Roman" w:cs="Times New Roman" w:eastAsia="Times New Roman" w:hAnsi="Times New Roman"/>
          <w:sz w:val="18"/>
          <w:szCs w:val="18"/>
          <w:color w:val="auto"/>
        </w:rPr>
      </w:pPr>
    </w:p>
    <w:p>
      <w:pPr>
        <w:ind w:left="540" w:right="440" w:hanging="424"/>
        <w:spacing w:after="0" w:line="260" w:lineRule="auto"/>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158,623 shares of common stock issuable upon the exercise of options held by Kieran O’Kane that are vested and exercisable within 60 days of March 1, 2024, and (b) 74,503 shares of common stock held by Mr. O’Kane.</w:t>
      </w:r>
    </w:p>
    <w:p>
      <w:pPr>
        <w:spacing w:after="0" w:line="1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305494"/>
        </w:rPr>
        <w:t>Delinquent Section 16(a) Reports</w:t>
      </w:r>
    </w:p>
    <w:p>
      <w:pPr>
        <w:spacing w:after="0" w:line="230" w:lineRule="exact"/>
        <w:rPr>
          <w:sz w:val="20"/>
          <w:szCs w:val="20"/>
          <w:color w:val="auto"/>
        </w:rPr>
      </w:pPr>
    </w:p>
    <w:p>
      <w:pPr>
        <w:ind w:left="120" w:right="100" w:firstLine="771"/>
        <w:spacing w:after="0" w:line="256" w:lineRule="auto"/>
        <w:rPr>
          <w:sz w:val="20"/>
          <w:szCs w:val="20"/>
          <w:color w:val="auto"/>
        </w:rPr>
      </w:pPr>
      <w:r>
        <w:rPr>
          <w:rFonts w:ascii="Times New Roman" w:cs="Times New Roman" w:eastAsia="Times New Roman" w:hAnsi="Times New Roman"/>
          <w:sz w:val="18"/>
          <w:szCs w:val="18"/>
          <w:color w:val="auto"/>
        </w:rPr>
        <w:t>Based solely on a review of the Section 16(a) reports filed electronically with the SEC, and written representations from our directors and executive officers that no other reports were required, all reports filed by or on behalf of our directors and executive officers and any persons holding more than ten percent of our common stock were filed on a timely basis under Section 16(a), other than an inadvertent late reporting of: one transaction on one Form 4 by Jack Schuler, one of our directors; two transactions on one Form 4 by Scott Hutton, our Chief Executive Officer and one of our directors; two transactions on one Form 4 by Robin Harper Cowie, our Chief Financial Officer; two transactions on one Form 4 by Gary Pestano, our Chief Development Officer; and two transactions on one Form 4 by Kieran O’Kane, our Chief Commercial Officer.</w:t>
      </w:r>
    </w:p>
    <w:p>
      <w:pPr>
        <w:spacing w:after="0" w:line="129"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Arial" w:cs="Arial" w:eastAsia="Arial" w:hAnsi="Arial"/>
                <w:sz w:val="14"/>
                <w:szCs w:val="14"/>
                <w:b w:val="1"/>
                <w:bCs w:val="1"/>
                <w:color w:val="305494"/>
              </w:rPr>
              <w:t>2024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305494"/>
              </w:rPr>
              <w:t>38</w:t>
            </w:r>
          </w:p>
        </w:tc>
      </w:tr>
    </w:tbl>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305494"/>
        </w:rPr>
        <w:t>AUDIT MATTERS</w:t>
      </w:r>
    </w:p>
    <w:p>
      <w:pPr>
        <w:spacing w:after="0" w:line="2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305494"/>
        </w:rPr>
        <w:t>Proposal Two: Ratification of Appointment of Independent Registered Public Accounting Firm</w:t>
      </w:r>
    </w:p>
    <w:p>
      <w:pPr>
        <w:spacing w:after="0" w:line="230" w:lineRule="exact"/>
        <w:rPr>
          <w:sz w:val="20"/>
          <w:szCs w:val="20"/>
          <w:color w:val="auto"/>
        </w:rPr>
      </w:pPr>
    </w:p>
    <w:p>
      <w:pPr>
        <w:ind w:left="120" w:right="20" w:firstLine="771"/>
        <w:spacing w:after="0" w:line="255" w:lineRule="auto"/>
        <w:rPr>
          <w:sz w:val="20"/>
          <w:szCs w:val="20"/>
          <w:color w:val="auto"/>
        </w:rPr>
      </w:pPr>
      <w:r>
        <w:rPr>
          <w:rFonts w:ascii="Times New Roman" w:cs="Times New Roman" w:eastAsia="Times New Roman" w:hAnsi="Times New Roman"/>
          <w:sz w:val="18"/>
          <w:szCs w:val="18"/>
          <w:color w:val="auto"/>
        </w:rPr>
        <w:t>Our audit committee has appointed KPMG LLP as our independent registered public accounting firm for the year ending December 31, 2024. Although stockholder ratification of the appointment of KPMG LLP is not required by our bylaws, other governing documents or the law, our board of directors considers the appointment of our independent registered public accounting firm to be an important matter of stockholder concern and is submitting the appointment of KPMG LLP for ratification by our stockholders as a matter of good corporate practice. If our stockholders fail to ratify the appointment, our audit committee will review its future selection of KPMG LLP as its independent registered public accounting firm. Even if the appointment is ratified, our audit committee, in its discretion, may direct the appointment of a different independent registered public accounting firm at any time during the year if they determine that such a change would be in the best interests of the Company and our stockholders.</w:t>
      </w:r>
    </w:p>
    <w:p>
      <w:pPr>
        <w:spacing w:after="0" w:line="189" w:lineRule="exact"/>
        <w:rPr>
          <w:sz w:val="20"/>
          <w:szCs w:val="20"/>
          <w:color w:val="auto"/>
        </w:rPr>
      </w:pPr>
    </w:p>
    <w:p>
      <w:pPr>
        <w:ind w:left="120" w:right="220" w:firstLine="771"/>
        <w:spacing w:after="0" w:line="266" w:lineRule="auto"/>
        <w:rPr>
          <w:sz w:val="20"/>
          <w:szCs w:val="20"/>
          <w:color w:val="auto"/>
        </w:rPr>
      </w:pPr>
      <w:r>
        <w:rPr>
          <w:rFonts w:ascii="Times New Roman" w:cs="Times New Roman" w:eastAsia="Times New Roman" w:hAnsi="Times New Roman"/>
          <w:sz w:val="18"/>
          <w:szCs w:val="18"/>
          <w:color w:val="auto"/>
        </w:rPr>
        <w:t>Our board of directors considers the appointment of KPMG LLP as our independent registered public accounting firm for 2024 to be in the best interests of the Company and our stockholders. We expect representatives of KPMG LLP to attend the Annual Meeting. They will have an opportunity to make a statement if they wish and will be available to respond to appropriate questions from stockholders.</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KPMG LLP has served as our independent registered public accounting firm since 2016.</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Principal Accountant Fees and Services</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is a summary of the fees and services provided by KPMG LLP to us for the years ended December 31, 2023 and 2022.</w:t>
      </w:r>
    </w:p>
    <w:p>
      <w:pPr>
        <w:spacing w:after="0" w:line="246" w:lineRule="exact"/>
        <w:rPr>
          <w:sz w:val="20"/>
          <w:szCs w:val="20"/>
          <w:color w:val="auto"/>
        </w:rPr>
      </w:pPr>
    </w:p>
    <w:tbl>
      <w:tblPr>
        <w:tblLayout w:type="fixed"/>
        <w:tblInd w:w="134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4"/>
          </w:tcPr>
          <w:p>
            <w:pPr>
              <w:ind w:left="8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r>
      <w:tr>
        <w:trPr>
          <w:trHeight w:val="142"/>
        </w:trPr>
        <w:tc>
          <w:tcPr>
            <w:tcW w:w="4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2"/>
                <w:szCs w:val="12"/>
                <w:color w:val="auto"/>
              </w:rPr>
            </w:pPr>
          </w:p>
        </w:tc>
        <w:tc>
          <w:tcPr>
            <w:tcW w:w="11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09"/>
        </w:trPr>
        <w:tc>
          <w:tcPr>
            <w:tcW w:w="4820" w:type="dxa"/>
            <w:vAlign w:val="bottom"/>
            <w:tcBorders>
              <w:top w:val="single" w:sz="8" w:color="auto"/>
            </w:tcBorders>
            <w:shd w:val="clear" w:color="auto" w:fill="F2F2F2"/>
          </w:tcPr>
          <w:p>
            <w:pPr>
              <w:spacing w:after="0" w:line="210" w:lineRule="exact"/>
              <w:rPr>
                <w:sz w:val="20"/>
                <w:szCs w:val="20"/>
                <w:color w:val="auto"/>
              </w:rPr>
            </w:pPr>
            <w:r>
              <w:rPr>
                <w:rFonts w:ascii="Times New Roman" w:cs="Times New Roman" w:eastAsia="Times New Roman" w:hAnsi="Times New Roman"/>
                <w:sz w:val="17"/>
                <w:szCs w:val="17"/>
                <w:b w:val="1"/>
                <w:bCs w:val="1"/>
                <w:color w:val="auto"/>
              </w:rPr>
              <w:t>Audit Fees</w:t>
            </w:r>
            <w:r>
              <w:rPr>
                <w:rFonts w:ascii="Times New Roman" w:cs="Times New Roman" w:eastAsia="Times New Roman" w:hAnsi="Times New Roman"/>
                <w:sz w:val="24"/>
                <w:szCs w:val="24"/>
                <w:b w:val="1"/>
                <w:bCs w:val="1"/>
                <w:color w:val="auto"/>
                <w:vertAlign w:val="superscript"/>
              </w:rPr>
              <w:t>(1)</w:t>
            </w:r>
          </w:p>
        </w:tc>
        <w:tc>
          <w:tcPr>
            <w:tcW w:w="180" w:type="dxa"/>
            <w:vAlign w:val="bottom"/>
            <w:tcBorders>
              <w:top w:val="single" w:sz="8" w:color="F2F2F2"/>
            </w:tcBorders>
            <w:shd w:val="clear" w:color="auto" w:fill="F2F2F2"/>
          </w:tcPr>
          <w:p>
            <w:pPr>
              <w:spacing w:after="0"/>
              <w:rPr>
                <w:sz w:val="18"/>
                <w:szCs w:val="18"/>
                <w:color w:val="auto"/>
              </w:rPr>
            </w:pPr>
          </w:p>
        </w:tc>
        <w:tc>
          <w:tcPr>
            <w:tcW w:w="980" w:type="dxa"/>
            <w:vAlign w:val="bottom"/>
            <w:tcBorders>
              <w:top w:val="single" w:sz="8" w:color="auto"/>
            </w:tcBorders>
            <w:gridSpan w:val="2"/>
            <w:shd w:val="clear" w:color="auto" w:fill="F2F2F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top w:val="single" w:sz="8" w:color="auto"/>
            </w:tcBorders>
            <w:shd w:val="clear" w:color="auto" w:fill="F2F2F2"/>
          </w:tcPr>
          <w:p>
            <w:pPr>
              <w:jc w:val="right"/>
              <w:spacing w:after="0"/>
              <w:rPr>
                <w:sz w:val="20"/>
                <w:szCs w:val="20"/>
                <w:color w:val="auto"/>
              </w:rPr>
            </w:pPr>
            <w:r>
              <w:rPr>
                <w:rFonts w:ascii="Times New Roman" w:cs="Times New Roman" w:eastAsia="Times New Roman" w:hAnsi="Times New Roman"/>
                <w:sz w:val="18"/>
                <w:szCs w:val="18"/>
                <w:color w:val="auto"/>
                <w:w w:val="99"/>
              </w:rPr>
              <w:t>451,899</w:t>
            </w:r>
          </w:p>
        </w:tc>
        <w:tc>
          <w:tcPr>
            <w:tcW w:w="280" w:type="dxa"/>
            <w:vAlign w:val="bottom"/>
            <w:tcBorders>
              <w:top w:val="single" w:sz="8" w:color="F2F2F2"/>
              <w:left w:val="single" w:sz="8" w:color="F2F2F2"/>
              <w:right w:val="single" w:sz="8" w:color="F2F2F2"/>
            </w:tcBorders>
            <w:shd w:val="clear" w:color="auto" w:fill="F2F2F2"/>
          </w:tcPr>
          <w:p>
            <w:pPr>
              <w:spacing w:after="0"/>
              <w:rPr>
                <w:sz w:val="18"/>
                <w:szCs w:val="18"/>
                <w:color w:val="auto"/>
              </w:rPr>
            </w:pPr>
          </w:p>
        </w:tc>
        <w:tc>
          <w:tcPr>
            <w:tcW w:w="900" w:type="dxa"/>
            <w:vAlign w:val="bottom"/>
            <w:tcBorders>
              <w:top w:val="single" w:sz="8" w:color="auto"/>
            </w:tcBorders>
            <w:shd w:val="clear" w:color="auto" w:fill="F2F2F2"/>
          </w:tcPr>
          <w:p>
            <w:pPr>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top w:val="single" w:sz="8" w:color="auto"/>
            </w:tcBorders>
            <w:gridSpan w:val="2"/>
            <w:shd w:val="clear" w:color="auto" w:fill="F2F2F2"/>
          </w:tcPr>
          <w:p>
            <w:pPr>
              <w:jc w:val="right"/>
              <w:ind w:right="60"/>
              <w:spacing w:after="0" w:line="210" w:lineRule="exact"/>
              <w:rPr>
                <w:sz w:val="20"/>
                <w:szCs w:val="20"/>
                <w:color w:val="auto"/>
              </w:rPr>
            </w:pPr>
            <w:r>
              <w:rPr>
                <w:rFonts w:ascii="Times New Roman" w:cs="Times New Roman" w:eastAsia="Times New Roman" w:hAnsi="Times New Roman"/>
                <w:sz w:val="17"/>
                <w:szCs w:val="17"/>
                <w:color w:val="auto"/>
              </w:rPr>
              <w:t>423,415</w:t>
            </w:r>
            <w:r>
              <w:rPr>
                <w:rFonts w:ascii="Times New Roman" w:cs="Times New Roman" w:eastAsia="Times New Roman" w:hAnsi="Times New Roman"/>
                <w:sz w:val="24"/>
                <w:szCs w:val="24"/>
                <w:color w:val="auto"/>
                <w:vertAlign w:val="superscript"/>
              </w:rPr>
              <w:t>(2)</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Audit-Related Fees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shd w:val="clear" w:color="auto" w:fill="F2F2F2"/>
          </w:tcPr>
          <w:p>
            <w:pPr>
              <w:spacing w:after="0"/>
              <w:rPr>
                <w:sz w:val="20"/>
                <w:szCs w:val="20"/>
                <w:color w:val="auto"/>
              </w:rPr>
            </w:pPr>
            <w:r>
              <w:rPr>
                <w:rFonts w:ascii="Times New Roman" w:cs="Times New Roman" w:eastAsia="Times New Roman" w:hAnsi="Times New Roman"/>
                <w:sz w:val="18"/>
                <w:szCs w:val="18"/>
                <w:b w:val="1"/>
                <w:bCs w:val="1"/>
                <w:color w:val="auto"/>
              </w:rPr>
              <w:t>Tax Fees</w:t>
            </w:r>
          </w:p>
        </w:tc>
        <w:tc>
          <w:tcPr>
            <w:tcW w:w="180" w:type="dxa"/>
            <w:vAlign w:val="bottom"/>
            <w:shd w:val="clear" w:color="auto" w:fill="F2F2F2"/>
          </w:tcPr>
          <w:p>
            <w:pPr>
              <w:spacing w:after="0"/>
              <w:rPr>
                <w:sz w:val="18"/>
                <w:szCs w:val="18"/>
                <w:color w:val="auto"/>
              </w:rPr>
            </w:pPr>
          </w:p>
        </w:tc>
        <w:tc>
          <w:tcPr>
            <w:tcW w:w="80" w:type="dxa"/>
            <w:vAlign w:val="bottom"/>
            <w:shd w:val="clear" w:color="auto" w:fill="F2F2F2"/>
          </w:tcPr>
          <w:p>
            <w:pPr>
              <w:spacing w:after="0"/>
              <w:rPr>
                <w:sz w:val="18"/>
                <w:szCs w:val="18"/>
                <w:color w:val="auto"/>
              </w:rPr>
            </w:pPr>
          </w:p>
        </w:tc>
        <w:tc>
          <w:tcPr>
            <w:tcW w:w="900" w:type="dxa"/>
            <w:vAlign w:val="bottom"/>
            <w:shd w:val="clear" w:color="auto" w:fill="F2F2F2"/>
          </w:tcPr>
          <w:p>
            <w:pPr>
              <w:spacing w:after="0"/>
              <w:rPr>
                <w:sz w:val="18"/>
                <w:szCs w:val="18"/>
                <w:color w:val="auto"/>
              </w:rPr>
            </w:pPr>
          </w:p>
        </w:tc>
        <w:tc>
          <w:tcPr>
            <w:tcW w:w="600" w:type="dxa"/>
            <w:vAlign w:val="bottom"/>
            <w:shd w:val="clear" w:color="auto" w:fill="F2F2F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left w:val="single" w:sz="8" w:color="F2F2F2"/>
              <w:right w:val="single" w:sz="8" w:color="F2F2F2"/>
            </w:tcBorders>
            <w:shd w:val="clear" w:color="auto" w:fill="F2F2F2"/>
          </w:tcPr>
          <w:p>
            <w:pPr>
              <w:spacing w:after="0"/>
              <w:rPr>
                <w:sz w:val="18"/>
                <w:szCs w:val="18"/>
                <w:color w:val="auto"/>
              </w:rPr>
            </w:pPr>
          </w:p>
        </w:tc>
        <w:tc>
          <w:tcPr>
            <w:tcW w:w="900" w:type="dxa"/>
            <w:vAlign w:val="bottom"/>
            <w:shd w:val="clear" w:color="auto" w:fill="F2F2F2"/>
          </w:tcPr>
          <w:p>
            <w:pPr>
              <w:spacing w:after="0"/>
              <w:rPr>
                <w:sz w:val="18"/>
                <w:szCs w:val="18"/>
                <w:color w:val="auto"/>
              </w:rPr>
            </w:pPr>
          </w:p>
        </w:tc>
        <w:tc>
          <w:tcPr>
            <w:tcW w:w="820" w:type="dxa"/>
            <w:vAlign w:val="bottom"/>
            <w:gridSpan w:val="2"/>
            <w:shd w:val="clear" w:color="auto" w:fill="F2F2F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Other Fees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36"/>
        </w:trPr>
        <w:tc>
          <w:tcPr>
            <w:tcW w:w="4820" w:type="dxa"/>
            <w:vAlign w:val="bottom"/>
            <w:shd w:val="clear" w:color="auto" w:fill="F2F2F2"/>
          </w:tcPr>
          <w:p>
            <w:pPr>
              <w:ind w:left="7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shd w:val="clear" w:color="auto" w:fill="F2F2F2"/>
          </w:tcPr>
          <w:p>
            <w:pPr>
              <w:spacing w:after="0"/>
              <w:rPr>
                <w:sz w:val="20"/>
                <w:szCs w:val="20"/>
                <w:color w:val="auto"/>
              </w:rPr>
            </w:pPr>
          </w:p>
        </w:tc>
        <w:tc>
          <w:tcPr>
            <w:tcW w:w="80" w:type="dxa"/>
            <w:vAlign w:val="bottom"/>
            <w:shd w:val="clear" w:color="auto" w:fill="F2F2F2"/>
          </w:tcPr>
          <w:p>
            <w:pPr>
              <w:spacing w:after="0"/>
              <w:rPr>
                <w:sz w:val="20"/>
                <w:szCs w:val="20"/>
                <w:color w:val="auto"/>
              </w:rPr>
            </w:pPr>
          </w:p>
        </w:tc>
        <w:tc>
          <w:tcPr>
            <w:tcW w:w="900" w:type="dxa"/>
            <w:vAlign w:val="bottom"/>
            <w:shd w:val="clear" w:color="auto" w:fill="F2F2F2"/>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600" w:type="dxa"/>
            <w:vAlign w:val="bottom"/>
            <w:shd w:val="clear" w:color="auto" w:fill="F2F2F2"/>
          </w:tcPr>
          <w:p>
            <w:pPr>
              <w:jc w:val="right"/>
              <w:spacing w:after="0"/>
              <w:rPr>
                <w:sz w:val="20"/>
                <w:szCs w:val="20"/>
                <w:color w:val="auto"/>
              </w:rPr>
            </w:pPr>
            <w:r>
              <w:rPr>
                <w:rFonts w:ascii="Times New Roman" w:cs="Times New Roman" w:eastAsia="Times New Roman" w:hAnsi="Times New Roman"/>
                <w:sz w:val="18"/>
                <w:szCs w:val="18"/>
                <w:color w:val="auto"/>
                <w:w w:val="99"/>
              </w:rPr>
              <w:t>451,899</w:t>
            </w:r>
          </w:p>
        </w:tc>
        <w:tc>
          <w:tcPr>
            <w:tcW w:w="1180" w:type="dxa"/>
            <w:vAlign w:val="bottom"/>
            <w:tcBorders>
              <w:left w:val="single" w:sz="8" w:color="F2F2F2"/>
            </w:tcBorders>
            <w:gridSpan w:val="2"/>
            <w:shd w:val="clear" w:color="auto" w:fill="F2F2F2"/>
          </w:tcPr>
          <w:p>
            <w:pPr>
              <w:ind w:left="220"/>
              <w:spacing w:after="0"/>
              <w:rPr>
                <w:sz w:val="20"/>
                <w:szCs w:val="20"/>
                <w:color w:val="auto"/>
              </w:rPr>
            </w:pPr>
            <w:r>
              <w:rPr>
                <w:rFonts w:ascii="Times New Roman" w:cs="Times New Roman" w:eastAsia="Times New Roman" w:hAnsi="Times New Roman"/>
                <w:sz w:val="18"/>
                <w:szCs w:val="18"/>
                <w:color w:val="auto"/>
              </w:rPr>
              <w:t xml:space="preserve">   $          </w:t>
            </w:r>
          </w:p>
        </w:tc>
        <w:tc>
          <w:tcPr>
            <w:tcW w:w="820" w:type="dxa"/>
            <w:vAlign w:val="bottom"/>
            <w:gridSpan w:val="2"/>
            <w:shd w:val="clear" w:color="auto" w:fill="F2F2F2"/>
          </w:tcPr>
          <w:p>
            <w:pPr>
              <w:jc w:val="right"/>
              <w:ind w:right="220"/>
              <w:spacing w:after="0"/>
              <w:rPr>
                <w:sz w:val="20"/>
                <w:szCs w:val="20"/>
                <w:color w:val="auto"/>
              </w:rPr>
            </w:pPr>
            <w:r>
              <w:rPr>
                <w:rFonts w:ascii="Times New Roman" w:cs="Times New Roman" w:eastAsia="Times New Roman" w:hAnsi="Times New Roman"/>
                <w:sz w:val="18"/>
                <w:szCs w:val="18"/>
                <w:color w:val="auto"/>
                <w:w w:val="99"/>
              </w:rPr>
              <w:t>423,415</w:t>
            </w:r>
          </w:p>
        </w:tc>
      </w:tr>
      <w:tr>
        <w:trPr>
          <w:trHeight w:val="20"/>
        </w:trPr>
        <w:tc>
          <w:tcPr>
            <w:tcW w:w="4820" w:type="dxa"/>
            <w:vAlign w:val="bottom"/>
            <w:tcBorders>
              <w:top w:val="single" w:sz="8" w:color="F2F2F2"/>
            </w:tcBorders>
            <w:shd w:val="clear" w:color="auto" w:fill="F2F2F2"/>
          </w:tcPr>
          <w:p>
            <w:pPr>
              <w:spacing w:after="0" w:line="20" w:lineRule="exact"/>
              <w:rPr>
                <w:sz w:val="1"/>
                <w:szCs w:val="1"/>
                <w:color w:val="auto"/>
              </w:rPr>
            </w:pPr>
          </w:p>
        </w:tc>
        <w:tc>
          <w:tcPr>
            <w:tcW w:w="180" w:type="dxa"/>
            <w:vAlign w:val="bottom"/>
            <w:tcBorders>
              <w:top w:val="single" w:sz="8" w:color="F2F2F2"/>
            </w:tcBorders>
            <w:shd w:val="clear" w:color="auto" w:fill="F2F2F2"/>
          </w:tcPr>
          <w:p>
            <w:pPr>
              <w:spacing w:after="0" w:line="20" w:lineRule="exact"/>
              <w:rPr>
                <w:sz w:val="1"/>
                <w:szCs w:val="1"/>
                <w:color w:val="auto"/>
              </w:rPr>
            </w:pPr>
          </w:p>
        </w:tc>
        <w:tc>
          <w:tcPr>
            <w:tcW w:w="80" w:type="dxa"/>
            <w:vAlign w:val="bottom"/>
            <w:tcBorders>
              <w:top w:val="single" w:sz="8" w:color="F2F2F2"/>
            </w:tcBorders>
            <w:shd w:val="clear" w:color="auto" w:fill="F2F2F2"/>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F2F2F2"/>
              <w:left w:val="single" w:sz="8" w:color="F2F2F2"/>
              <w:right w:val="single" w:sz="8" w:color="F2F2F2"/>
            </w:tcBorders>
            <w:shd w:val="clear" w:color="auto" w:fill="F2F2F2"/>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2F2F2"/>
            </w:tcBorders>
            <w:shd w:val="clear" w:color="auto" w:fill="F2F2F2"/>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90" w:lineRule="exact"/>
        <w:rPr>
          <w:sz w:val="20"/>
          <w:szCs w:val="20"/>
          <w:color w:val="auto"/>
        </w:rPr>
      </w:pPr>
    </w:p>
    <w:p>
      <w:pPr>
        <w:ind w:left="880" w:right="480" w:hanging="440"/>
        <w:spacing w:after="0" w:line="269" w:lineRule="auto"/>
        <w:tabs>
          <w:tab w:leader="none" w:pos="8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Fees consist of professional services rendered by KPMG LLP for the audits of our annual financial statements and reviews of quarterly financial statements.</w:t>
      </w:r>
    </w:p>
    <w:p>
      <w:pPr>
        <w:ind w:left="880" w:hanging="440"/>
        <w:spacing w:after="0"/>
        <w:tabs>
          <w:tab w:leader="none" w:pos="8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$15,000 approved by Audit Committee in May 2023 for additional procedures associated with 2022.</w:t>
      </w:r>
    </w:p>
    <w:p>
      <w:pPr>
        <w:spacing w:after="0" w:line="3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305494"/>
        </w:rPr>
        <w:t>Pre-Approval Policies and Procedures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audit committee is responsible for appointing, setting compensation for, and overseeing the work of our independent registered public accounting firm. Our audit committee’s charter establishes a policy that all audit and permitted non-audit and tax services to be provided by our independent registered public accounting firm must be pre-approved by our audit committee. Our audit committee has pre-approved all such audit and permissible non-audit and tax services in accordance with this policy for the years ended December 31, 2023 and 2022. As part of this review, our audit committee considers whether the provision of any such non-audit or tax services by KPMG LLP is compatible with maintaining the independence of our independent registered public accounting firm.</w:t>
      </w:r>
    </w:p>
    <w:p>
      <w:pPr>
        <w:spacing w:after="0" w:line="129"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Arial" w:cs="Arial" w:eastAsia="Arial" w:hAnsi="Arial"/>
                <w:sz w:val="14"/>
                <w:szCs w:val="14"/>
                <w:b w:val="1"/>
                <w:bCs w:val="1"/>
                <w:color w:val="305494"/>
              </w:rPr>
              <w:t>2024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305494"/>
              </w:rPr>
              <w:t>39</w:t>
            </w:r>
          </w:p>
        </w:tc>
      </w:tr>
    </w:tbl>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audit committee may delegate authority to pre-approve services to one or more of its members, provided any decisions made by such member to grant pre-approvals must be presented to the full audit committee at its next scheduled meeting.</w:t>
      </w:r>
    </w:p>
    <w:p>
      <w:pPr>
        <w:spacing w:after="0" w:line="185" w:lineRule="exact"/>
        <w:rPr>
          <w:sz w:val="20"/>
          <w:szCs w:val="20"/>
          <w:color w:val="auto"/>
        </w:rPr>
      </w:pPr>
    </w:p>
    <w:p>
      <w:pPr>
        <w:ind w:left="2340" w:hanging="2213"/>
        <w:spacing w:after="0" w:line="289" w:lineRule="auto"/>
        <w:tabs>
          <w:tab w:leader="none" w:pos="2320" w:val="left"/>
        </w:tabs>
        <w:rPr>
          <w:sz w:val="20"/>
          <w:szCs w:val="20"/>
          <w:color w:val="auto"/>
        </w:rPr>
      </w:pPr>
      <w:r>
        <w:rPr>
          <w:rFonts w:ascii="Times New Roman" w:cs="Times New Roman" w:eastAsia="Times New Roman" w:hAnsi="Times New Roman"/>
          <w:sz w:val="18"/>
          <w:szCs w:val="18"/>
          <w:b w:val="1"/>
          <w:bCs w:val="1"/>
          <w:color w:val="auto"/>
        </w:rPr>
        <w:t>Vote Required:</w:t>
      </w:r>
      <w:r>
        <w:rPr>
          <w:sz w:val="20"/>
          <w:szCs w:val="20"/>
          <w:color w:val="auto"/>
        </w:rPr>
        <w:tab/>
      </w:r>
      <w:r>
        <w:rPr>
          <w:rFonts w:ascii="Times New Roman" w:cs="Times New Roman" w:eastAsia="Times New Roman" w:hAnsi="Times New Roman"/>
          <w:sz w:val="17"/>
          <w:szCs w:val="17"/>
          <w:color w:val="auto"/>
        </w:rPr>
        <w:t>Ratification of the appointment of KPMG LLP as our independent registered public accounting firm for 2024 requires the affirmative vote of a majority of the shares present or represented by proxy and entitled to vote at the Annual Meeting. Abstentions have the same impact as votes “Against” the proposal. Brokers have discretion to vote on this proposal.</w:t>
      </w:r>
    </w:p>
    <w:p>
      <w:pPr>
        <w:spacing w:after="0" w:line="77" w:lineRule="exact"/>
        <w:rPr>
          <w:sz w:val="20"/>
          <w:szCs w:val="20"/>
          <w:color w:val="auto"/>
        </w:rPr>
      </w:pPr>
    </w:p>
    <w:p>
      <w:pPr>
        <w:ind w:left="2340" w:right="920" w:hanging="2213"/>
        <w:spacing w:after="0" w:line="262" w:lineRule="auto"/>
        <w:tabs>
          <w:tab w:leader="none" w:pos="2320" w:val="left"/>
        </w:tabs>
        <w:rPr>
          <w:sz w:val="20"/>
          <w:szCs w:val="20"/>
          <w:color w:val="auto"/>
        </w:rPr>
      </w:pPr>
      <w:r>
        <w:rPr>
          <w:rFonts w:ascii="Times New Roman" w:cs="Times New Roman" w:eastAsia="Times New Roman" w:hAnsi="Times New Roman"/>
          <w:sz w:val="18"/>
          <w:szCs w:val="18"/>
          <w:b w:val="1"/>
          <w:bCs w:val="1"/>
          <w:color w:val="auto"/>
        </w:rPr>
        <w:t>Board Recommendation:</w:t>
      </w:r>
      <w:r>
        <w:rPr>
          <w:rFonts w:ascii="Times New Roman" w:cs="Times New Roman" w:eastAsia="Times New Roman" w:hAnsi="Times New Roman"/>
          <w:sz w:val="18"/>
          <w:szCs w:val="18"/>
          <w:b w:val="1"/>
          <w:bCs w:val="1"/>
          <w:color w:val="305494"/>
        </w:rPr>
        <w:tab/>
        <w:t>OUR BOARD OF DIRECTORS AND THE AUDIT COMMITTEE OF OUR BOARD OF DIRECTORS EACH UNANIMOUSLY RECOMMENDS A VOTE “FOR” THE RATIFICATION OF THE APPOINTMENT OF KPMG LLP AS OUR INDEPENDENT REGISTERED PUBLIC ACCOUNTING FIRM FOR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6579870</wp:posOffset>
            </wp:positionH>
            <wp:positionV relativeFrom="paragraph">
              <wp:posOffset>-464820</wp:posOffset>
            </wp:positionV>
            <wp:extent cx="248920" cy="3511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48920" cy="351155"/>
                    </a:xfrm>
                    <a:prstGeom prst="rect">
                      <a:avLst/>
                    </a:prstGeom>
                    <a:noFill/>
                  </pic:spPr>
                </pic:pic>
              </a:graphicData>
            </a:graphic>
          </wp:anchor>
        </w:drawing>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305494"/>
        </w:rPr>
        <w:t>Report of the Audit Committee</w:t>
      </w:r>
    </w:p>
    <w:p>
      <w:pPr>
        <w:spacing w:after="0" w:line="230" w:lineRule="exact"/>
        <w:rPr>
          <w:sz w:val="20"/>
          <w:szCs w:val="20"/>
          <w:color w:val="auto"/>
        </w:rPr>
      </w:pPr>
    </w:p>
    <w:p>
      <w:pPr>
        <w:ind w:left="120" w:firstLine="771"/>
        <w:spacing w:after="0" w:line="281" w:lineRule="auto"/>
        <w:rPr>
          <w:sz w:val="20"/>
          <w:szCs w:val="20"/>
          <w:color w:val="auto"/>
        </w:rPr>
      </w:pPr>
      <w:r>
        <w:rPr>
          <w:rFonts w:ascii="Times New Roman" w:cs="Times New Roman" w:eastAsia="Times New Roman" w:hAnsi="Times New Roman"/>
          <w:sz w:val="17"/>
          <w:szCs w:val="17"/>
          <w:color w:val="auto"/>
        </w:rPr>
        <w:t>The audit committee oversees our independent registered public accounting firm and assists our board of directors in fulfilling its oversight responsibilities on matters relating to the integrity of our financial statements, our compliance with legal and regulatory requirements and the independent registered public accounting firm’s qualifications and independence by meeting regularly with the independent registered public accounting firm and financial management personnel. Management is responsible for the preparation, presentation and integrity of our financial statements.</w:t>
      </w:r>
    </w:p>
    <w:p>
      <w:pPr>
        <w:spacing w:after="0" w:line="16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 fulfilling its oversight responsibilities, the audit committee:</w:t>
      </w:r>
    </w:p>
    <w:p>
      <w:pPr>
        <w:spacing w:after="0" w:line="131" w:lineRule="exact"/>
        <w:rPr>
          <w:sz w:val="20"/>
          <w:szCs w:val="20"/>
          <w:color w:val="auto"/>
        </w:rPr>
      </w:pPr>
    </w:p>
    <w:p>
      <w:pPr>
        <w:ind w:left="1200" w:hanging="315"/>
        <w:spacing w:after="0"/>
        <w:tabs>
          <w:tab w:leader="none" w:pos="12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our financial statements as of and for the year ended December 31, 2023 with management and KPMG LLP;</w:t>
      </w:r>
    </w:p>
    <w:p>
      <w:pPr>
        <w:spacing w:after="0" w:line="130" w:lineRule="exact"/>
        <w:rPr>
          <w:rFonts w:ascii="Times New Roman" w:cs="Times New Roman" w:eastAsia="Times New Roman" w:hAnsi="Times New Roman"/>
          <w:sz w:val="18"/>
          <w:szCs w:val="18"/>
          <w:color w:val="auto"/>
        </w:rPr>
      </w:pPr>
    </w:p>
    <w:p>
      <w:pPr>
        <w:ind w:left="1200" w:right="440" w:hanging="315"/>
        <w:spacing w:after="0" w:line="282" w:lineRule="auto"/>
        <w:tabs>
          <w:tab w:leader="none" w:pos="12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KPMG LLP the matters required to be discussed by the applicable requirements of the Public Company Accounting Oversight Board and the SEC;</w:t>
      </w:r>
    </w:p>
    <w:p>
      <w:pPr>
        <w:spacing w:after="0" w:line="67" w:lineRule="exact"/>
        <w:rPr>
          <w:rFonts w:ascii="Times New Roman" w:cs="Times New Roman" w:eastAsia="Times New Roman" w:hAnsi="Times New Roman"/>
          <w:sz w:val="18"/>
          <w:szCs w:val="18"/>
          <w:color w:val="auto"/>
        </w:rPr>
      </w:pPr>
    </w:p>
    <w:p>
      <w:pPr>
        <w:ind w:left="1200" w:right="700" w:hanging="315"/>
        <w:spacing w:after="0" w:line="282" w:lineRule="auto"/>
        <w:tabs>
          <w:tab w:leader="none" w:pos="12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the written disclosures and the letter from KPMG LLP required by the applicable requirements of the Public Company Accounting Oversight Board; and</w:t>
      </w:r>
    </w:p>
    <w:p>
      <w:pPr>
        <w:spacing w:after="0" w:line="67" w:lineRule="exact"/>
        <w:rPr>
          <w:rFonts w:ascii="Times New Roman" w:cs="Times New Roman" w:eastAsia="Times New Roman" w:hAnsi="Times New Roman"/>
          <w:sz w:val="18"/>
          <w:szCs w:val="18"/>
          <w:color w:val="auto"/>
        </w:rPr>
      </w:pPr>
    </w:p>
    <w:p>
      <w:pPr>
        <w:ind w:left="1200" w:hanging="315"/>
        <w:spacing w:after="0"/>
        <w:tabs>
          <w:tab w:leader="none" w:pos="12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the independence of KPMG LLP with that firm.</w:t>
      </w:r>
    </w:p>
    <w:p>
      <w:pPr>
        <w:spacing w:after="0" w:line="225" w:lineRule="exact"/>
        <w:rPr>
          <w:sz w:val="20"/>
          <w:szCs w:val="20"/>
          <w:color w:val="auto"/>
        </w:rPr>
      </w:pPr>
    </w:p>
    <w:p>
      <w:pPr>
        <w:jc w:val="both"/>
        <w:ind w:left="120" w:right="320" w:firstLine="771"/>
        <w:spacing w:after="0" w:line="289" w:lineRule="auto"/>
        <w:rPr>
          <w:sz w:val="20"/>
          <w:szCs w:val="20"/>
          <w:color w:val="auto"/>
        </w:rPr>
      </w:pPr>
      <w:r>
        <w:rPr>
          <w:rFonts w:ascii="Times New Roman" w:cs="Times New Roman" w:eastAsia="Times New Roman" w:hAnsi="Times New Roman"/>
          <w:sz w:val="17"/>
          <w:szCs w:val="17"/>
          <w:color w:val="auto"/>
        </w:rPr>
        <w:t>Based on the audit committee’s review and discussions noted above, the audit committee recommended to our board of directors, and our board of directors approved, that the audited financial statements be included in the 2023 Annual Report on Form 10-K for filing with the SEC. The audit committee also appointed KPMG LLP as our independent registered public accounting firm for the fiscal year ending December 31, 2024.</w:t>
      </w:r>
    </w:p>
    <w:p>
      <w:pPr>
        <w:spacing w:after="0" w:line="5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Submitted by the audit committee of our board of directors:</w:t>
      </w:r>
    </w:p>
    <w:p>
      <w:pPr>
        <w:spacing w:after="0" w:line="11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Jean Franchi, Chair</w:t>
      </w:r>
    </w:p>
    <w:p>
      <w:pPr>
        <w:spacing w:after="0" w:line="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Lawrence T. Kennedy, Jr.</w:t>
      </w:r>
    </w:p>
    <w:p>
      <w:pPr>
        <w:spacing w:after="0" w:line="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Hany Massarany</w:t>
      </w:r>
    </w:p>
    <w:p>
      <w:pPr>
        <w:spacing w:after="0" w:line="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Matthew Strobeck, Ph.D.</w:t>
      </w:r>
    </w:p>
    <w:p>
      <w:pPr>
        <w:spacing w:after="0" w:line="148"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Arial" w:cs="Arial" w:eastAsia="Arial" w:hAnsi="Arial"/>
                <w:sz w:val="14"/>
                <w:szCs w:val="14"/>
                <w:b w:val="1"/>
                <w:bCs w:val="1"/>
                <w:color w:val="305494"/>
              </w:rPr>
              <w:t>2024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305494"/>
              </w:rPr>
              <w:t>40</w:t>
            </w:r>
          </w:p>
        </w:tc>
      </w:tr>
    </w:tbl>
    <w:p>
      <w:pPr>
        <w:sectPr>
          <w:pgSz w:w="11900" w:h="16838" w:orient="portrait"/>
          <w:cols w:equalWidth="0" w:num="1">
            <w:col w:w="11100"/>
          </w:cols>
          <w:pgMar w:left="320" w:top="455"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305494"/>
        </w:rPr>
        <w:t>SERIES A PREFERRED STOCK CONVERSION AND ISSUANCE</w:t>
      </w:r>
    </w:p>
    <w:p>
      <w:pPr>
        <w:spacing w:after="0" w:line="2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305494"/>
        </w:rPr>
        <w:t>Proposal Three: Approval of the conversion of the Series A Preferred Stock into shares of Common Stock</w:t>
      </w:r>
    </w:p>
    <w:p>
      <w:pPr>
        <w:spacing w:after="0" w:line="1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80" w:firstLine="771"/>
        <w:spacing w:after="0" w:line="256" w:lineRule="auto"/>
        <w:rPr>
          <w:sz w:val="20"/>
          <w:szCs w:val="20"/>
          <w:color w:val="auto"/>
        </w:rPr>
      </w:pPr>
      <w:r>
        <w:rPr>
          <w:rFonts w:ascii="Times New Roman" w:cs="Times New Roman" w:eastAsia="Times New Roman" w:hAnsi="Times New Roman"/>
          <w:sz w:val="18"/>
          <w:szCs w:val="18"/>
          <w:color w:val="auto"/>
        </w:rPr>
        <w:t>We entered into definitive agreements (the Securities Purchase Agreements) for a private placement with new and existing investors (the Investors) to raise $35.0 million, pursuant to which we issued 760,857 shares of Series A Preferred Stock at a price of $46.00 per share of Series A Preferred Stock (the Private Placement). The Series A Preferred Stock is intended to have rights that are generally equivalent to shares of our common stock, provided that the Series A Preferred Stock does not have the right to vote on most matters (including the election of directors). Subject to the approval of Proposal Three, each share of Series A Preferred Stock will automatically convert into 40 shares of Common Stock, subject to certain beneficial ownership limitations set by each holder. This Proposal Three would provide the necessary approval to permit such conversion.</w:t>
      </w:r>
    </w:p>
    <w:p>
      <w:pPr>
        <w:spacing w:after="0" w:line="187" w:lineRule="exact"/>
        <w:rPr>
          <w:sz w:val="20"/>
          <w:szCs w:val="20"/>
          <w:color w:val="auto"/>
        </w:rPr>
      </w:pPr>
    </w:p>
    <w:p>
      <w:pPr>
        <w:ind w:left="120" w:right="20" w:firstLine="771"/>
        <w:spacing w:after="0" w:line="254" w:lineRule="auto"/>
        <w:rPr>
          <w:sz w:val="20"/>
          <w:szCs w:val="20"/>
          <w:color w:val="auto"/>
        </w:rPr>
      </w:pPr>
      <w:r>
        <w:rPr>
          <w:rFonts w:ascii="Times New Roman" w:cs="Times New Roman" w:eastAsia="Times New Roman" w:hAnsi="Times New Roman"/>
          <w:sz w:val="18"/>
          <w:szCs w:val="18"/>
          <w:color w:val="auto"/>
        </w:rPr>
        <w:t>Concurrent with our entry into the Securities Purchase Agreements on April 5, 2024, we entered into a Registration Rights Agreement (the RRA) with the Investors. Pursuant to the RRA, we intend to file a resale registration statement with the SEC. We will use our reasonable best efforts to cause this registration statement to be declared effective by the SEC as soon as practicable following our Annual Meeting. Following the effectiveness of the registration statement, the shares subject to the registration statement will no longer constitute restricted securities and may be sold freely in the public markets, subject to lapse on any related contractual restrictions related thereto of any Investor and, for shares of Common Stock issuable upon the conversion of Series A Preferred Stock, the approval of our stockholders of such conversion. The RRA also contains customary terms, including an obligation to indemnify the Investors and certain affiliates from certain liabilities relating to any misstatements or omissions in the resale registration statement.</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Shares Issuable Upon Conversion</w:t>
      </w:r>
    </w:p>
    <w:p>
      <w:pPr>
        <w:spacing w:after="0" w:line="121" w:lineRule="exact"/>
        <w:rPr>
          <w:sz w:val="20"/>
          <w:szCs w:val="20"/>
          <w:color w:val="auto"/>
        </w:rPr>
      </w:pPr>
    </w:p>
    <w:p>
      <w:pPr>
        <w:ind w:left="120" w:firstLine="771"/>
        <w:spacing w:after="0" w:line="282" w:lineRule="auto"/>
        <w:rPr>
          <w:sz w:val="20"/>
          <w:szCs w:val="20"/>
          <w:color w:val="auto"/>
        </w:rPr>
      </w:pPr>
      <w:r>
        <w:rPr>
          <w:rFonts w:ascii="Times New Roman" w:cs="Times New Roman" w:eastAsia="Times New Roman" w:hAnsi="Times New Roman"/>
          <w:sz w:val="18"/>
          <w:szCs w:val="18"/>
          <w:color w:val="auto"/>
        </w:rPr>
        <w:t>30,434,280 shares of our common stock are issuable upon the conversion of the Series A Preferred Stock issued in the Private Placement. The sale into the public market of the underlying Common Stock could materially and adversely affect the market price of our Common Stock.</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Effects of the Proposal</w:t>
      </w:r>
    </w:p>
    <w:p>
      <w:pPr>
        <w:spacing w:after="0" w:line="121" w:lineRule="exact"/>
        <w:rPr>
          <w:sz w:val="20"/>
          <w:szCs w:val="20"/>
          <w:color w:val="auto"/>
        </w:rPr>
      </w:pPr>
    </w:p>
    <w:p>
      <w:pPr>
        <w:ind w:left="120" w:right="300" w:firstLine="771"/>
        <w:spacing w:after="0" w:line="261" w:lineRule="auto"/>
        <w:rPr>
          <w:sz w:val="20"/>
          <w:szCs w:val="20"/>
          <w:color w:val="auto"/>
        </w:rPr>
      </w:pPr>
      <w:r>
        <w:rPr>
          <w:rFonts w:ascii="Times New Roman" w:cs="Times New Roman" w:eastAsia="Times New Roman" w:hAnsi="Times New Roman"/>
          <w:sz w:val="18"/>
          <w:szCs w:val="18"/>
          <w:color w:val="auto"/>
        </w:rPr>
        <w:t>If our stockholders do not approve this Proposal Three, the limitation on converting the Series A Preferred Stock will remain in effect and neither we, nor the holders of such securities, shall be entitled to convert or exercise such securities into or for shares of common stock other than as allowable under the Certificate of Designation for the Series A Preferred Stock. Your approval of the Proposal Three will assist us in meeting our obligations under the Securities Purchase Agreements.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Series A Preferred Stock</w:t>
      </w:r>
    </w:p>
    <w:p>
      <w:pPr>
        <w:spacing w:after="0" w:line="117" w:lineRule="exact"/>
        <w:rPr>
          <w:sz w:val="20"/>
          <w:szCs w:val="20"/>
          <w:color w:val="auto"/>
        </w:rPr>
      </w:pPr>
    </w:p>
    <w:p>
      <w:pPr>
        <w:ind w:left="120" w:right="40" w:firstLine="771"/>
        <w:spacing w:after="0" w:line="257" w:lineRule="auto"/>
        <w:rPr>
          <w:sz w:val="20"/>
          <w:szCs w:val="20"/>
          <w:color w:val="auto"/>
        </w:rPr>
      </w:pP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Following stockholder approval of this Proposal Three, effective as of 5:00 p.m. (Eastern time) on the third business day 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on which such stockholder approval is received, each share of Series A Preferred Stock will automatically convert into 40 shares of Common Stock, subject to certain beneficial ownership limitations, including that a holder of Series A Preferred Stock is prohibited from converting shares of Series A Preferred Stock into shares of Common Stock if, as a result of such conversion, such holder, together with its affiliates, would beneficially own more than a specified percentage (initially set by the holder to a number up to 19.9% and thereafter adjusted) of the total number of shares of Common Stock issued and outstanding immediately after giving effect to such conversion.</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Arial" w:cs="Arial" w:eastAsia="Arial" w:hAnsi="Arial"/>
                <w:sz w:val="14"/>
                <w:szCs w:val="14"/>
                <w:b w:val="1"/>
                <w:bCs w:val="1"/>
                <w:color w:val="305494"/>
              </w:rPr>
              <w:t>2024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305494"/>
              </w:rPr>
              <w:t>41</w:t>
            </w:r>
          </w:p>
        </w:tc>
      </w:tr>
    </w:tbl>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firstLine="771"/>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Voting Rights. </w:t>
      </w:r>
      <w:r>
        <w:rPr>
          <w:rFonts w:ascii="Times New Roman" w:cs="Times New Roman" w:eastAsia="Times New Roman" w:hAnsi="Times New Roman"/>
          <w:sz w:val="18"/>
          <w:szCs w:val="18"/>
          <w:color w:val="auto"/>
        </w:rPr>
        <w:t>Except as otherwise required by law (e.g. voting on a change to the authorized shares of Series A Non-Voting Preferred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the rights of such shares as required by Delaware General Corporation Law) and the Certificate of Designation, the Series A Preferred Stock does not have voting rights. However, as long as any shares of Series A Preferred Stock are outstanding, we will not, without the affirmative vote of the holders of a majority of the then outstanding shares of the Series A Preferred Stock, (a) alter or change adversely the powers, preferences or rights given to the Series A Preferred Stock, or alter or amend the Certificate of Designation, amend or repeal any provision of, or add any provision to, the Certificate of Incorporation or our Bylaws, or file any articles of amendment, certificate of designations, preferences, limitations and relative rights of any series of our preferred stock, if such action would adversely alter or change the preferences, rights, privileges or powers of, or restrictions provided for the benefit of the Series A Preferred Stock, regardless of whether any of the foregoing actions shall be by means of amendment to the Certificate of Incorporation or by merger, consolidation, recapitalization, reclassification, conversion or otherwise, (b) issue further shares of Series A Preferred Stock or increase or decrease (other than by conversion) the number of authorized shares of Series A Preferred Stock, (c) prior to the stockholder approval of the Conversion Proposal or at any time while at least 30% of the originally issued Series A Preferred Stock remains issued and outstanding, consummate either (A) any Fundamental Transaction (as defined in the Certificate of Designation) or (B) any merger or consolidation of the Company or other business combination in which our stockholders immediately before such transaction do not hold at least a majority of our capital stock immediately after such transaction, or (d) enter into any agreement with respect to any of the foregoing.</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 xml:space="preserve">Dividends. </w:t>
      </w:r>
      <w:r>
        <w:rPr>
          <w:rFonts w:ascii="Times New Roman" w:cs="Times New Roman" w:eastAsia="Times New Roman" w:hAnsi="Times New Roman"/>
          <w:sz w:val="18"/>
          <w:szCs w:val="18"/>
          <w:color w:val="auto"/>
        </w:rPr>
        <w:t>Holders of Preferred Stock are entitled to receive dividends on shares of Series A Preferred Stock equal, on</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 as-if-converted-to-Common-Stock basis, and in the same form as dividends if such dividends were to be paid on shares of the Common Stock.</w:t>
      </w:r>
    </w:p>
    <w:p>
      <w:pPr>
        <w:spacing w:after="0" w:line="203" w:lineRule="exact"/>
        <w:rPr>
          <w:sz w:val="20"/>
          <w:szCs w:val="20"/>
          <w:color w:val="auto"/>
        </w:rPr>
      </w:pPr>
    </w:p>
    <w:p>
      <w:pPr>
        <w:ind w:left="120" w:right="820" w:firstLine="77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Liquidation and Dissolution. </w:t>
      </w:r>
      <w:r>
        <w:rPr>
          <w:rFonts w:ascii="Times New Roman" w:cs="Times New Roman" w:eastAsia="Times New Roman" w:hAnsi="Times New Roman"/>
          <w:sz w:val="18"/>
          <w:szCs w:val="18"/>
          <w:color w:val="auto"/>
        </w:rPr>
        <w:t>The Series A Preferred Stock ranks on parity with Common Stock upon any liquidation, dissolution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winding-up of the Company.</w:t>
      </w:r>
    </w:p>
    <w:p>
      <w:pPr>
        <w:spacing w:after="0" w:line="155" w:lineRule="exact"/>
        <w:rPr>
          <w:sz w:val="20"/>
          <w:szCs w:val="20"/>
          <w:color w:val="auto"/>
        </w:rPr>
      </w:pPr>
    </w:p>
    <w:p>
      <w:pPr>
        <w:ind w:left="120" w:right="300" w:firstLine="77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Reasons for Stockholder Approval. </w:t>
      </w:r>
      <w:r>
        <w:rPr>
          <w:rFonts w:ascii="Times New Roman" w:cs="Times New Roman" w:eastAsia="Times New Roman" w:hAnsi="Times New Roman"/>
          <w:sz w:val="18"/>
          <w:szCs w:val="18"/>
          <w:color w:val="auto"/>
        </w:rPr>
        <w:t>Our Common Stock is listed on The Nasdaq Global Market, and, as such, we are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rules of the Nasdaq Stock Market, including Nasdaq Listing Rule 5635(d), which requires stockholder approval in connection with a 20% issuance at a price that is the lower of: (i) the Nasdaq Official Closing Price (as reflected on Nasdaq.com) immediately preceding the signing of the binding agreement; or (ii) the average Nasdaq Official Closing Price of the common stock (as reflected on Nasdaq.com) for the five trading days immediately preceding the signing of the binding agreement.</w:t>
      </w:r>
    </w:p>
    <w:p>
      <w:pPr>
        <w:spacing w:after="0" w:line="179" w:lineRule="exact"/>
        <w:rPr>
          <w:sz w:val="20"/>
          <w:szCs w:val="20"/>
          <w:color w:val="auto"/>
        </w:rPr>
      </w:pPr>
    </w:p>
    <w:p>
      <w:pPr>
        <w:ind w:left="120" w:right="60" w:firstLine="77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Beneficial Ownership Limitations. </w:t>
      </w:r>
      <w:r>
        <w:rPr>
          <w:rFonts w:ascii="Times New Roman" w:cs="Times New Roman" w:eastAsia="Times New Roman" w:hAnsi="Times New Roman"/>
          <w:sz w:val="18"/>
          <w:szCs w:val="18"/>
          <w:color w:val="auto"/>
        </w:rPr>
        <w:t>We are not seeking stockholder approval of a potential “change in control” under Nasdaq Listing Rule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5635(b), which generally prohibits Nasdaq-listed companies from issuing common stock to a stockholder in a transaction that would cause the holder to beneficially own more than 20% of the then-outstanding common stock (subject to certain exceptions). Assuming that Proposal Three is approved, the Series A Preferred Stock will continue to have a beneficial ownership conversion limit that would prevent a stockholder from converting its shares if, as a result of such conversion, it would beneficially own a number of shares above its applicable conversion blocker (which cannot exceed 19.9% of the outstanding Common Stock).</w:t>
      </w:r>
    </w:p>
    <w:p>
      <w:pPr>
        <w:spacing w:after="0" w:line="209" w:lineRule="exact"/>
        <w:rPr>
          <w:sz w:val="20"/>
          <w:szCs w:val="20"/>
          <w:color w:val="auto"/>
        </w:rPr>
      </w:pPr>
    </w:p>
    <w:p>
      <w:pPr>
        <w:jc w:val="both"/>
        <w:ind w:left="2340" w:right="60" w:hanging="2213"/>
        <w:spacing w:after="0" w:line="266" w:lineRule="auto"/>
        <w:tabs>
          <w:tab w:leader="none" w:pos="2320" w:val="left"/>
        </w:tabs>
        <w:rPr>
          <w:sz w:val="20"/>
          <w:szCs w:val="20"/>
          <w:color w:val="auto"/>
        </w:rPr>
      </w:pPr>
      <w:r>
        <w:rPr>
          <w:rFonts w:ascii="Times New Roman" w:cs="Times New Roman" w:eastAsia="Times New Roman" w:hAnsi="Times New Roman"/>
          <w:sz w:val="18"/>
          <w:szCs w:val="18"/>
          <w:b w:val="1"/>
          <w:bCs w:val="1"/>
          <w:color w:val="auto"/>
        </w:rPr>
        <w:t>Vote Required:</w:t>
      </w:r>
      <w:r>
        <w:rPr>
          <w:sz w:val="20"/>
          <w:szCs w:val="20"/>
          <w:color w:val="auto"/>
        </w:rPr>
        <w:tab/>
      </w:r>
      <w:r>
        <w:rPr>
          <w:rFonts w:ascii="Times New Roman" w:cs="Times New Roman" w:eastAsia="Times New Roman" w:hAnsi="Times New Roman"/>
          <w:sz w:val="18"/>
          <w:szCs w:val="18"/>
          <w:color w:val="auto"/>
        </w:rPr>
        <w:t>Approval of the conversion of the Series A Preferred Stock into shares of Common Stock requires the affirmative vote of a majority of the shares present or represented by proxy and entitled to vote at the Annual Meeting. Abstentions have the same impact as votes “Against” the proposal. Brokers have discretion to vote on this proposal.</w:t>
      </w:r>
    </w:p>
    <w:p>
      <w:pPr>
        <w:spacing w:after="0" w:line="95" w:lineRule="exact"/>
        <w:rPr>
          <w:sz w:val="20"/>
          <w:szCs w:val="20"/>
          <w:color w:val="auto"/>
        </w:rPr>
      </w:pPr>
    </w:p>
    <w:p>
      <w:pPr>
        <w:ind w:left="2340" w:right="880" w:hanging="2213"/>
        <w:spacing w:after="0" w:line="268" w:lineRule="auto"/>
        <w:tabs>
          <w:tab w:leader="none" w:pos="2320" w:val="left"/>
        </w:tabs>
        <w:rPr>
          <w:sz w:val="20"/>
          <w:szCs w:val="20"/>
          <w:color w:val="auto"/>
        </w:rPr>
      </w:pPr>
      <w:r>
        <w:rPr>
          <w:rFonts w:ascii="Times New Roman" w:cs="Times New Roman" w:eastAsia="Times New Roman" w:hAnsi="Times New Roman"/>
          <w:sz w:val="18"/>
          <w:szCs w:val="18"/>
          <w:b w:val="1"/>
          <w:bCs w:val="1"/>
          <w:color w:val="auto"/>
        </w:rPr>
        <w:t>Board Recommendation:</w:t>
      </w:r>
      <w:r>
        <w:rPr>
          <w:rFonts w:ascii="Times New Roman" w:cs="Times New Roman" w:eastAsia="Times New Roman" w:hAnsi="Times New Roman"/>
          <w:sz w:val="18"/>
          <w:szCs w:val="18"/>
          <w:b w:val="1"/>
          <w:bCs w:val="1"/>
          <w:color w:val="305494"/>
        </w:rPr>
        <w:tab/>
        <w:t>OUR BOARD OF DIRECTORS UNANIMOUSLY RECOMMENDS A VOTE “FOR” THE APPROVAL OF THE CONVERSION OF THE SERIES A PREFERRED STOCK INTO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6579870</wp:posOffset>
            </wp:positionH>
            <wp:positionV relativeFrom="paragraph">
              <wp:posOffset>-400050</wp:posOffset>
            </wp:positionV>
            <wp:extent cx="248920" cy="3511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48920" cy="351155"/>
                    </a:xfrm>
                    <a:prstGeom prst="rect">
                      <a:avLst/>
                    </a:prstGeom>
                    <a:noFill/>
                  </pic:spPr>
                </pic:pic>
              </a:graphicData>
            </a:graphic>
          </wp:anchor>
        </w:drawing>
      </w:r>
    </w:p>
    <w:p>
      <w:pPr>
        <w:spacing w:after="0" w:line="96"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Arial" w:cs="Arial" w:eastAsia="Arial" w:hAnsi="Arial"/>
                <w:sz w:val="14"/>
                <w:szCs w:val="14"/>
                <w:b w:val="1"/>
                <w:bCs w:val="1"/>
                <w:color w:val="305494"/>
              </w:rPr>
              <w:t>2024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305494"/>
              </w:rPr>
              <w:t>42</w:t>
            </w:r>
          </w:p>
        </w:tc>
      </w:tr>
    </w:tbl>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740"/>
        <w:spacing w:after="0" w:line="282" w:lineRule="auto"/>
        <w:rPr>
          <w:sz w:val="20"/>
          <w:szCs w:val="20"/>
          <w:color w:val="auto"/>
        </w:rPr>
      </w:pPr>
      <w:r>
        <w:rPr>
          <w:rFonts w:ascii="Times New Roman" w:cs="Times New Roman" w:eastAsia="Times New Roman" w:hAnsi="Times New Roman"/>
          <w:sz w:val="25"/>
          <w:szCs w:val="25"/>
          <w:color w:val="305494"/>
        </w:rPr>
        <w:t>Proposal Four: Approval of the issuance of shares of Series A Preferred Stock to certain directors and officers and any shares of the Company’s Common Stock issuable upon the conversion thereof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40" w:firstLine="771"/>
        <w:spacing w:after="0" w:line="266" w:lineRule="auto"/>
        <w:rPr>
          <w:sz w:val="20"/>
          <w:szCs w:val="20"/>
          <w:color w:val="auto"/>
        </w:rPr>
      </w:pPr>
      <w:r>
        <w:rPr>
          <w:rFonts w:ascii="Times New Roman" w:cs="Times New Roman" w:eastAsia="Times New Roman" w:hAnsi="Times New Roman"/>
          <w:sz w:val="18"/>
          <w:szCs w:val="18"/>
          <w:color w:val="auto"/>
        </w:rPr>
        <w:t>As mentioned above, on April 5, 2024, we entered into Securities Purchase Agreements with new and existing investors. These investors included certain of our directors and funds affiliated with these directors and officer. The directors and officers were issued 126,788 shares of Series A Preferred Stock at a price of $46.00 per share of Series A Preferred Stock.</w:t>
      </w:r>
    </w:p>
    <w:p>
      <w:pPr>
        <w:spacing w:after="0" w:line="172" w:lineRule="exact"/>
        <w:rPr>
          <w:sz w:val="20"/>
          <w:szCs w:val="20"/>
          <w:color w:val="auto"/>
        </w:rPr>
      </w:pPr>
    </w:p>
    <w:p>
      <w:pPr>
        <w:ind w:left="120" w:firstLine="771"/>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Reasons for Stockholder Approval. </w:t>
      </w:r>
      <w:r>
        <w:rPr>
          <w:rFonts w:ascii="Times New Roman" w:cs="Times New Roman" w:eastAsia="Times New Roman" w:hAnsi="Times New Roman"/>
          <w:sz w:val="18"/>
          <w:szCs w:val="18"/>
          <w:color w:val="auto"/>
        </w:rPr>
        <w:t>Our Common Stock is listed on The Nasdaq Global Market, and, as such, we are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rules of the Nasdaq Stock Market, including Nasdaq Listing Rule 5635(c), which requires stockholder approval in connection with certain non-public offerings involving the sale, issuance or potential issuance by a listed company of equity compensation. For this purpose, “equity compensation” includes Common Stock (and/or securities convertible into or exercisable for Common Stock) issued to our officers, directors, employees or consultants at a discount to the market value of the Common Stock, and “market value” is the closing bid price immediately preceding the time that the listed company enters into a binding agreement with such officer, director, employee or consultant to issue the equity compensation. The issuance of our Common Stock underlying the Series A Preferred Stock may result in shares of our Common Stock being issuable to Scott Hutton, Robin Harper Cowie, Kieran O’Kane, Gary Pestano and Chris Vazquez, executive officers of the Company, and Lawrence Kennedy, Matt Strobeck, John Patience and Jack Schuler, members of our Board of Directors, and certain of their affiliates and investment vehicles, upon conversion of their Series A Preferred Stock, at a price which may be deemed to be below the fair market value of our common stock at the time we sold our Series A Preferred Stock to these holders (as described above). Thus, the issuance of such shares of common stock may be considered “equity compensation” under Nasdaq Listing Rule 5635(c). By approving this Proposal 4, you are approving the proposal for purposes of the requirements under Nasdaq Listing Rule 5635(c), which may result in Messrs. Hutton, O’Kane, Pestano, Vazquez, Kennedy, Strobeck, Patience and Schuler and Ms. Harper Cowie, or one of their affiliates, acquiring shares of our common stock at a price of less than fair market value. In order for their shares of common stock to be fully issued as contemplated by the Securities Purchase Agreements, stockholder approval is required because, for purposes of the Nasdaq Listing Rule 5635(c), the issuance of the Series A Preferred Stock could result in shares of our Common Stock being issuable to Messrs. Hutton, O’Kane, Pestano, Vazquez, Kennedy, Strobeck, Patience and Schuler and Ms. Harper Cowie, and certain of their affiliates, upon conversion of their Series A Preferred Stock.</w:t>
      </w:r>
    </w:p>
    <w:p>
      <w:pPr>
        <w:spacing w:after="0" w:line="19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closing price of our Common Stock immediately preceding the date of the Securities Purchase Agreements was $1.51 per share.</w:t>
      </w:r>
    </w:p>
    <w:p>
      <w:pPr>
        <w:spacing w:after="0" w:line="248" w:lineRule="exact"/>
        <w:rPr>
          <w:sz w:val="20"/>
          <w:szCs w:val="20"/>
          <w:color w:val="auto"/>
        </w:rPr>
      </w:pPr>
    </w:p>
    <w:p>
      <w:pPr>
        <w:jc w:val="both"/>
        <w:ind w:left="2340" w:right="160" w:hanging="2213"/>
        <w:spacing w:after="0" w:line="261" w:lineRule="auto"/>
        <w:tabs>
          <w:tab w:leader="none" w:pos="2320" w:val="left"/>
        </w:tabs>
        <w:rPr>
          <w:sz w:val="20"/>
          <w:szCs w:val="20"/>
          <w:color w:val="auto"/>
        </w:rPr>
      </w:pPr>
      <w:r>
        <w:rPr>
          <w:rFonts w:ascii="Times New Roman" w:cs="Times New Roman" w:eastAsia="Times New Roman" w:hAnsi="Times New Roman"/>
          <w:sz w:val="18"/>
          <w:szCs w:val="18"/>
          <w:b w:val="1"/>
          <w:bCs w:val="1"/>
          <w:color w:val="auto"/>
        </w:rPr>
        <w:t>Vote Required:</w:t>
      </w:r>
      <w:r>
        <w:rPr>
          <w:sz w:val="20"/>
          <w:szCs w:val="20"/>
          <w:color w:val="auto"/>
        </w:rPr>
        <w:tab/>
      </w:r>
      <w:r>
        <w:rPr>
          <w:rFonts w:ascii="Times New Roman" w:cs="Times New Roman" w:eastAsia="Times New Roman" w:hAnsi="Times New Roman"/>
          <w:sz w:val="18"/>
          <w:szCs w:val="18"/>
          <w:color w:val="auto"/>
        </w:rPr>
        <w:t>Approval of the issuance of Series A Preferred Stock to certain directors and officers and any shares of the Company’s Common Stock issuable upon the conversion thereof requires the affirmative vote of a majority of the shares present or represented by proxy and entitled to vote at the Annual Meeting. Abstentions have the same impact as votes “Against” the proposal. Brokers have discretion to vote on this proposal.</w:t>
      </w:r>
    </w:p>
    <w:p>
      <w:pPr>
        <w:spacing w:after="0" w:line="99" w:lineRule="exact"/>
        <w:rPr>
          <w:sz w:val="20"/>
          <w:szCs w:val="20"/>
          <w:color w:val="auto"/>
        </w:rPr>
      </w:pPr>
    </w:p>
    <w:p>
      <w:pPr>
        <w:ind w:left="2340" w:right="920" w:hanging="2213"/>
        <w:spacing w:after="0" w:line="262" w:lineRule="auto"/>
        <w:tabs>
          <w:tab w:leader="none" w:pos="2320" w:val="left"/>
        </w:tabs>
        <w:rPr>
          <w:sz w:val="20"/>
          <w:szCs w:val="20"/>
          <w:color w:val="auto"/>
        </w:rPr>
      </w:pPr>
      <w:r>
        <w:rPr>
          <w:rFonts w:ascii="Times New Roman" w:cs="Times New Roman" w:eastAsia="Times New Roman" w:hAnsi="Times New Roman"/>
          <w:sz w:val="18"/>
          <w:szCs w:val="18"/>
          <w:b w:val="1"/>
          <w:bCs w:val="1"/>
          <w:color w:val="auto"/>
        </w:rPr>
        <w:t>Board Recommendation:</w:t>
      </w:r>
      <w:r>
        <w:rPr>
          <w:rFonts w:ascii="Times New Roman" w:cs="Times New Roman" w:eastAsia="Times New Roman" w:hAnsi="Times New Roman"/>
          <w:sz w:val="18"/>
          <w:szCs w:val="18"/>
          <w:b w:val="1"/>
          <w:bCs w:val="1"/>
          <w:color w:val="305494"/>
        </w:rPr>
        <w:tab/>
        <w:t>OUR BOARD OF DIRECTORS UNANIMOUSLY RECOMMENDS A VOTE “FOR” THE APPROVAL OF THE ISSUANCE OF SHARES OF SERIES A PREFERRED STOCK TO CERTAIN DIRECTORS AND OFFICERS AND ANY SHARES OF THE COMPANY’S COMMON STOCK ISSUABLE UPON THE CONVERSION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6579870</wp:posOffset>
            </wp:positionH>
            <wp:positionV relativeFrom="paragraph">
              <wp:posOffset>-464820</wp:posOffset>
            </wp:positionV>
            <wp:extent cx="248920" cy="3511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48920" cy="351155"/>
                    </a:xfrm>
                    <a:prstGeom prst="rect">
                      <a:avLst/>
                    </a:prstGeom>
                    <a:noFill/>
                  </pic:spPr>
                </pic:pic>
              </a:graphicData>
            </a:graphic>
          </wp:anchor>
        </w:drawing>
      </w:r>
    </w:p>
    <w:p>
      <w:pPr>
        <w:spacing w:after="0" w:line="102"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Arial" w:cs="Arial" w:eastAsia="Arial" w:hAnsi="Arial"/>
                <w:sz w:val="14"/>
                <w:szCs w:val="14"/>
                <w:b w:val="1"/>
                <w:bCs w:val="1"/>
                <w:color w:val="305494"/>
              </w:rPr>
              <w:t>2024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305494"/>
              </w:rPr>
              <w:t>43</w:t>
            </w:r>
          </w:p>
        </w:tc>
      </w:tr>
    </w:tbl>
    <w:p>
      <w:pPr>
        <w:sectPr>
          <w:pgSz w:w="11900" w:h="16838" w:orient="portrait"/>
          <w:cols w:equalWidth="0" w:num="1">
            <w:col w:w="11080"/>
          </w:cols>
          <w:pgMar w:left="320" w:top="455" w:right="4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305494"/>
        </w:rPr>
        <w:t>ADDITIONAL INFORMATION</w:t>
      </w:r>
    </w:p>
    <w:p>
      <w:pPr>
        <w:spacing w:after="0" w:line="2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305494"/>
        </w:rPr>
        <w:t>Other Matters</w:t>
      </w:r>
    </w:p>
    <w:p>
      <w:pPr>
        <w:spacing w:after="0" w:line="230" w:lineRule="exact"/>
        <w:rPr>
          <w:sz w:val="20"/>
          <w:szCs w:val="20"/>
          <w:color w:val="auto"/>
        </w:rPr>
      </w:pPr>
    </w:p>
    <w:p>
      <w:pPr>
        <w:ind w:left="120" w:firstLine="771"/>
        <w:spacing w:after="0" w:line="266" w:lineRule="auto"/>
        <w:rPr>
          <w:sz w:val="20"/>
          <w:szCs w:val="20"/>
          <w:color w:val="auto"/>
        </w:rPr>
      </w:pPr>
      <w:r>
        <w:rPr>
          <w:rFonts w:ascii="Times New Roman" w:cs="Times New Roman" w:eastAsia="Times New Roman" w:hAnsi="Times New Roman"/>
          <w:sz w:val="18"/>
          <w:szCs w:val="18"/>
          <w:color w:val="auto"/>
        </w:rPr>
        <w:t>Our board of directors is not aware of any other matters that will be presented for consideration at the Annual Meeting. However, if any other matters are properly brought before the Annual Meeting, the persons named in the accompanying proxy intend to vote on those matters in accordance with their best judgment.</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305494"/>
        </w:rPr>
        <w:t>Stockholder Proposals and Nominations for Next Year’s Annual Meeting of Stockholders</w:t>
      </w:r>
    </w:p>
    <w:p>
      <w:pPr>
        <w:spacing w:after="0" w:line="230" w:lineRule="exact"/>
        <w:rPr>
          <w:sz w:val="20"/>
          <w:szCs w:val="20"/>
          <w:color w:val="auto"/>
        </w:rPr>
      </w:pPr>
    </w:p>
    <w:p>
      <w:pPr>
        <w:ind w:left="120" w:right="140" w:firstLine="771"/>
        <w:spacing w:after="0" w:line="289" w:lineRule="auto"/>
        <w:rPr>
          <w:sz w:val="20"/>
          <w:szCs w:val="20"/>
          <w:color w:val="auto"/>
        </w:rPr>
      </w:pPr>
      <w:r>
        <w:rPr>
          <w:rFonts w:ascii="Times New Roman" w:cs="Times New Roman" w:eastAsia="Times New Roman" w:hAnsi="Times New Roman"/>
          <w:sz w:val="17"/>
          <w:szCs w:val="17"/>
          <w:color w:val="auto"/>
        </w:rPr>
        <w:t>In order to be considered for inclusion in the proxy materials for our 2025 annual meeting of stockholders, proposals submitted by stockholders pursuant to Rule 14a-8 under the Exchange Act must be received by our Corporate Secretary at Biodesix, Inc., 919 West Dillon Rd., Louisville, CO 80027 on or before December 14, 2024, and also must otherwise comply with the procedures and requirements set forth in Rule 14a-8.</w:t>
      </w:r>
    </w:p>
    <w:p>
      <w:pPr>
        <w:spacing w:after="0" w:line="158" w:lineRule="exact"/>
        <w:rPr>
          <w:sz w:val="20"/>
          <w:szCs w:val="20"/>
          <w:color w:val="auto"/>
        </w:rPr>
      </w:pPr>
    </w:p>
    <w:p>
      <w:pPr>
        <w:ind w:left="120" w:right="80" w:firstLine="771"/>
        <w:spacing w:after="0" w:line="238" w:lineRule="auto"/>
        <w:rPr>
          <w:sz w:val="20"/>
          <w:szCs w:val="20"/>
          <w:color w:val="auto"/>
        </w:rPr>
      </w:pPr>
      <w:r>
        <w:rPr>
          <w:rFonts w:ascii="Times New Roman" w:cs="Times New Roman" w:eastAsia="Times New Roman" w:hAnsi="Times New Roman"/>
          <w:sz w:val="18"/>
          <w:szCs w:val="18"/>
          <w:color w:val="auto"/>
        </w:rPr>
        <w:t>Alternatively, stockholders intending to present a proposal (outside of the process established in Rule 14a-8) or nominate a director for election at our 2025 annual meeting of stockholders without having the proposal or nomination included in the proxy materials for the meeting must comply with the requirements set forth in our bylaws. Our bylaws require, among other things, that our Corporate Secretary receive the proposal or nomination no earlier than the close of business on the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and no later than the close of business on the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prior to the first anniversary of the preceding year’s annual meeting of stockholders. Accordingly, for our 2025 annual meeting of stockholders, our Corporate Secretary must receive the proposal or nomination no earlier than January 21, 2025 and no later than the close of business on February 20, 2025. The proposal or nomination must contain the information required by our bylaws and otherwise comply with the requirements set forth in our bylaws.</w:t>
      </w:r>
    </w:p>
    <w:p>
      <w:pPr>
        <w:spacing w:after="0" w:line="200" w:lineRule="exact"/>
        <w:rPr>
          <w:sz w:val="20"/>
          <w:szCs w:val="20"/>
          <w:color w:val="auto"/>
        </w:rPr>
      </w:pPr>
    </w:p>
    <w:p>
      <w:pPr>
        <w:ind w:left="120" w:right="300" w:firstLine="771"/>
        <w:spacing w:after="0" w:line="266"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our amended and restated bylaws, to comply with the universal proxy rules, stockholders who intend to solicit proxies in support of director nominees other than management’s nominees must provide notice that sets forth the information required by Rule 14a-19 under the Exchange Act no later than March 24, 2025.</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305494"/>
        </w:rPr>
        <w:t>Availability of Annual Report on Form 10-K</w:t>
      </w:r>
    </w:p>
    <w:p>
      <w:pPr>
        <w:spacing w:after="0" w:line="230" w:lineRule="exact"/>
        <w:rPr>
          <w:sz w:val="20"/>
          <w:szCs w:val="20"/>
          <w:color w:val="auto"/>
        </w:rPr>
      </w:pPr>
    </w:p>
    <w:p>
      <w:pPr>
        <w:ind w:left="120" w:right="160" w:firstLine="771"/>
        <w:spacing w:after="0" w:line="261" w:lineRule="auto"/>
        <w:rPr>
          <w:sz w:val="20"/>
          <w:szCs w:val="20"/>
          <w:color w:val="auto"/>
        </w:rPr>
      </w:pPr>
      <w:r>
        <w:rPr>
          <w:rFonts w:ascii="Times New Roman" w:cs="Times New Roman" w:eastAsia="Times New Roman" w:hAnsi="Times New Roman"/>
          <w:sz w:val="18"/>
          <w:szCs w:val="18"/>
          <w:color w:val="auto"/>
        </w:rPr>
        <w:t>A copy the 2023 Annual Report on Form 10-K as filed with the SEC is available free of charge on our website at www.biodesix.com or on the SEC’s website at www.sec.gov. Stockholders may also obtain a copy of our 2023 Annual Report on Form 10-K, including financial statements but excluding exhibits, without charge by sending a written request to: Biodesix, Inc., Attention: Corporate Secretary, 919 West Dillon Rd., Louisville, CO 80027.</w:t>
      </w:r>
    </w:p>
    <w:p>
      <w:pPr>
        <w:spacing w:after="0" w:line="121"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Arial" w:cs="Arial" w:eastAsia="Arial" w:hAnsi="Arial"/>
                <w:sz w:val="14"/>
                <w:szCs w:val="14"/>
                <w:b w:val="1"/>
                <w:bCs w:val="1"/>
                <w:color w:val="305494"/>
              </w:rPr>
              <w:t>2024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305494"/>
              </w:rPr>
              <w:t>44</w:t>
            </w:r>
          </w:p>
        </w:tc>
      </w:tr>
    </w:tbl>
    <w:p>
      <w:pPr>
        <w:sectPr>
          <w:pgSz w:w="11900" w:h="16838" w:orient="portrait"/>
          <w:cols w:equalWidth="0" w:num="1">
            <w:col w:w="11080"/>
          </w:cols>
          <w:pgMar w:left="320" w:top="455" w:right="4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7029450" cy="909510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7029450" cy="909510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
      <w:numFmt w:val="bullet"/>
      <w:start w:val="1"/>
    </w:lvl>
    <w:lvl w:ilvl="1">
      <w:lvlJc w:val="left"/>
      <w:lvlText w:val="\endash "/>
      <w:numFmt w:val="bullet"/>
      <w:start w:val="1"/>
    </w:lvl>
  </w:abstractNum>
  <w:abstractNum w:abstractNumId="23">
    <w:nsid w:val="737B8DDC"/>
    <w:multiLevelType w:val="hybridMultilevel"/>
    <w:lvl w:ilvl="0">
      <w:lvlJc w:val="left"/>
      <w:lvlText w:val="\endash "/>
      <w:numFmt w:val="bullet"/>
      <w:start w:val="1"/>
    </w:lvl>
  </w:abstractNum>
  <w:abstractNum w:abstractNumId="24">
    <w:nsid w:val="6CEAF087"/>
    <w:multiLevelType w:val="hybridMultilevel"/>
    <w:lvl w:ilvl="0">
      <w:lvlJc w:val="left"/>
      <w:lvlText w:val="●"/>
      <w:numFmt w:val="bullet"/>
      <w:start w:val="1"/>
    </w:lvl>
    <w:lvl w:ilvl="1">
      <w:lvlJc w:val="left"/>
      <w:lvlText w:val="\endash "/>
      <w:numFmt w:val="bullet"/>
      <w:start w:val="1"/>
    </w:lvl>
  </w:abstractNum>
  <w:abstractNum w:abstractNumId="25">
    <w:nsid w:val="22221A70"/>
    <w:multiLevelType w:val="hybridMultilevel"/>
    <w:lvl w:ilvl="0">
      <w:lvlJc w:val="left"/>
      <w:lvlText w:val="(%1)"/>
      <w:numFmt w:val="decimal"/>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1)"/>
      <w:numFmt w:val="decimal"/>
      <w:start w:val="1"/>
    </w:lvl>
  </w:abstractNum>
  <w:abstractNum w:abstractNumId="28">
    <w:nsid w:val="614FD4A1"/>
    <w:multiLevelType w:val="hybridMultilevel"/>
    <w:lvl w:ilvl="0">
      <w:lvlJc w:val="left"/>
      <w:lvlText w:val="(%1)"/>
      <w:numFmt w:val="decimal"/>
      <w:start w:val="5"/>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decimal"/>
      <w:start w:val="3"/>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decimal"/>
      <w:start w:val="1"/>
    </w:lvl>
    <w:lvl w:ilvl="1">
      <w:lvlJc w:val="left"/>
      <w:lvlText w:val="(%2)"/>
      <w:numFmt w:val="lowerLetter"/>
      <w:start w:val="3"/>
    </w:lvl>
  </w:abstractNum>
  <w:abstractNum w:abstractNumId="36">
    <w:nsid w:val="5C482A97"/>
    <w:multiLevelType w:val="hybridMultilevel"/>
    <w:lvl w:ilvl="0">
      <w:lvlJc w:val="left"/>
      <w:lvlText w:val="(%1)"/>
      <w:numFmt w:val="decimal"/>
      <w:start w:val="12"/>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jpe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jpe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jpeg"/><Relationship Id="rId489" Type="http://schemas.openxmlformats.org/officeDocument/2006/relationships/image" Target="media/image482.png"/><Relationship Id="rId490" Type="http://schemas.openxmlformats.org/officeDocument/2006/relationships/image" Target="media/image483.jpe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jpeg"/><Relationship Id="rId494" Type="http://schemas.openxmlformats.org/officeDocument/2006/relationships/image" Target="media/image487.png"/><Relationship Id="rId495" Type="http://schemas.openxmlformats.org/officeDocument/2006/relationships/image" Target="media/image48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2024-04-16T16:31:51Z</dcterms:created>
  <dcterms:modified xsi:type="dcterms:W3CDTF">2024-04-16T16:31:51Z</dcterms:modified>
</cp:coreProperties>
</file>