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73025</wp:posOffset>
            </wp:positionV>
            <wp:extent cx="699516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Proxy Statement Pursuant to Section 14(a) of the Securities Exchange Act of 1934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644"/>
        <w:spacing w:after="0"/>
        <w:tabs>
          <w:tab w:leader="none" w:pos="62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2134235</wp:posOffset>
            </wp:positionH>
            <wp:positionV relativeFrom="paragraph">
              <wp:posOffset>151765</wp:posOffset>
            </wp:positionV>
            <wp:extent cx="272605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-19050</wp:posOffset>
            </wp:positionV>
            <wp:extent cx="2286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the Registrant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7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7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Biodesix,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58420</wp:posOffset>
            </wp:positionV>
            <wp:extent cx="69951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39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206375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31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6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required.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7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materials.</w:t>
      </w:r>
    </w:p>
    <w:p>
      <w:pPr>
        <w:spacing w:after="0" w:line="15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7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023"/>
          </w:cols>
          <w:pgMar w:left="436" w:top="22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0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294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29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0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☒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2022-03-31T16:38:15Z</dcterms:created>
  <dcterms:modified xsi:type="dcterms:W3CDTF">2022-03-31T16:38:15Z</dcterms:modified>
</cp:coreProperties>
</file>