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Franchi Jean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WEST DILLON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BIODESIX INC</w:t>
              </w:r>
            </w:hyperlink>
            <w:r>
              <w:rPr/>
              <w:t xml:space="preserve"> [ </w:t>
            </w:r>
            <w:r>
              <w:rPr>
                <w:rFonts w:ascii="Times;serif" w:hAnsi="Times;serif"/>
                <w:color w:val="0000FF"/>
                <w:sz w:val="24"/>
                <w:shd w:fill="FFFFFF" w:val="clear"/>
              </w:rPr>
              <w:t>BDSX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92,429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92,429</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0.2708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42,010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42,010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represents a contingent right to receive one share of the Issuer's common stock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RSUs will vest in three substantially equal installments on June 30, September 30 and December 31, 2025, generally subject to the Reporting Person's continued service with the Issuer, and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deferred RSUs. The shares of Common Stock underlying these RSUs will be issued to the Reporting Person following the Reporting Person's separation from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will vest in three substantially equal installments on June 30, September 30 and December 31, 2025, generally subject to the Reporting Person's continued service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Robin H. Cowie as Attorney-in-Fact for Jean Franchi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3053" TargetMode="External"/><Relationship Id="rId5" Type="http://schemas.openxmlformats.org/officeDocument/2006/relationships/hyperlink" Target="http://www.sec.gov/cgi-bin/browse-edgar?action=getcompany&amp;CIK=0001439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3787</Characters>
  <CharactersWithSpaces>4415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